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w:t>
      </w:r>
    </w:p>
    <w:p>
      <w:pPr>
        <w:jc w:val="both"/>
      </w:pPr>
      <w:r>
        <w:rPr/>
        <w:t xml:space="preserve">All results use developer-grouped five-fold cross-validation unless stated otherwise, so apps from one developer never appear on both sides of a split. The positive class is </w:t>
      </w:r>
      <w:r>
        <w:rPr>
          <w:i/>
        </w:rPr>
        <w:t>unverified</w:t>
      </w:r>
      <w:r>
        <w:rPr/>
        <w:t>. We report PR-AUC (average precision) as the primary metric because the classes are imbalanced, together with ROC-AUC, recall at a 5% false-positive rate, and precision, recall and F1 for the unverified class (threshold chosen on the training folds). Values are mean ± standard deviation over folds.</w:t>
      </w:r>
    </w:p>
    <w:p>
      <w:pPr>
        <w:jc w:val="both"/>
      </w:pPr>
      <w:r>
        <w:rPr/>
        <w:t xml:space="preserve">Headline numbers are computed on </w:t>
      </w:r>
      <w:r>
        <w:rPr>
          <w:i/>
        </w:rPr>
        <w:t>organic</w:t>
      </w:r>
      <w:r>
        <w:rPr/>
        <w:t xml:space="preserve"> apps, i.e. apps discovered through Play Store search or similar-app links. Apps found through the Play links in the RBI directory itself are verified by construction, so including them would reward a model for recognising how an app was found rather than its risk. All models are trained on every labelled app; results on all apps are reported alongside for comparison.</w:t>
      </w:r>
    </w:p>
    <w:p>
      <w:pPr>
        <w:pStyle w:val="Heading2"/>
      </w:pPr>
      <w:r>
        <w:t>Dataset and labels</w:t>
      </w:r>
    </w:p>
    <w:p>
      <w:pPr>
        <w:jc w:val="both"/>
      </w:pPr>
      <w:r>
        <w:rPr/>
        <w:t>The RBI Digital Lending Apps directory snapshot (</w:t>
      </w:r>
      <w:r>
        <w:rPr/>
        <w:t>2026-10-08</w:t>
      </w:r>
      <w:r>
        <w:rPr/>
        <w:t xml:space="preserve">) contained </w:t>
      </w:r>
      <w:r>
        <w:rPr/>
        <w:t>2,869</w:t>
      </w:r>
      <w:r>
        <w:rPr/>
        <w:t xml:space="preserve"> entries from </w:t>
      </w:r>
      <w:r>
        <w:rPr/>
        <w:t>457</w:t>
      </w:r>
      <w:r>
        <w:rPr/>
        <w:t xml:space="preserve"> regulated entities, linking </w:t>
      </w:r>
      <w:r>
        <w:rPr/>
        <w:t>434</w:t>
      </w:r>
      <w:r>
        <w:rPr/>
        <w:t xml:space="preserve"> distinct Play Store apps. Play Store discovery produced </w:t>
      </w:r>
      <w:r>
        <w:rPr/>
        <w:t>1,242</w:t>
      </w:r>
      <w:r>
        <w:rPr/>
        <w:t xml:space="preserve"> candidate apps (</w:t>
      </w:r>
      <w:r>
        <w:rPr/>
        <w:t>355</w:t>
      </w:r>
      <w:r>
        <w:rPr/>
        <w:t xml:space="preserve"> from search, </w:t>
      </w:r>
      <w:r>
        <w:rPr/>
        <w:t>536</w:t>
      </w:r>
      <w:r>
        <w:rPr/>
        <w:t xml:space="preserve"> from similar-app links, </w:t>
      </w:r>
      <w:r>
        <w:rPr/>
        <w:t>275</w:t>
      </w:r>
      <w:r>
        <w:rPr/>
        <w:t xml:space="preserve"> from RBI-listed links), of which </w:t>
      </w:r>
      <w:r>
        <w:rPr/>
        <w:t>652</w:t>
      </w:r>
      <w:r>
        <w:rPr/>
        <w:t xml:space="preserve"> were Finance apps that mention lending. </w:t>
      </w:r>
      <w:r>
        <w:rPr/>
        <w:t>Table 1</w:t>
      </w:r>
      <w:r>
        <w:rPr/>
        <w:t xml:space="preserve"> summarises the labelled dataset.</w:t>
      </w:r>
    </w:p>
    <w:p>
      <w:pPr>
        <w:pStyle w:val="Caption"/>
        <w:keepNext/>
        <w:spacing w:before="0" w:after="80"/>
        <w:jc w:val="center"/>
      </w:pPr>
      <w:r>
        <w:rPr>
          <w:b/>
        </w:rPr>
        <w:t xml:space="preserve">Table 1. </w:t>
      </w:r>
      <w:r>
        <w:rPr/>
        <w:t xml:space="preserve">Labelled dataset. </w:t>
      </w:r>
      <w:r>
        <w:rPr>
          <w:i/>
        </w:rPr>
        <w:t>Organic</w:t>
      </w:r>
      <w:r>
        <w:rPr/>
        <w:t xml:space="preserve"> apps were found by Play search or similar-app links.</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5325"/>
            <w:tcBorders>
              <w:top w:val="single" w:sz="12" w:space="0" w:color="000000"/>
              <w:bottom w:val="single" w:sz="6" w:space="0" w:color="000000"/>
            </w:tcBorders>
          </w:tcPr>
          <w:p>
            <w:pPr>
              <w:keepNext/>
              <w:spacing w:after="20"/>
              <w:jc w:val="left"/>
            </w:pPr>
          </w:p>
        </w:tc>
        <w:tc>
          <w:tcPr>
            <w:tcW w:type="dxa" w:w="907"/>
            <w:tcBorders>
              <w:top w:val="single" w:sz="12" w:space="0" w:color="000000"/>
              <w:bottom w:val="single" w:sz="6" w:space="0" w:color="000000"/>
            </w:tcBorders>
          </w:tcPr>
          <w:p>
            <w:pPr>
              <w:keepNext/>
              <w:spacing w:after="20"/>
              <w:jc w:val="center"/>
            </w:pPr>
            <w:r>
              <w:rPr>
                <w:b/>
                <w:sz w:val="18"/>
              </w:rPr>
              <w:t>All apps</w:t>
            </w:r>
          </w:p>
        </w:tc>
        <w:tc>
          <w:tcPr>
            <w:tcW w:type="dxa" w:w="1024"/>
            <w:tcBorders>
              <w:top w:val="single" w:sz="12" w:space="0" w:color="000000"/>
              <w:bottom w:val="single" w:sz="6" w:space="0" w:color="000000"/>
            </w:tcBorders>
          </w:tcPr>
          <w:p>
            <w:pPr>
              <w:keepNext/>
              <w:spacing w:after="20"/>
              <w:jc w:val="center"/>
            </w:pPr>
            <w:r>
              <w:rPr>
                <w:b/>
                <w:sz w:val="18"/>
              </w:rPr>
              <w:t>Organic apps</w:t>
            </w:r>
          </w:p>
        </w:tc>
      </w:tr>
      <w:tr>
        <w:trPr>
          <w:cantSplit/>
        </w:trPr>
        <w:tc>
          <w:tcPr>
            <w:tcW w:type="dxa" w:w="5325"/>
          </w:tcPr>
          <w:p>
            <w:pPr>
              <w:keepNext/>
              <w:spacing w:after="20"/>
              <w:jc w:val="left"/>
            </w:pPr>
            <w:r>
              <w:rPr>
                <w:sz w:val="18"/>
              </w:rPr>
              <w:t>Verified (listed in the RBI DLA directory)</w:t>
            </w:r>
          </w:p>
        </w:tc>
        <w:tc>
          <w:tcPr>
            <w:tcW w:type="dxa" w:w="907"/>
          </w:tcPr>
          <w:p>
            <w:pPr>
              <w:keepNext/>
              <w:spacing w:after="20"/>
              <w:jc w:val="center"/>
            </w:pPr>
            <w:r>
              <w:rPr>
                <w:sz w:val="18"/>
              </w:rPr>
              <w:t>364</w:t>
            </w:r>
          </w:p>
        </w:tc>
        <w:tc>
          <w:tcPr>
            <w:tcW w:type="dxa" w:w="1024"/>
          </w:tcPr>
          <w:p>
            <w:pPr>
              <w:keepNext/>
              <w:spacing w:after="20"/>
              <w:jc w:val="center"/>
            </w:pPr>
            <w:r>
              <w:rPr>
                <w:sz w:val="18"/>
              </w:rPr>
              <w:t>179</w:t>
            </w:r>
          </w:p>
        </w:tc>
      </w:tr>
      <w:tr>
        <w:trPr>
          <w:cantSplit/>
        </w:trPr>
        <w:tc>
          <w:tcPr>
            <w:tcW w:type="dxa" w:w="5325"/>
          </w:tcPr>
          <w:p>
            <w:pPr>
              <w:keepNext/>
              <w:spacing w:after="20"/>
              <w:jc w:val="left"/>
            </w:pPr>
            <w:r>
              <w:rPr>
                <w:sz w:val="18"/>
              </w:rPr>
              <w:t>Unverified (lends, not listed)</w:t>
            </w:r>
          </w:p>
        </w:tc>
        <w:tc>
          <w:tcPr>
            <w:tcW w:type="dxa" w:w="907"/>
          </w:tcPr>
          <w:p>
            <w:pPr>
              <w:keepNext/>
              <w:spacing w:after="20"/>
              <w:jc w:val="center"/>
            </w:pPr>
            <w:r>
              <w:rPr>
                <w:sz w:val="18"/>
              </w:rPr>
              <w:t>50</w:t>
            </w:r>
          </w:p>
        </w:tc>
        <w:tc>
          <w:tcPr>
            <w:tcW w:type="dxa" w:w="1024"/>
          </w:tcPr>
          <w:p>
            <w:pPr>
              <w:keepNext/>
              <w:spacing w:after="20"/>
              <w:jc w:val="center"/>
            </w:pPr>
            <w:r>
              <w:rPr>
                <w:sz w:val="18"/>
              </w:rPr>
              <w:t>50</w:t>
            </w:r>
          </w:p>
        </w:tc>
      </w:tr>
      <w:tr>
        <w:trPr>
          <w:cantSplit/>
        </w:trPr>
        <w:tc>
          <w:tcPr>
            <w:tcW w:type="dxa" w:w="5325"/>
          </w:tcPr>
          <w:p>
            <w:pPr>
              <w:keepNext/>
              <w:spacing w:after="20"/>
              <w:jc w:val="left"/>
            </w:pPr>
            <w:r>
              <w:rPr>
                <w:sz w:val="18"/>
              </w:rPr>
              <w:t>Base rate (share unverified)</w:t>
            </w:r>
          </w:p>
        </w:tc>
        <w:tc>
          <w:tcPr>
            <w:tcW w:type="dxa" w:w="907"/>
          </w:tcPr>
          <w:p>
            <w:pPr>
              <w:keepNext/>
              <w:spacing w:after="20"/>
              <w:jc w:val="center"/>
            </w:pPr>
            <w:r>
              <w:rPr>
                <w:sz w:val="18"/>
              </w:rPr>
              <w:t>0.121</w:t>
            </w:r>
          </w:p>
        </w:tc>
        <w:tc>
          <w:tcPr>
            <w:tcW w:type="dxa" w:w="1024"/>
          </w:tcPr>
          <w:p>
            <w:pPr>
              <w:keepNext/>
              <w:spacing w:after="20"/>
              <w:jc w:val="center"/>
            </w:pPr>
            <w:r>
              <w:rPr>
                <w:sz w:val="18"/>
              </w:rPr>
              <w:t>0.218</w:t>
            </w:r>
          </w:p>
        </w:tc>
      </w:tr>
      <w:tr>
        <w:trPr>
          <w:cantSplit/>
        </w:trPr>
        <w:tc>
          <w:tcPr>
            <w:tcW w:type="dxa" w:w="5325"/>
          </w:tcPr>
          <w:p>
            <w:pPr>
              <w:keepNext/>
              <w:spacing w:after="20"/>
              <w:jc w:val="left"/>
            </w:pPr>
            <w:r>
              <w:rPr>
                <w:sz w:val="18"/>
              </w:rPr>
              <w:t>Developers</w:t>
            </w:r>
          </w:p>
        </w:tc>
        <w:tc>
          <w:tcPr>
            <w:tcW w:type="dxa" w:w="907"/>
          </w:tcPr>
          <w:p>
            <w:pPr>
              <w:keepNext/>
              <w:spacing w:after="20"/>
              <w:jc w:val="center"/>
            </w:pPr>
            <w:r>
              <w:rPr>
                <w:sz w:val="18"/>
              </w:rPr>
              <w:t>366</w:t>
            </w:r>
          </w:p>
        </w:tc>
        <w:tc>
          <w:tcPr>
            <w:tcW w:type="dxa" w:w="1024"/>
          </w:tcPr>
          <w:p>
            <w:pPr>
              <w:keepNext/>
              <w:spacing w:after="20"/>
              <w:jc w:val="center"/>
            </w:pPr>
            <w:r>
              <w:rPr>
                <w:sz w:val="18"/>
              </w:rPr>
              <w:t>198</w:t>
            </w:r>
          </w:p>
        </w:tc>
      </w:tr>
      <w:tr>
        <w:trPr>
          <w:cantSplit/>
        </w:trPr>
        <w:tc>
          <w:tcPr>
            <w:tcW w:type="dxa" w:w="5325"/>
            <w:tcBorders>
              <w:top w:val="single" w:sz="4" w:space="0" w:color="000000"/>
            </w:tcBorders>
          </w:tcPr>
          <w:p>
            <w:pPr>
              <w:keepNext/>
              <w:spacing w:after="20"/>
              <w:jc w:val="left"/>
            </w:pPr>
            <w:r>
              <w:rPr>
                <w:sz w:val="18"/>
              </w:rPr>
              <w:t>Excluded (does not lend)</w:t>
            </w:r>
          </w:p>
        </w:tc>
        <w:tc>
          <w:tcPr>
            <w:tcW w:type="dxa" w:w="907"/>
            <w:tcBorders>
              <w:top w:val="single" w:sz="4" w:space="0" w:color="000000"/>
            </w:tcBorders>
          </w:tcPr>
          <w:p>
            <w:pPr>
              <w:keepNext/>
              <w:spacing w:after="20"/>
              <w:jc w:val="center"/>
            </w:pPr>
            <w:r>
              <w:rPr>
                <w:sz w:val="18"/>
              </w:rPr>
              <w:t>132</w:t>
            </w:r>
          </w:p>
        </w:tc>
        <w:tc>
          <w:tcPr>
            <w:tcW w:type="dxa" w:w="1024"/>
            <w:tcBorders>
              <w:top w:val="single" w:sz="4" w:space="0" w:color="000000"/>
            </w:tcBorders>
          </w:tcPr>
          <w:p>
            <w:pPr>
              <w:keepNext/>
              <w:spacing w:after="20"/>
              <w:jc w:val="center"/>
            </w:pPr>
          </w:p>
        </w:tc>
      </w:tr>
      <w:tr>
        <w:trPr>
          <w:cantSplit/>
        </w:trPr>
        <w:tc>
          <w:tcPr>
            <w:tcW w:type="dxa" w:w="5325"/>
            <w:tcBorders>
              <w:bottom w:val="single" w:sz="12" w:space="0" w:color="000000"/>
            </w:tcBorders>
          </w:tcPr>
          <w:p>
            <w:pPr>
              <w:keepNext w:val="0"/>
              <w:spacing w:after="20"/>
              <w:jc w:val="left"/>
            </w:pPr>
            <w:r>
              <w:rPr>
                <w:sz w:val="18"/>
              </w:rPr>
              <w:t>Unique reviews (labelled apps)</w:t>
            </w:r>
          </w:p>
        </w:tc>
        <w:tc>
          <w:tcPr>
            <w:tcW w:type="dxa" w:w="907"/>
            <w:tcBorders>
              <w:bottom w:val="single" w:sz="12" w:space="0" w:color="000000"/>
            </w:tcBorders>
          </w:tcPr>
          <w:p>
            <w:pPr>
              <w:keepNext w:val="0"/>
              <w:spacing w:after="20"/>
              <w:jc w:val="center"/>
            </w:pPr>
            <w:r>
              <w:rPr>
                <w:sz w:val="18"/>
              </w:rPr>
              <w:t>47,177</w:t>
            </w:r>
          </w:p>
        </w:tc>
        <w:tc>
          <w:tcPr>
            <w:tcW w:type="dxa" w:w="1024"/>
            <w:tcBorders>
              <w:bottom w:val="single" w:sz="12" w:space="0" w:color="000000"/>
            </w:tcBorders>
          </w:tcPr>
          <w:p>
            <w:pPr>
              <w:keepNext w:val="0"/>
              <w:spacing w:after="20"/>
              <w:jc w:val="center"/>
            </w:pPr>
          </w:p>
        </w:tc>
      </w:tr>
    </w:tbl>
    <w:p>
      <w:pPr>
        <w:spacing w:after="40"/>
      </w:pPr>
    </w:p>
    <w:p>
      <w:pPr>
        <w:jc w:val="both"/>
      </w:pPr>
      <w:r>
        <w:rPr/>
        <w:t xml:space="preserve">Automatic matching against the RBI directory labelled </w:t>
      </w:r>
      <w:r>
        <w:rPr/>
        <w:t>382</w:t>
      </w:r>
      <w:r>
        <w:rPr/>
        <w:t xml:space="preserve"> apps: </w:t>
      </w:r>
      <w:r>
        <w:rPr/>
        <w:t>340</w:t>
      </w:r>
      <w:r>
        <w:rPr/>
        <w:t xml:space="preserve"> verified by an exact Play package match, </w:t>
      </w:r>
      <w:r>
        <w:rPr/>
        <w:t>13</w:t>
      </w:r>
      <w:r>
        <w:rPr/>
        <w:t xml:space="preserve"> verified by app-name and developer match, and </w:t>
      </w:r>
      <w:r>
        <w:rPr/>
        <w:t>29</w:t>
      </w:r>
      <w:r>
        <w:rPr/>
        <w:t xml:space="preserve"> unverified because they offer credit but match no directory entry. The remaining </w:t>
      </w:r>
      <w:r>
        <w:rPr/>
        <w:t>138</w:t>
      </w:r>
      <w:r>
        <w:rPr/>
        <w:t xml:space="preserve"> apps (name matches in the review band, unlisted apps of listed lenders, and unclear lending status) were labelled manually following a written guide, giving </w:t>
      </w:r>
      <w:r>
        <w:rPr/>
        <w:t>11</w:t>
      </w:r>
      <w:r>
        <w:rPr/>
        <w:t xml:space="preserve"> verified, </w:t>
      </w:r>
      <w:r>
        <w:rPr/>
        <w:t>21</w:t>
      </w:r>
      <w:r>
        <w:rPr/>
        <w:t xml:space="preserve"> unverified and </w:t>
      </w:r>
      <w:r>
        <w:rPr/>
        <w:t>106</w:t>
      </w:r>
      <w:r>
        <w:rPr/>
        <w:t xml:space="preserve"> non-lending apps. </w:t>
      </w:r>
      <w:r>
        <w:rPr/>
        <w:t>This was done by a single AI-assisted annotator, so no inter-annotator agreement is available.</w:t>
      </w:r>
      <w:r>
        <w:rPr/>
        <w:t xml:space="preserve"> An audit of 50 random automatic labels found </w:t>
      </w:r>
      <w:r>
        <w:rPr/>
        <w:t>1</w:t>
      </w:r>
      <w:r>
        <w:rPr/>
        <w:t xml:space="preserve"> error (</w:t>
      </w:r>
      <w:r>
        <w:rPr/>
        <w:t>2% of 50</w:t>
      </w:r>
      <w:r>
        <w:rPr/>
        <w:t xml:space="preserve">), a listed bank app excluded by the lending-terms rule, and the rule was corrected. A seed list of </w:t>
      </w:r>
      <w:r>
        <w:rPr/>
        <w:t>46</w:t>
      </w:r>
      <w:r>
        <w:rPr/>
        <w:t xml:space="preserve"> app names from police and cyber-cell advisories added no training examples: </w:t>
      </w:r>
      <w:r>
        <w:rPr/>
        <w:t>38</w:t>
      </w:r>
      <w:r>
        <w:rPr/>
        <w:t xml:space="preserve"> are no longer on Google Play and the rest matched unrelated apps by name. Unverified apps are markedly newer: </w:t>
      </w:r>
      <w:r>
        <w:rPr/>
        <w:t>21</w:t>
      </w:r>
      <w:r>
        <w:rPr/>
        <w:t xml:space="preserve"> of the </w:t>
      </w:r>
      <w:r>
        <w:rPr/>
        <w:t>50</w:t>
      </w:r>
      <w:r>
        <w:rPr/>
        <w:t xml:space="preserve"> were released in 2026, consistent with Google Play's removal of unlisted loan apps from January 2026.</w:t>
      </w:r>
    </w:p>
    <w:p>
      <w:pPr>
        <w:pStyle w:val="Heading2"/>
      </w:pPr>
      <w:r>
        <w:t>Model comparison</w:t>
      </w:r>
    </w:p>
    <w:p>
      <w:pPr>
        <w:jc w:val="both"/>
      </w:pPr>
      <w:r>
        <w:rPr/>
        <w:t>Table 2</w:t>
      </w:r>
      <w:r>
        <w:rPr/>
        <w:t xml:space="preserve"> compares the tabular, text and fusion models on organic apps; </w:t>
      </w:r>
      <w:r>
        <w:rPr/>
        <w:t>Fig. 1</w:t>
      </w:r>
      <w:r>
        <w:rPr/>
        <w:t xml:space="preserve"> and </w:t>
      </w:r>
      <w:r>
        <w:rPr/>
        <w:t>Fig. 2</w:t>
      </w:r>
      <w:r>
        <w:rPr/>
        <w:t xml:space="preserve"> show their precision–recall curves and confusion matrices. The best tabular model was </w:t>
      </w:r>
      <w:r>
        <w:rPr/>
        <w:t>Logistic regression</w:t>
      </w:r>
      <w:r>
        <w:rPr/>
        <w:t xml:space="preserve"> and the best text model </w:t>
      </w:r>
      <w:r>
        <w:rPr/>
        <w:t>TF-IDF + LR</w:t>
      </w:r>
      <w:r>
        <w:rPr/>
        <w:t>; the fusion model stacks the two.</w:t>
      </w:r>
    </w:p>
    <w:p>
      <w:pPr>
        <w:pStyle w:val="Caption"/>
        <w:keepNext/>
        <w:spacing w:before="0" w:after="80"/>
        <w:jc w:val="center"/>
      </w:pPr>
      <w:r>
        <w:rPr>
          <w:b/>
        </w:rPr>
        <w:t xml:space="preserve">Table 2. </w:t>
      </w:r>
      <w:r>
        <w:rPr/>
        <w:t xml:space="preserve">Developer-grouped 5-fold CV on organic apps (base rate </w:t>
      </w:r>
      <w:r>
        <w:rPr/>
        <w:t>0.218</w:t>
      </w:r>
      <w:r>
        <w:rPr/>
        <w:t xml:space="preserve">). The last column gives PR-AUC on all apps (base rate </w:t>
      </w:r>
      <w:r>
        <w:rPr/>
        <w:t>0.121</w:t>
      </w:r>
      <w:r>
        <w:rPr/>
        <w:t>).</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786"/>
            <w:tcBorders>
              <w:top w:val="single" w:sz="12" w:space="0" w:color="000000"/>
              <w:bottom w:val="single" w:sz="6" w:space="0" w:color="000000"/>
            </w:tcBorders>
          </w:tcPr>
          <w:p>
            <w:pPr>
              <w:keepNext/>
              <w:spacing w:after="20"/>
              <w:jc w:val="left"/>
            </w:pPr>
          </w:p>
        </w:tc>
        <w:tc>
          <w:tcPr>
            <w:tcW w:type="dxa" w:w="2159"/>
            <w:tcBorders>
              <w:top w:val="single" w:sz="12" w:space="0" w:color="000000"/>
              <w:bottom w:val="single" w:sz="6" w:space="0" w:color="000000"/>
            </w:tcBorders>
          </w:tcPr>
          <w:p>
            <w:pPr>
              <w:keepNext/>
              <w:spacing w:after="20"/>
              <w:jc w:val="left"/>
            </w:pPr>
            <w:r>
              <w:rPr>
                <w:b/>
                <w:sz w:val="16"/>
              </w:rPr>
              <w:t>Model</w:t>
            </w:r>
          </w:p>
        </w:tc>
        <w:tc>
          <w:tcPr>
            <w:tcW w:type="dxa" w:w="997"/>
            <w:tcBorders>
              <w:top w:val="single" w:sz="12" w:space="0" w:color="000000"/>
              <w:bottom w:val="single" w:sz="6" w:space="0" w:color="000000"/>
            </w:tcBorders>
          </w:tcPr>
          <w:p>
            <w:pPr>
              <w:keepNext/>
              <w:spacing w:after="20"/>
              <w:jc w:val="center"/>
            </w:pPr>
            <w:r>
              <w:rPr>
                <w:b/>
                <w:sz w:val="16"/>
              </w:rPr>
              <w:t>PR-AUC</w:t>
            </w:r>
          </w:p>
        </w:tc>
        <w:tc>
          <w:tcPr>
            <w:tcW w:type="dxa" w:w="997"/>
            <w:tcBorders>
              <w:top w:val="single" w:sz="12" w:space="0" w:color="000000"/>
              <w:bottom w:val="single" w:sz="6" w:space="0" w:color="000000"/>
            </w:tcBorders>
          </w:tcPr>
          <w:p>
            <w:pPr>
              <w:keepNext/>
              <w:spacing w:after="20"/>
              <w:jc w:val="center"/>
            </w:pPr>
            <w:r>
              <w:rPr>
                <w:b/>
                <w:sz w:val="16"/>
              </w:rPr>
              <w:t>ROC-AUC</w:t>
            </w:r>
          </w:p>
        </w:tc>
        <w:tc>
          <w:tcPr>
            <w:tcW w:type="dxa" w:w="997"/>
            <w:tcBorders>
              <w:top w:val="single" w:sz="12" w:space="0" w:color="000000"/>
              <w:bottom w:val="single" w:sz="6" w:space="0" w:color="000000"/>
            </w:tcBorders>
          </w:tcPr>
          <w:p>
            <w:pPr>
              <w:keepNext/>
              <w:spacing w:after="20"/>
              <w:jc w:val="center"/>
            </w:pPr>
            <w:r>
              <w:rPr>
                <w:b/>
                <w:sz w:val="16"/>
              </w:rPr>
              <w:t>Rec@5% FPR</w:t>
            </w:r>
          </w:p>
        </w:tc>
        <w:tc>
          <w:tcPr>
            <w:tcW w:type="dxa" w:w="1142"/>
            <w:tcBorders>
              <w:top w:val="single" w:sz="12" w:space="0" w:color="000000"/>
              <w:bottom w:val="single" w:sz="6" w:space="0" w:color="000000"/>
            </w:tcBorders>
          </w:tcPr>
          <w:p>
            <w:pPr>
              <w:keepNext/>
              <w:spacing w:after="20"/>
              <w:jc w:val="center"/>
            </w:pPr>
            <w:r>
              <w:rPr>
                <w:b/>
                <w:sz w:val="16"/>
              </w:rPr>
              <w:t>Precision</w:t>
            </w:r>
          </w:p>
        </w:tc>
        <w:tc>
          <w:tcPr>
            <w:tcW w:type="dxa" w:w="997"/>
            <w:tcBorders>
              <w:top w:val="single" w:sz="12" w:space="0" w:color="000000"/>
              <w:bottom w:val="single" w:sz="6" w:space="0" w:color="000000"/>
            </w:tcBorders>
          </w:tcPr>
          <w:p>
            <w:pPr>
              <w:keepNext/>
              <w:spacing w:after="20"/>
              <w:jc w:val="center"/>
            </w:pPr>
            <w:r>
              <w:rPr>
                <w:b/>
                <w:sz w:val="16"/>
              </w:rPr>
              <w:t>Recall</w:t>
            </w:r>
          </w:p>
        </w:tc>
        <w:tc>
          <w:tcPr>
            <w:tcW w:type="dxa" w:w="997"/>
            <w:tcBorders>
              <w:top w:val="single" w:sz="12" w:space="0" w:color="000000"/>
              <w:bottom w:val="single" w:sz="6" w:space="0" w:color="000000"/>
            </w:tcBorders>
          </w:tcPr>
          <w:p>
            <w:pPr>
              <w:keepNext/>
              <w:spacing w:after="20"/>
              <w:jc w:val="center"/>
            </w:pPr>
            <w:r>
              <w:rPr>
                <w:b/>
                <w:sz w:val="16"/>
              </w:rPr>
              <w:t>PR-AUC (all)</w:t>
            </w:r>
          </w:p>
        </w:tc>
      </w:tr>
      <w:tr>
        <w:trPr>
          <w:cantSplit/>
        </w:trPr>
        <w:tc>
          <w:tcPr>
            <w:tcW w:type="dxa" w:w="786"/>
          </w:tcPr>
          <w:p>
            <w:pPr>
              <w:keepNext/>
              <w:spacing w:after="20"/>
              <w:jc w:val="left"/>
            </w:pPr>
            <w:r>
              <w:rPr>
                <w:sz w:val="16"/>
              </w:rPr>
              <w:t>Tabular</w:t>
            </w:r>
          </w:p>
        </w:tc>
        <w:tc>
          <w:tcPr>
            <w:tcW w:type="dxa" w:w="2159"/>
          </w:tcPr>
          <w:p>
            <w:pPr>
              <w:keepNext/>
              <w:spacing w:after="20"/>
              <w:jc w:val="left"/>
            </w:pPr>
            <w:r>
              <w:rPr>
                <w:sz w:val="16"/>
              </w:rPr>
              <w:t>Logistic regression</w:t>
            </w:r>
          </w:p>
        </w:tc>
        <w:tc>
          <w:tcPr>
            <w:tcW w:type="dxa" w:w="997"/>
          </w:tcPr>
          <w:p>
            <w:pPr>
              <w:keepNext/>
              <w:spacing w:after="20"/>
              <w:jc w:val="center"/>
            </w:pPr>
            <w:r>
              <w:rPr>
                <w:sz w:val="16"/>
              </w:rPr>
              <w:t>0.65 ± 0.04</w:t>
            </w:r>
          </w:p>
        </w:tc>
        <w:tc>
          <w:tcPr>
            <w:tcW w:type="dxa" w:w="997"/>
          </w:tcPr>
          <w:p>
            <w:pPr>
              <w:keepNext/>
              <w:spacing w:after="20"/>
              <w:jc w:val="center"/>
            </w:pPr>
            <w:r>
              <w:rPr>
                <w:sz w:val="16"/>
              </w:rPr>
              <w:t>0.85 ± 0.03</w:t>
            </w:r>
          </w:p>
        </w:tc>
        <w:tc>
          <w:tcPr>
            <w:tcW w:type="dxa" w:w="997"/>
          </w:tcPr>
          <w:p>
            <w:pPr>
              <w:keepNext/>
              <w:spacing w:after="20"/>
              <w:jc w:val="center"/>
            </w:pPr>
            <w:r>
              <w:rPr>
                <w:sz w:val="16"/>
              </w:rPr>
              <w:t>0.40 ± 0.22</w:t>
            </w:r>
          </w:p>
        </w:tc>
        <w:tc>
          <w:tcPr>
            <w:tcW w:type="dxa" w:w="1142"/>
          </w:tcPr>
          <w:p>
            <w:pPr>
              <w:keepNext/>
              <w:spacing w:after="20"/>
              <w:jc w:val="center"/>
            </w:pPr>
            <w:r>
              <w:rPr>
                <w:sz w:val="16"/>
              </w:rPr>
              <w:t>0.45 ± 0.15</w:t>
            </w:r>
          </w:p>
        </w:tc>
        <w:tc>
          <w:tcPr>
            <w:tcW w:type="dxa" w:w="997"/>
          </w:tcPr>
          <w:p>
            <w:pPr>
              <w:keepNext/>
              <w:spacing w:after="20"/>
              <w:jc w:val="center"/>
            </w:pPr>
            <w:r>
              <w:rPr>
                <w:sz w:val="16"/>
              </w:rPr>
              <w:t>0.52 ± 0.22</w:t>
            </w:r>
          </w:p>
        </w:tc>
        <w:tc>
          <w:tcPr>
            <w:tcW w:type="dxa" w:w="997"/>
          </w:tcPr>
          <w:p>
            <w:pPr>
              <w:keepNext/>
              <w:spacing w:after="20"/>
              <w:jc w:val="center"/>
            </w:pPr>
            <w:r>
              <w:rPr>
                <w:sz w:val="16"/>
              </w:rPr>
              <w:t>0.42 ± 0.12</w:t>
            </w:r>
          </w:p>
        </w:tc>
      </w:tr>
      <w:tr>
        <w:trPr>
          <w:cantSplit/>
        </w:trPr>
        <w:tc>
          <w:tcPr>
            <w:tcW w:type="dxa" w:w="786"/>
          </w:tcPr>
          <w:p>
            <w:pPr>
              <w:keepNext/>
              <w:spacing w:after="20"/>
              <w:jc w:val="left"/>
            </w:pPr>
          </w:p>
        </w:tc>
        <w:tc>
          <w:tcPr>
            <w:tcW w:type="dxa" w:w="2159"/>
          </w:tcPr>
          <w:p>
            <w:pPr>
              <w:keepNext/>
              <w:spacing w:after="20"/>
              <w:jc w:val="left"/>
            </w:pPr>
            <w:r>
              <w:rPr>
                <w:sz w:val="16"/>
              </w:rPr>
              <w:t>Random forest</w:t>
            </w:r>
          </w:p>
        </w:tc>
        <w:tc>
          <w:tcPr>
            <w:tcW w:type="dxa" w:w="997"/>
          </w:tcPr>
          <w:p>
            <w:pPr>
              <w:keepNext/>
              <w:spacing w:after="20"/>
              <w:jc w:val="center"/>
            </w:pPr>
            <w:r>
              <w:rPr>
                <w:sz w:val="16"/>
              </w:rPr>
              <w:t>0.58 ± 0.06</w:t>
            </w:r>
          </w:p>
        </w:tc>
        <w:tc>
          <w:tcPr>
            <w:tcW w:type="dxa" w:w="997"/>
          </w:tcPr>
          <w:p>
            <w:pPr>
              <w:keepNext/>
              <w:spacing w:after="20"/>
              <w:jc w:val="center"/>
            </w:pPr>
            <w:r>
              <w:rPr>
                <w:sz w:val="16"/>
              </w:rPr>
              <w:t>0.80 ± 0.07</w:t>
            </w:r>
          </w:p>
        </w:tc>
        <w:tc>
          <w:tcPr>
            <w:tcW w:type="dxa" w:w="997"/>
          </w:tcPr>
          <w:p>
            <w:pPr>
              <w:keepNext/>
              <w:spacing w:after="20"/>
              <w:jc w:val="center"/>
            </w:pPr>
            <w:r>
              <w:rPr>
                <w:sz w:val="16"/>
              </w:rPr>
              <w:t>0.34 ± 0.05</w:t>
            </w:r>
          </w:p>
        </w:tc>
        <w:tc>
          <w:tcPr>
            <w:tcW w:type="dxa" w:w="1142"/>
          </w:tcPr>
          <w:p>
            <w:pPr>
              <w:keepNext/>
              <w:spacing w:after="20"/>
              <w:jc w:val="center"/>
            </w:pPr>
            <w:r>
              <w:rPr>
                <w:sz w:val="16"/>
              </w:rPr>
              <w:t>0.54 ± 0.13</w:t>
            </w:r>
          </w:p>
        </w:tc>
        <w:tc>
          <w:tcPr>
            <w:tcW w:type="dxa" w:w="997"/>
          </w:tcPr>
          <w:p>
            <w:pPr>
              <w:keepNext/>
              <w:spacing w:after="20"/>
              <w:jc w:val="center"/>
            </w:pPr>
            <w:r>
              <w:rPr>
                <w:sz w:val="16"/>
              </w:rPr>
              <w:t>0.54 ± 0.23</w:t>
            </w:r>
          </w:p>
        </w:tc>
        <w:tc>
          <w:tcPr>
            <w:tcW w:type="dxa" w:w="997"/>
          </w:tcPr>
          <w:p>
            <w:pPr>
              <w:keepNext/>
              <w:spacing w:after="20"/>
              <w:jc w:val="center"/>
            </w:pPr>
            <w:r>
              <w:rPr>
                <w:sz w:val="16"/>
              </w:rPr>
              <w:t>0.34 ± 0.08</w:t>
            </w:r>
          </w:p>
        </w:tc>
      </w:tr>
      <w:tr>
        <w:trPr>
          <w:cantSplit/>
        </w:trPr>
        <w:tc>
          <w:tcPr>
            <w:tcW w:type="dxa" w:w="786"/>
          </w:tcPr>
          <w:p>
            <w:pPr>
              <w:keepNext/>
              <w:spacing w:after="20"/>
              <w:jc w:val="left"/>
            </w:pPr>
          </w:p>
        </w:tc>
        <w:tc>
          <w:tcPr>
            <w:tcW w:type="dxa" w:w="2159"/>
          </w:tcPr>
          <w:p>
            <w:pPr>
              <w:keepNext/>
              <w:spacing w:after="20"/>
              <w:jc w:val="left"/>
            </w:pPr>
            <w:r>
              <w:rPr>
                <w:sz w:val="16"/>
              </w:rPr>
              <w:t>XGBoost</w:t>
            </w:r>
          </w:p>
        </w:tc>
        <w:tc>
          <w:tcPr>
            <w:tcW w:type="dxa" w:w="997"/>
          </w:tcPr>
          <w:p>
            <w:pPr>
              <w:keepNext/>
              <w:spacing w:after="20"/>
              <w:jc w:val="center"/>
            </w:pPr>
            <w:r>
              <w:rPr>
                <w:sz w:val="16"/>
              </w:rPr>
              <w:t>0.55 ± 0.10</w:t>
            </w:r>
          </w:p>
        </w:tc>
        <w:tc>
          <w:tcPr>
            <w:tcW w:type="dxa" w:w="997"/>
          </w:tcPr>
          <w:p>
            <w:pPr>
              <w:keepNext/>
              <w:spacing w:after="20"/>
              <w:jc w:val="center"/>
            </w:pPr>
            <w:r>
              <w:rPr>
                <w:sz w:val="16"/>
              </w:rPr>
              <w:t>0.79 ± 0.08</w:t>
            </w:r>
          </w:p>
        </w:tc>
        <w:tc>
          <w:tcPr>
            <w:tcW w:type="dxa" w:w="997"/>
          </w:tcPr>
          <w:p>
            <w:pPr>
              <w:keepNext/>
              <w:spacing w:after="20"/>
              <w:jc w:val="center"/>
            </w:pPr>
            <w:r>
              <w:rPr>
                <w:sz w:val="16"/>
              </w:rPr>
              <w:t>0.42 ± 0.16</w:t>
            </w:r>
          </w:p>
        </w:tc>
        <w:tc>
          <w:tcPr>
            <w:tcW w:type="dxa" w:w="1142"/>
          </w:tcPr>
          <w:p>
            <w:pPr>
              <w:keepNext/>
              <w:spacing w:after="20"/>
              <w:jc w:val="center"/>
            </w:pPr>
            <w:r>
              <w:rPr>
                <w:sz w:val="16"/>
              </w:rPr>
              <w:t>0.54 ± 0.18</w:t>
            </w:r>
          </w:p>
        </w:tc>
        <w:tc>
          <w:tcPr>
            <w:tcW w:type="dxa" w:w="997"/>
          </w:tcPr>
          <w:p>
            <w:pPr>
              <w:keepNext/>
              <w:spacing w:after="20"/>
              <w:jc w:val="center"/>
            </w:pPr>
            <w:r>
              <w:rPr>
                <w:sz w:val="16"/>
              </w:rPr>
              <w:t>0.48 ± 0.31</w:t>
            </w:r>
          </w:p>
        </w:tc>
        <w:tc>
          <w:tcPr>
            <w:tcW w:type="dxa" w:w="997"/>
          </w:tcPr>
          <w:p>
            <w:pPr>
              <w:keepNext/>
              <w:spacing w:after="20"/>
              <w:jc w:val="center"/>
            </w:pPr>
            <w:r>
              <w:rPr>
                <w:sz w:val="16"/>
              </w:rPr>
              <w:t>0.34 ± 0.08</w:t>
            </w:r>
          </w:p>
        </w:tc>
      </w:tr>
      <w:tr>
        <w:trPr>
          <w:cantSplit/>
        </w:trPr>
        <w:tc>
          <w:tcPr>
            <w:tcW w:type="dxa" w:w="786"/>
          </w:tcPr>
          <w:p>
            <w:pPr>
              <w:keepNext/>
              <w:spacing w:after="20"/>
              <w:jc w:val="left"/>
            </w:pPr>
          </w:p>
        </w:tc>
        <w:tc>
          <w:tcPr>
            <w:tcW w:type="dxa" w:w="2159"/>
          </w:tcPr>
          <w:p>
            <w:pPr>
              <w:keepNext/>
              <w:spacing w:after="20"/>
              <w:jc w:val="left"/>
            </w:pPr>
            <w:r>
              <w:rPr>
                <w:sz w:val="16"/>
              </w:rPr>
              <w:t>LightGBM</w:t>
            </w:r>
          </w:p>
        </w:tc>
        <w:tc>
          <w:tcPr>
            <w:tcW w:type="dxa" w:w="997"/>
          </w:tcPr>
          <w:p>
            <w:pPr>
              <w:keepNext/>
              <w:spacing w:after="20"/>
              <w:jc w:val="center"/>
            </w:pPr>
            <w:r>
              <w:rPr>
                <w:sz w:val="16"/>
              </w:rPr>
              <w:t>0.57 ± 0.08</w:t>
            </w:r>
          </w:p>
        </w:tc>
        <w:tc>
          <w:tcPr>
            <w:tcW w:type="dxa" w:w="997"/>
          </w:tcPr>
          <w:p>
            <w:pPr>
              <w:keepNext/>
              <w:spacing w:after="20"/>
              <w:jc w:val="center"/>
            </w:pPr>
            <w:r>
              <w:rPr>
                <w:sz w:val="16"/>
              </w:rPr>
              <w:t>0.78 ± 0.08</w:t>
            </w:r>
          </w:p>
        </w:tc>
        <w:tc>
          <w:tcPr>
            <w:tcW w:type="dxa" w:w="997"/>
          </w:tcPr>
          <w:p>
            <w:pPr>
              <w:keepNext/>
              <w:spacing w:after="20"/>
              <w:jc w:val="center"/>
            </w:pPr>
            <w:r>
              <w:rPr>
                <w:sz w:val="16"/>
              </w:rPr>
              <w:t>0.36 ± 0.13</w:t>
            </w:r>
          </w:p>
        </w:tc>
        <w:tc>
          <w:tcPr>
            <w:tcW w:type="dxa" w:w="1142"/>
          </w:tcPr>
          <w:p>
            <w:pPr>
              <w:keepNext/>
              <w:spacing w:after="20"/>
              <w:jc w:val="center"/>
            </w:pPr>
            <w:r>
              <w:rPr>
                <w:sz w:val="16"/>
              </w:rPr>
              <w:t>0.48 ± 0.18</w:t>
            </w:r>
          </w:p>
        </w:tc>
        <w:tc>
          <w:tcPr>
            <w:tcW w:type="dxa" w:w="997"/>
          </w:tcPr>
          <w:p>
            <w:pPr>
              <w:keepNext/>
              <w:spacing w:after="20"/>
              <w:jc w:val="center"/>
            </w:pPr>
            <w:r>
              <w:rPr>
                <w:sz w:val="16"/>
              </w:rPr>
              <w:t>0.62 ± 0.33</w:t>
            </w:r>
          </w:p>
        </w:tc>
        <w:tc>
          <w:tcPr>
            <w:tcW w:type="dxa" w:w="997"/>
          </w:tcPr>
          <w:p>
            <w:pPr>
              <w:keepNext/>
              <w:spacing w:after="20"/>
              <w:jc w:val="center"/>
            </w:pPr>
            <w:r>
              <w:rPr>
                <w:sz w:val="16"/>
              </w:rPr>
              <w:t>0.37 ± 0.14</w:t>
            </w:r>
          </w:p>
        </w:tc>
      </w:tr>
      <w:tr>
        <w:trPr>
          <w:cantSplit/>
        </w:trPr>
        <w:tc>
          <w:tcPr>
            <w:tcW w:type="dxa" w:w="786"/>
            <w:tcBorders>
              <w:top w:val="single" w:sz="4" w:space="0" w:color="000000"/>
            </w:tcBorders>
          </w:tcPr>
          <w:p>
            <w:pPr>
              <w:keepNext/>
              <w:spacing w:after="20"/>
              <w:jc w:val="left"/>
            </w:pPr>
            <w:r>
              <w:rPr>
                <w:sz w:val="16"/>
              </w:rPr>
              <w:t>Text</w:t>
            </w:r>
          </w:p>
        </w:tc>
        <w:tc>
          <w:tcPr>
            <w:tcW w:type="dxa" w:w="2159"/>
            <w:tcBorders>
              <w:top w:val="single" w:sz="4" w:space="0" w:color="000000"/>
            </w:tcBorders>
          </w:tcPr>
          <w:p>
            <w:pPr>
              <w:keepNext/>
              <w:spacing w:after="20"/>
              <w:jc w:val="left"/>
            </w:pPr>
            <w:r>
              <w:rPr>
                <w:sz w:val="16"/>
              </w:rPr>
              <w:t>TF-IDF + LR</w:t>
            </w:r>
          </w:p>
        </w:tc>
        <w:tc>
          <w:tcPr>
            <w:tcW w:type="dxa" w:w="997"/>
            <w:tcBorders>
              <w:top w:val="single" w:sz="4" w:space="0" w:color="000000"/>
            </w:tcBorders>
          </w:tcPr>
          <w:p>
            <w:pPr>
              <w:keepNext/>
              <w:spacing w:after="20"/>
              <w:jc w:val="center"/>
            </w:pPr>
            <w:r>
              <w:rPr>
                <w:sz w:val="16"/>
              </w:rPr>
              <w:t>0.49 ± 0.19</w:t>
            </w:r>
          </w:p>
        </w:tc>
        <w:tc>
          <w:tcPr>
            <w:tcW w:type="dxa" w:w="997"/>
            <w:tcBorders>
              <w:top w:val="single" w:sz="4" w:space="0" w:color="000000"/>
            </w:tcBorders>
          </w:tcPr>
          <w:p>
            <w:pPr>
              <w:keepNext/>
              <w:spacing w:after="20"/>
              <w:jc w:val="center"/>
            </w:pPr>
            <w:r>
              <w:rPr>
                <w:sz w:val="16"/>
              </w:rPr>
              <w:t>0.66 ± 0.18</w:t>
            </w:r>
          </w:p>
        </w:tc>
        <w:tc>
          <w:tcPr>
            <w:tcW w:type="dxa" w:w="997"/>
            <w:tcBorders>
              <w:top w:val="single" w:sz="4" w:space="0" w:color="000000"/>
            </w:tcBorders>
          </w:tcPr>
          <w:p>
            <w:pPr>
              <w:keepNext/>
              <w:spacing w:after="20"/>
              <w:jc w:val="center"/>
            </w:pPr>
            <w:r>
              <w:rPr>
                <w:sz w:val="16"/>
              </w:rPr>
              <w:t>0.29 ± 0.17</w:t>
            </w:r>
          </w:p>
        </w:tc>
        <w:tc>
          <w:tcPr>
            <w:tcW w:type="dxa" w:w="1142"/>
            <w:tcBorders>
              <w:top w:val="single" w:sz="4" w:space="0" w:color="000000"/>
            </w:tcBorders>
          </w:tcPr>
          <w:p>
            <w:pPr>
              <w:keepNext/>
              <w:spacing w:after="20"/>
              <w:jc w:val="center"/>
            </w:pPr>
            <w:r>
              <w:rPr>
                <w:sz w:val="16"/>
              </w:rPr>
              <w:t>0.34 ± 0.12</w:t>
            </w:r>
          </w:p>
        </w:tc>
        <w:tc>
          <w:tcPr>
            <w:tcW w:type="dxa" w:w="997"/>
            <w:tcBorders>
              <w:top w:val="single" w:sz="4" w:space="0" w:color="000000"/>
            </w:tcBorders>
          </w:tcPr>
          <w:p>
            <w:pPr>
              <w:keepNext/>
              <w:spacing w:after="20"/>
              <w:jc w:val="center"/>
            </w:pPr>
            <w:r>
              <w:rPr>
                <w:sz w:val="16"/>
              </w:rPr>
              <w:t>0.46 ± 0.28</w:t>
            </w:r>
          </w:p>
        </w:tc>
        <w:tc>
          <w:tcPr>
            <w:tcW w:type="dxa" w:w="997"/>
            <w:tcBorders>
              <w:top w:val="single" w:sz="4" w:space="0" w:color="000000"/>
            </w:tcBorders>
          </w:tcPr>
          <w:p>
            <w:pPr>
              <w:keepNext/>
              <w:spacing w:after="20"/>
              <w:jc w:val="center"/>
            </w:pPr>
            <w:r>
              <w:rPr>
                <w:sz w:val="16"/>
              </w:rPr>
              <w:t>0.32 ± 0.13</w:t>
            </w:r>
          </w:p>
        </w:tc>
      </w:tr>
      <w:tr>
        <w:trPr>
          <w:cantSplit/>
        </w:trPr>
        <w:tc>
          <w:tcPr>
            <w:tcW w:type="dxa" w:w="786"/>
          </w:tcPr>
          <w:p>
            <w:pPr>
              <w:keepNext/>
              <w:spacing w:after="20"/>
              <w:jc w:val="left"/>
            </w:pPr>
          </w:p>
        </w:tc>
        <w:tc>
          <w:tcPr>
            <w:tcW w:type="dxa" w:w="2159"/>
          </w:tcPr>
          <w:p>
            <w:pPr>
              <w:keepNext/>
              <w:spacing w:after="20"/>
              <w:jc w:val="left"/>
            </w:pPr>
            <w:r>
              <w:rPr>
                <w:sz w:val="16"/>
              </w:rPr>
              <w:t>TF-IDF + SVM</w:t>
            </w:r>
          </w:p>
        </w:tc>
        <w:tc>
          <w:tcPr>
            <w:tcW w:type="dxa" w:w="997"/>
          </w:tcPr>
          <w:p>
            <w:pPr>
              <w:keepNext/>
              <w:spacing w:after="20"/>
              <w:jc w:val="center"/>
            </w:pPr>
            <w:r>
              <w:rPr>
                <w:sz w:val="16"/>
              </w:rPr>
              <w:t>0.48 ± 0.18</w:t>
            </w:r>
          </w:p>
        </w:tc>
        <w:tc>
          <w:tcPr>
            <w:tcW w:type="dxa" w:w="997"/>
          </w:tcPr>
          <w:p>
            <w:pPr>
              <w:keepNext/>
              <w:spacing w:after="20"/>
              <w:jc w:val="center"/>
            </w:pPr>
            <w:r>
              <w:rPr>
                <w:sz w:val="16"/>
              </w:rPr>
              <w:t>0.67 ± 0.17</w:t>
            </w:r>
          </w:p>
        </w:tc>
        <w:tc>
          <w:tcPr>
            <w:tcW w:type="dxa" w:w="997"/>
          </w:tcPr>
          <w:p>
            <w:pPr>
              <w:keepNext/>
              <w:spacing w:after="20"/>
              <w:jc w:val="center"/>
            </w:pPr>
            <w:r>
              <w:rPr>
                <w:sz w:val="16"/>
              </w:rPr>
              <w:t>0.27 ± 0.15</w:t>
            </w:r>
          </w:p>
        </w:tc>
        <w:tc>
          <w:tcPr>
            <w:tcW w:type="dxa" w:w="1142"/>
          </w:tcPr>
          <w:p>
            <w:pPr>
              <w:keepNext/>
              <w:spacing w:after="20"/>
              <w:jc w:val="center"/>
            </w:pPr>
            <w:r>
              <w:rPr>
                <w:sz w:val="16"/>
              </w:rPr>
              <w:t>0.40 ± 0.10</w:t>
            </w:r>
          </w:p>
        </w:tc>
        <w:tc>
          <w:tcPr>
            <w:tcW w:type="dxa" w:w="997"/>
          </w:tcPr>
          <w:p>
            <w:pPr>
              <w:keepNext/>
              <w:spacing w:after="20"/>
              <w:jc w:val="center"/>
            </w:pPr>
            <w:r>
              <w:rPr>
                <w:sz w:val="16"/>
              </w:rPr>
              <w:t>0.44 ± 0.24</w:t>
            </w:r>
          </w:p>
        </w:tc>
        <w:tc>
          <w:tcPr>
            <w:tcW w:type="dxa" w:w="997"/>
          </w:tcPr>
          <w:p>
            <w:pPr>
              <w:keepNext/>
              <w:spacing w:after="20"/>
              <w:jc w:val="center"/>
            </w:pPr>
            <w:r>
              <w:rPr>
                <w:sz w:val="16"/>
              </w:rPr>
              <w:t>0.32 ± 0.11</w:t>
            </w:r>
          </w:p>
        </w:tc>
      </w:tr>
      <w:tr>
        <w:trPr>
          <w:cantSplit/>
        </w:trPr>
        <w:tc>
          <w:tcPr>
            <w:tcW w:type="dxa" w:w="786"/>
          </w:tcPr>
          <w:p>
            <w:pPr>
              <w:keepNext/>
              <w:spacing w:after="20"/>
              <w:jc w:val="left"/>
            </w:pPr>
          </w:p>
        </w:tc>
        <w:tc>
          <w:tcPr>
            <w:tcW w:type="dxa" w:w="2159"/>
          </w:tcPr>
          <w:p>
            <w:pPr>
              <w:keepNext/>
              <w:spacing w:after="20"/>
              <w:jc w:val="left"/>
            </w:pPr>
            <w:r>
              <w:rPr>
                <w:sz w:val="16"/>
              </w:rPr>
              <w:t>TF-IDF + LR, brand-masked</w:t>
            </w:r>
          </w:p>
        </w:tc>
        <w:tc>
          <w:tcPr>
            <w:tcW w:type="dxa" w:w="997"/>
          </w:tcPr>
          <w:p>
            <w:pPr>
              <w:keepNext/>
              <w:spacing w:after="20"/>
              <w:jc w:val="center"/>
            </w:pPr>
            <w:r>
              <w:rPr>
                <w:sz w:val="16"/>
              </w:rPr>
              <w:t>0.48 ± 0.20</w:t>
            </w:r>
          </w:p>
        </w:tc>
        <w:tc>
          <w:tcPr>
            <w:tcW w:type="dxa" w:w="997"/>
          </w:tcPr>
          <w:p>
            <w:pPr>
              <w:keepNext/>
              <w:spacing w:after="20"/>
              <w:jc w:val="center"/>
            </w:pPr>
            <w:r>
              <w:rPr>
                <w:sz w:val="16"/>
              </w:rPr>
              <w:t>0.66 ± 0.17</w:t>
            </w:r>
          </w:p>
        </w:tc>
        <w:tc>
          <w:tcPr>
            <w:tcW w:type="dxa" w:w="997"/>
          </w:tcPr>
          <w:p>
            <w:pPr>
              <w:keepNext/>
              <w:spacing w:after="20"/>
              <w:jc w:val="center"/>
            </w:pPr>
            <w:r>
              <w:rPr>
                <w:sz w:val="16"/>
              </w:rPr>
              <w:t>0.27 ± 0.18</w:t>
            </w:r>
          </w:p>
        </w:tc>
        <w:tc>
          <w:tcPr>
            <w:tcW w:type="dxa" w:w="1142"/>
          </w:tcPr>
          <w:p>
            <w:pPr>
              <w:keepNext/>
              <w:spacing w:after="20"/>
              <w:jc w:val="center"/>
            </w:pPr>
            <w:r>
              <w:rPr>
                <w:sz w:val="16"/>
              </w:rPr>
              <w:t>0.31 ± 0.13</w:t>
            </w:r>
          </w:p>
        </w:tc>
        <w:tc>
          <w:tcPr>
            <w:tcW w:type="dxa" w:w="997"/>
          </w:tcPr>
          <w:p>
            <w:pPr>
              <w:keepNext/>
              <w:spacing w:after="20"/>
              <w:jc w:val="center"/>
            </w:pPr>
            <w:r>
              <w:rPr>
                <w:sz w:val="16"/>
              </w:rPr>
              <w:t>0.46 ± 0.35</w:t>
            </w:r>
          </w:p>
        </w:tc>
        <w:tc>
          <w:tcPr>
            <w:tcW w:type="dxa" w:w="997"/>
          </w:tcPr>
          <w:p>
            <w:pPr>
              <w:keepNext/>
              <w:spacing w:after="20"/>
              <w:jc w:val="center"/>
            </w:pPr>
            <w:r>
              <w:rPr>
                <w:sz w:val="16"/>
              </w:rPr>
              <w:t>0.31 ± 0.11</w:t>
            </w:r>
          </w:p>
        </w:tc>
      </w:tr>
      <w:tr>
        <w:trPr>
          <w:cantSplit/>
        </w:trPr>
        <w:tc>
          <w:tcPr>
            <w:tcW w:type="dxa" w:w="786"/>
          </w:tcPr>
          <w:p>
            <w:pPr>
              <w:keepNext/>
              <w:spacing w:after="20"/>
              <w:jc w:val="left"/>
            </w:pPr>
          </w:p>
        </w:tc>
        <w:tc>
          <w:tcPr>
            <w:tcW w:type="dxa" w:w="2159"/>
          </w:tcPr>
          <w:p>
            <w:pPr>
              <w:keepNext/>
              <w:spacing w:after="20"/>
              <w:jc w:val="left"/>
            </w:pPr>
            <w:r>
              <w:rPr>
                <w:sz w:val="16"/>
              </w:rPr>
              <w:t>TF-IDF + SVM, brand-masked</w:t>
            </w:r>
          </w:p>
        </w:tc>
        <w:tc>
          <w:tcPr>
            <w:tcW w:type="dxa" w:w="997"/>
          </w:tcPr>
          <w:p>
            <w:pPr>
              <w:keepNext/>
              <w:spacing w:after="20"/>
              <w:jc w:val="center"/>
            </w:pPr>
            <w:r>
              <w:rPr>
                <w:sz w:val="16"/>
              </w:rPr>
              <w:t>0.47 ± 0.18</w:t>
            </w:r>
          </w:p>
        </w:tc>
        <w:tc>
          <w:tcPr>
            <w:tcW w:type="dxa" w:w="997"/>
          </w:tcPr>
          <w:p>
            <w:pPr>
              <w:keepNext/>
              <w:spacing w:after="20"/>
              <w:jc w:val="center"/>
            </w:pPr>
            <w:r>
              <w:rPr>
                <w:sz w:val="16"/>
              </w:rPr>
              <w:t>0.67 ± 0.16</w:t>
            </w:r>
          </w:p>
        </w:tc>
        <w:tc>
          <w:tcPr>
            <w:tcW w:type="dxa" w:w="997"/>
          </w:tcPr>
          <w:p>
            <w:pPr>
              <w:keepNext/>
              <w:spacing w:after="20"/>
              <w:jc w:val="center"/>
            </w:pPr>
            <w:r>
              <w:rPr>
                <w:sz w:val="16"/>
              </w:rPr>
              <w:t>0.25 ± 0.15</w:t>
            </w:r>
          </w:p>
        </w:tc>
        <w:tc>
          <w:tcPr>
            <w:tcW w:type="dxa" w:w="1142"/>
          </w:tcPr>
          <w:p>
            <w:pPr>
              <w:keepNext/>
              <w:spacing w:after="20"/>
              <w:jc w:val="center"/>
            </w:pPr>
            <w:r>
              <w:rPr>
                <w:sz w:val="16"/>
              </w:rPr>
              <w:t>0.29 ± 0.14</w:t>
            </w:r>
          </w:p>
        </w:tc>
        <w:tc>
          <w:tcPr>
            <w:tcW w:type="dxa" w:w="997"/>
          </w:tcPr>
          <w:p>
            <w:pPr>
              <w:keepNext/>
              <w:spacing w:after="20"/>
              <w:jc w:val="center"/>
            </w:pPr>
            <w:r>
              <w:rPr>
                <w:sz w:val="16"/>
              </w:rPr>
              <w:t>0.48 ± 0.27</w:t>
            </w:r>
          </w:p>
        </w:tc>
        <w:tc>
          <w:tcPr>
            <w:tcW w:type="dxa" w:w="997"/>
          </w:tcPr>
          <w:p>
            <w:pPr>
              <w:keepNext/>
              <w:spacing w:after="20"/>
              <w:jc w:val="center"/>
            </w:pPr>
            <w:r>
              <w:rPr>
                <w:sz w:val="16"/>
              </w:rPr>
              <w:t>0.31 ± 0.10</w:t>
            </w:r>
          </w:p>
        </w:tc>
      </w:tr>
      <w:tr>
        <w:trPr>
          <w:cantSplit/>
        </w:trPr>
        <w:tc>
          <w:tcPr>
            <w:tcW w:type="dxa" w:w="786"/>
          </w:tcPr>
          <w:p>
            <w:pPr>
              <w:keepNext/>
              <w:spacing w:after="20"/>
              <w:jc w:val="left"/>
            </w:pPr>
          </w:p>
        </w:tc>
        <w:tc>
          <w:tcPr>
            <w:tcW w:type="dxa" w:w="2159"/>
          </w:tcPr>
          <w:p>
            <w:pPr>
              <w:keepNext/>
              <w:spacing w:after="20"/>
              <w:jc w:val="left"/>
            </w:pPr>
            <w:r>
              <w:rPr>
                <w:sz w:val="16"/>
              </w:rPr>
              <w:t>MuRIL (frozen)</w:t>
            </w:r>
          </w:p>
        </w:tc>
        <w:tc>
          <w:tcPr>
            <w:tcW w:type="dxa" w:w="997"/>
          </w:tcPr>
          <w:p>
            <w:pPr>
              <w:keepNext/>
              <w:spacing w:after="20"/>
              <w:jc w:val="center"/>
            </w:pPr>
            <w:r>
              <w:rPr>
                <w:sz w:val="16"/>
              </w:rPr>
              <w:t>0.40 ± 0.16</w:t>
            </w:r>
          </w:p>
        </w:tc>
        <w:tc>
          <w:tcPr>
            <w:tcW w:type="dxa" w:w="997"/>
          </w:tcPr>
          <w:p>
            <w:pPr>
              <w:keepNext/>
              <w:spacing w:after="20"/>
              <w:jc w:val="center"/>
            </w:pPr>
            <w:r>
              <w:rPr>
                <w:sz w:val="16"/>
              </w:rPr>
              <w:t>0.59 ± 0.17</w:t>
            </w:r>
          </w:p>
        </w:tc>
        <w:tc>
          <w:tcPr>
            <w:tcW w:type="dxa" w:w="997"/>
          </w:tcPr>
          <w:p>
            <w:pPr>
              <w:keepNext/>
              <w:spacing w:after="20"/>
              <w:jc w:val="center"/>
            </w:pPr>
            <w:r>
              <w:rPr>
                <w:sz w:val="16"/>
              </w:rPr>
              <w:t>0.23 ± 0.19</w:t>
            </w:r>
          </w:p>
        </w:tc>
        <w:tc>
          <w:tcPr>
            <w:tcW w:type="dxa" w:w="1142"/>
          </w:tcPr>
          <w:p>
            <w:pPr>
              <w:keepNext/>
              <w:spacing w:after="20"/>
              <w:jc w:val="center"/>
            </w:pPr>
            <w:r>
              <w:rPr>
                <w:sz w:val="16"/>
              </w:rPr>
              <w:t>0.17 ± 0.10</w:t>
            </w:r>
          </w:p>
        </w:tc>
        <w:tc>
          <w:tcPr>
            <w:tcW w:type="dxa" w:w="997"/>
          </w:tcPr>
          <w:p>
            <w:pPr>
              <w:keepNext/>
              <w:spacing w:after="20"/>
              <w:jc w:val="center"/>
            </w:pPr>
            <w:r>
              <w:rPr>
                <w:sz w:val="16"/>
              </w:rPr>
              <w:t>0.68 ± 0.46</w:t>
            </w:r>
          </w:p>
        </w:tc>
        <w:tc>
          <w:tcPr>
            <w:tcW w:type="dxa" w:w="997"/>
          </w:tcPr>
          <w:p>
            <w:pPr>
              <w:keepNext/>
              <w:spacing w:after="20"/>
              <w:jc w:val="center"/>
            </w:pPr>
            <w:r>
              <w:rPr>
                <w:sz w:val="16"/>
              </w:rPr>
              <w:t>0.25 ± 0.11</w:t>
            </w:r>
          </w:p>
        </w:tc>
      </w:tr>
      <w:tr>
        <w:trPr>
          <w:cantSplit/>
        </w:trPr>
        <w:tc>
          <w:tcPr>
            <w:tcW w:type="dxa" w:w="786"/>
          </w:tcPr>
          <w:p>
            <w:pPr>
              <w:keepNext/>
              <w:spacing w:after="20"/>
              <w:jc w:val="left"/>
            </w:pPr>
          </w:p>
        </w:tc>
        <w:tc>
          <w:tcPr>
            <w:tcW w:type="dxa" w:w="2159"/>
          </w:tcPr>
          <w:p>
            <w:pPr>
              <w:keepNext/>
              <w:spacing w:after="20"/>
              <w:jc w:val="left"/>
            </w:pPr>
            <w:r>
              <w:rPr>
                <w:sz w:val="16"/>
              </w:rPr>
              <w:t>MuRIL (frozen), brand-masked</w:t>
            </w:r>
          </w:p>
        </w:tc>
        <w:tc>
          <w:tcPr>
            <w:tcW w:type="dxa" w:w="997"/>
          </w:tcPr>
          <w:p>
            <w:pPr>
              <w:keepNext/>
              <w:spacing w:after="20"/>
              <w:jc w:val="center"/>
            </w:pPr>
            <w:r>
              <w:rPr>
                <w:sz w:val="16"/>
              </w:rPr>
              <w:t>0.40 ± 0.14</w:t>
            </w:r>
          </w:p>
        </w:tc>
        <w:tc>
          <w:tcPr>
            <w:tcW w:type="dxa" w:w="997"/>
          </w:tcPr>
          <w:p>
            <w:pPr>
              <w:keepNext/>
              <w:spacing w:after="20"/>
              <w:jc w:val="center"/>
            </w:pPr>
            <w:r>
              <w:rPr>
                <w:sz w:val="16"/>
              </w:rPr>
              <w:t>0.59 ± 0.16</w:t>
            </w:r>
          </w:p>
        </w:tc>
        <w:tc>
          <w:tcPr>
            <w:tcW w:type="dxa" w:w="997"/>
          </w:tcPr>
          <w:p>
            <w:pPr>
              <w:keepNext/>
              <w:spacing w:after="20"/>
              <w:jc w:val="center"/>
            </w:pPr>
            <w:r>
              <w:rPr>
                <w:sz w:val="16"/>
              </w:rPr>
              <w:t>0.23 ± 0.14</w:t>
            </w:r>
          </w:p>
        </w:tc>
        <w:tc>
          <w:tcPr>
            <w:tcW w:type="dxa" w:w="1142"/>
          </w:tcPr>
          <w:p>
            <w:pPr>
              <w:keepNext/>
              <w:spacing w:after="20"/>
              <w:jc w:val="center"/>
            </w:pPr>
            <w:r>
              <w:rPr>
                <w:sz w:val="16"/>
              </w:rPr>
              <w:t>0.23 ± 0.18</w:t>
            </w:r>
          </w:p>
        </w:tc>
        <w:tc>
          <w:tcPr>
            <w:tcW w:type="dxa" w:w="997"/>
          </w:tcPr>
          <w:p>
            <w:pPr>
              <w:keepNext/>
              <w:spacing w:after="20"/>
              <w:jc w:val="center"/>
            </w:pPr>
            <w:r>
              <w:rPr>
                <w:sz w:val="16"/>
              </w:rPr>
              <w:t>0.64 ± 0.50</w:t>
            </w:r>
          </w:p>
        </w:tc>
        <w:tc>
          <w:tcPr>
            <w:tcW w:type="dxa" w:w="997"/>
          </w:tcPr>
          <w:p>
            <w:pPr>
              <w:keepNext/>
              <w:spacing w:after="20"/>
              <w:jc w:val="center"/>
            </w:pPr>
            <w:r>
              <w:rPr>
                <w:sz w:val="16"/>
              </w:rPr>
              <w:t>0.25 ± 0.11</w:t>
            </w:r>
          </w:p>
        </w:tc>
      </w:tr>
      <w:tr>
        <w:trPr>
          <w:cantSplit/>
        </w:trPr>
        <w:tc>
          <w:tcPr>
            <w:tcW w:type="dxa" w:w="786"/>
          </w:tcPr>
          <w:p>
            <w:pPr>
              <w:keepNext/>
              <w:spacing w:after="20"/>
              <w:jc w:val="left"/>
            </w:pPr>
          </w:p>
        </w:tc>
        <w:tc>
          <w:tcPr>
            <w:tcW w:type="dxa" w:w="2159"/>
          </w:tcPr>
          <w:p>
            <w:pPr>
              <w:keepNext/>
              <w:spacing w:after="20"/>
              <w:jc w:val="left"/>
            </w:pPr>
            <w:r>
              <w:rPr>
                <w:sz w:val="16"/>
              </w:rPr>
              <w:t>MiniLM (frozen)</w:t>
            </w:r>
          </w:p>
        </w:tc>
        <w:tc>
          <w:tcPr>
            <w:tcW w:type="dxa" w:w="997"/>
          </w:tcPr>
          <w:p>
            <w:pPr>
              <w:keepNext/>
              <w:spacing w:after="20"/>
              <w:jc w:val="center"/>
            </w:pPr>
            <w:r>
              <w:rPr>
                <w:sz w:val="16"/>
              </w:rPr>
              <w:t>0.38 ± 0.18</w:t>
            </w:r>
          </w:p>
        </w:tc>
        <w:tc>
          <w:tcPr>
            <w:tcW w:type="dxa" w:w="997"/>
          </w:tcPr>
          <w:p>
            <w:pPr>
              <w:keepNext/>
              <w:spacing w:after="20"/>
              <w:jc w:val="center"/>
            </w:pPr>
            <w:r>
              <w:rPr>
                <w:sz w:val="16"/>
              </w:rPr>
              <w:t>0.64 ± 0.13</w:t>
            </w:r>
          </w:p>
        </w:tc>
        <w:tc>
          <w:tcPr>
            <w:tcW w:type="dxa" w:w="997"/>
          </w:tcPr>
          <w:p>
            <w:pPr>
              <w:keepNext/>
              <w:spacing w:after="20"/>
              <w:jc w:val="center"/>
            </w:pPr>
            <w:r>
              <w:rPr>
                <w:sz w:val="16"/>
              </w:rPr>
              <w:t>0.10 ± 0.17</w:t>
            </w:r>
          </w:p>
        </w:tc>
        <w:tc>
          <w:tcPr>
            <w:tcW w:type="dxa" w:w="1142"/>
          </w:tcPr>
          <w:p>
            <w:pPr>
              <w:keepNext/>
              <w:spacing w:after="20"/>
              <w:jc w:val="center"/>
            </w:pPr>
            <w:r>
              <w:rPr>
                <w:sz w:val="16"/>
              </w:rPr>
              <w:t>0.26 ± 0.07</w:t>
            </w:r>
          </w:p>
        </w:tc>
        <w:tc>
          <w:tcPr>
            <w:tcW w:type="dxa" w:w="997"/>
          </w:tcPr>
          <w:p>
            <w:pPr>
              <w:keepNext/>
              <w:spacing w:after="20"/>
              <w:jc w:val="center"/>
            </w:pPr>
            <w:r>
              <w:rPr>
                <w:sz w:val="16"/>
              </w:rPr>
              <w:t>0.67 ± 0.25</w:t>
            </w:r>
          </w:p>
        </w:tc>
        <w:tc>
          <w:tcPr>
            <w:tcW w:type="dxa" w:w="997"/>
          </w:tcPr>
          <w:p>
            <w:pPr>
              <w:keepNext/>
              <w:spacing w:after="20"/>
              <w:jc w:val="center"/>
            </w:pPr>
            <w:r>
              <w:rPr>
                <w:sz w:val="16"/>
              </w:rPr>
              <w:t>0.27 ± 0.14</w:t>
            </w:r>
          </w:p>
        </w:tc>
      </w:tr>
      <w:tr>
        <w:trPr>
          <w:cantSplit/>
        </w:trPr>
        <w:tc>
          <w:tcPr>
            <w:tcW w:type="dxa" w:w="786"/>
          </w:tcPr>
          <w:p>
            <w:pPr>
              <w:keepNext/>
              <w:spacing w:after="20"/>
              <w:jc w:val="left"/>
            </w:pPr>
          </w:p>
        </w:tc>
        <w:tc>
          <w:tcPr>
            <w:tcW w:type="dxa" w:w="2159"/>
          </w:tcPr>
          <w:p>
            <w:pPr>
              <w:keepNext/>
              <w:spacing w:after="20"/>
              <w:jc w:val="left"/>
            </w:pPr>
            <w:r>
              <w:rPr>
                <w:sz w:val="16"/>
              </w:rPr>
              <w:t>MiniLM (frozen), brand-masked</w:t>
            </w:r>
          </w:p>
        </w:tc>
        <w:tc>
          <w:tcPr>
            <w:tcW w:type="dxa" w:w="997"/>
          </w:tcPr>
          <w:p>
            <w:pPr>
              <w:keepNext/>
              <w:spacing w:after="20"/>
              <w:jc w:val="center"/>
            </w:pPr>
            <w:r>
              <w:rPr>
                <w:sz w:val="16"/>
              </w:rPr>
              <w:t>0.40 ± 0.16</w:t>
            </w:r>
          </w:p>
        </w:tc>
        <w:tc>
          <w:tcPr>
            <w:tcW w:type="dxa" w:w="997"/>
          </w:tcPr>
          <w:p>
            <w:pPr>
              <w:keepNext/>
              <w:spacing w:after="20"/>
              <w:jc w:val="center"/>
            </w:pPr>
            <w:r>
              <w:rPr>
                <w:sz w:val="16"/>
              </w:rPr>
              <w:t>0.64 ± 0.14</w:t>
            </w:r>
          </w:p>
        </w:tc>
        <w:tc>
          <w:tcPr>
            <w:tcW w:type="dxa" w:w="997"/>
          </w:tcPr>
          <w:p>
            <w:pPr>
              <w:keepNext/>
              <w:spacing w:after="20"/>
              <w:jc w:val="center"/>
            </w:pPr>
            <w:r>
              <w:rPr>
                <w:sz w:val="16"/>
              </w:rPr>
              <w:t>0.15 ± 0.12</w:t>
            </w:r>
          </w:p>
        </w:tc>
        <w:tc>
          <w:tcPr>
            <w:tcW w:type="dxa" w:w="1142"/>
          </w:tcPr>
          <w:p>
            <w:pPr>
              <w:keepNext/>
              <w:spacing w:after="20"/>
              <w:jc w:val="center"/>
            </w:pPr>
            <w:r>
              <w:rPr>
                <w:sz w:val="16"/>
              </w:rPr>
              <w:t>0.32 ± 0.11</w:t>
            </w:r>
          </w:p>
        </w:tc>
        <w:tc>
          <w:tcPr>
            <w:tcW w:type="dxa" w:w="997"/>
          </w:tcPr>
          <w:p>
            <w:pPr>
              <w:keepNext/>
              <w:spacing w:after="20"/>
              <w:jc w:val="center"/>
            </w:pPr>
            <w:r>
              <w:rPr>
                <w:sz w:val="16"/>
              </w:rPr>
              <w:t>0.59 ± 0.13</w:t>
            </w:r>
          </w:p>
        </w:tc>
        <w:tc>
          <w:tcPr>
            <w:tcW w:type="dxa" w:w="997"/>
          </w:tcPr>
          <w:p>
            <w:pPr>
              <w:keepNext/>
              <w:spacing w:after="20"/>
              <w:jc w:val="center"/>
            </w:pPr>
            <w:r>
              <w:rPr>
                <w:sz w:val="16"/>
              </w:rPr>
              <w:t>0.29 ± 0.12</w:t>
            </w:r>
          </w:p>
        </w:tc>
      </w:tr>
      <w:tr>
        <w:trPr>
          <w:cantSplit/>
        </w:trPr>
        <w:tc>
          <w:tcPr>
            <w:tcW w:type="dxa" w:w="786"/>
            <w:tcBorders>
              <w:top w:val="single" w:sz="4" w:space="0" w:color="000000"/>
              <w:bottom w:val="single" w:sz="12" w:space="0" w:color="000000"/>
            </w:tcBorders>
          </w:tcPr>
          <w:p>
            <w:pPr>
              <w:keepNext w:val="0"/>
              <w:spacing w:after="20"/>
              <w:jc w:val="left"/>
            </w:pPr>
            <w:r>
              <w:rPr>
                <w:sz w:val="16"/>
              </w:rPr>
              <w:t>Fusion</w:t>
            </w:r>
          </w:p>
        </w:tc>
        <w:tc>
          <w:tcPr>
            <w:tcW w:type="dxa" w:w="2159"/>
            <w:tcBorders>
              <w:top w:val="single" w:sz="4" w:space="0" w:color="000000"/>
              <w:bottom w:val="single" w:sz="12" w:space="0" w:color="000000"/>
            </w:tcBorders>
          </w:tcPr>
          <w:p>
            <w:pPr>
              <w:keepNext w:val="0"/>
              <w:spacing w:after="20"/>
              <w:jc w:val="left"/>
            </w:pPr>
            <w:r>
              <w:rPr>
                <w:sz w:val="16"/>
              </w:rPr>
              <w:t>Logistic regression + TF-IDF + LR</w:t>
            </w:r>
          </w:p>
        </w:tc>
        <w:tc>
          <w:tcPr>
            <w:tcW w:type="dxa" w:w="997"/>
            <w:tcBorders>
              <w:top w:val="single" w:sz="4" w:space="0" w:color="000000"/>
              <w:bottom w:val="single" w:sz="12" w:space="0" w:color="000000"/>
            </w:tcBorders>
          </w:tcPr>
          <w:p>
            <w:pPr>
              <w:keepNext w:val="0"/>
              <w:spacing w:after="20"/>
              <w:jc w:val="center"/>
            </w:pPr>
            <w:r>
              <w:rPr>
                <w:sz w:val="16"/>
              </w:rPr>
              <w:t>0.67 ± 0.06</w:t>
            </w:r>
          </w:p>
        </w:tc>
        <w:tc>
          <w:tcPr>
            <w:tcW w:type="dxa" w:w="997"/>
            <w:tcBorders>
              <w:top w:val="single" w:sz="4" w:space="0" w:color="000000"/>
              <w:bottom w:val="single" w:sz="12" w:space="0" w:color="000000"/>
            </w:tcBorders>
          </w:tcPr>
          <w:p>
            <w:pPr>
              <w:keepNext w:val="0"/>
              <w:spacing w:after="20"/>
              <w:jc w:val="center"/>
            </w:pPr>
            <w:r>
              <w:rPr>
                <w:sz w:val="16"/>
              </w:rPr>
              <w:t>0.85 ± 0.05</w:t>
            </w:r>
          </w:p>
        </w:tc>
        <w:tc>
          <w:tcPr>
            <w:tcW w:type="dxa" w:w="997"/>
            <w:tcBorders>
              <w:top w:val="single" w:sz="4" w:space="0" w:color="000000"/>
              <w:bottom w:val="single" w:sz="12" w:space="0" w:color="000000"/>
            </w:tcBorders>
          </w:tcPr>
          <w:p>
            <w:pPr>
              <w:keepNext w:val="0"/>
              <w:spacing w:after="20"/>
              <w:jc w:val="center"/>
            </w:pPr>
            <w:r>
              <w:rPr>
                <w:sz w:val="16"/>
              </w:rPr>
              <w:t>0.36 ± 0.25</w:t>
            </w:r>
          </w:p>
        </w:tc>
        <w:tc>
          <w:tcPr>
            <w:tcW w:type="dxa" w:w="1142"/>
            <w:tcBorders>
              <w:top w:val="single" w:sz="4" w:space="0" w:color="000000"/>
              <w:bottom w:val="single" w:sz="12" w:space="0" w:color="000000"/>
            </w:tcBorders>
          </w:tcPr>
          <w:p>
            <w:pPr>
              <w:keepNext w:val="0"/>
              <w:spacing w:after="20"/>
              <w:jc w:val="center"/>
            </w:pPr>
            <w:r>
              <w:rPr>
                <w:sz w:val="16"/>
              </w:rPr>
              <w:t>0.45 ± 0.14</w:t>
            </w:r>
          </w:p>
        </w:tc>
        <w:tc>
          <w:tcPr>
            <w:tcW w:type="dxa" w:w="997"/>
            <w:tcBorders>
              <w:top w:val="single" w:sz="4" w:space="0" w:color="000000"/>
              <w:bottom w:val="single" w:sz="12" w:space="0" w:color="000000"/>
            </w:tcBorders>
          </w:tcPr>
          <w:p>
            <w:pPr>
              <w:keepNext w:val="0"/>
              <w:spacing w:after="20"/>
              <w:jc w:val="center"/>
            </w:pPr>
            <w:r>
              <w:rPr>
                <w:sz w:val="16"/>
              </w:rPr>
              <w:t>0.48 ± 0.26</w:t>
            </w:r>
          </w:p>
        </w:tc>
        <w:tc>
          <w:tcPr>
            <w:tcW w:type="dxa" w:w="997"/>
            <w:tcBorders>
              <w:top w:val="single" w:sz="4" w:space="0" w:color="000000"/>
              <w:bottom w:val="single" w:sz="12" w:space="0" w:color="000000"/>
            </w:tcBorders>
          </w:tcPr>
          <w:p>
            <w:pPr>
              <w:keepNext w:val="0"/>
              <w:spacing w:after="20"/>
              <w:jc w:val="center"/>
            </w:pPr>
            <w:r>
              <w:rPr>
                <w:sz w:val="16"/>
              </w:rPr>
              <w:t>0.40 ± 0.13</w:t>
            </w:r>
          </w:p>
        </w:tc>
      </w:tr>
    </w:tbl>
    <w:p>
      <w:pPr>
        <w:spacing w:after="40"/>
      </w:pPr>
    </w:p>
    <w:p>
      <w:pPr>
        <w:jc w:val="both"/>
      </w:pPr>
      <w:r>
        <w:rPr/>
        <w:t xml:space="preserve">Logistic regression was the strongest single model (PR-AUC </w:t>
      </w:r>
      <w:r>
        <w:rPr/>
        <w:t>0.65 ± 0.04</w:t>
      </w:r>
      <w:r>
        <w:rPr/>
        <w:t xml:space="preserve">, ROC-AUC </w:t>
      </w:r>
      <w:r>
        <w:rPr/>
        <w:t>0.85 ± 0.03</w:t>
      </w:r>
      <w:r>
        <w:rPr/>
        <w:t xml:space="preserve">), roughly three times the organic base rate of </w:t>
      </w:r>
      <w:r>
        <w:rPr/>
        <w:t>0.218</w:t>
      </w:r>
      <w:r>
        <w:rPr/>
        <w:t xml:space="preserve">. The tree ensembles did not improve on it (random forest </w:t>
      </w:r>
      <w:r>
        <w:rPr/>
        <w:t>0.58 ± 0.06</w:t>
      </w:r>
      <w:r>
        <w:rPr/>
        <w:t xml:space="preserve">, LightGBM </w:t>
      </w:r>
      <w:r>
        <w:rPr/>
        <w:t>0.57 ± 0.08</w:t>
      </w:r>
      <w:r>
        <w:rPr/>
        <w:t xml:space="preserve">, XGBoost </w:t>
      </w:r>
      <w:r>
        <w:rPr/>
        <w:t>0.55 ± 0.10</w:t>
      </w:r>
      <w:r>
        <w:rPr/>
        <w:t xml:space="preserve">) and varied more across folds: with 50 unverified apps, their extra flexibility does not pay off. The review-text models were weaker (TF-IDF + LR </w:t>
      </w:r>
      <w:r>
        <w:rPr/>
        <w:t>0.49 ± 0.19</w:t>
      </w:r>
      <w:r>
        <w:rPr/>
        <w:t xml:space="preserve">). Frozen sentence encoders were weaker still (MuRIL ROC-AUC </w:t>
      </w:r>
      <w:r>
        <w:rPr/>
        <w:t>0.59 ± 0.17</w:t>
      </w:r>
      <w:r>
        <w:rPr/>
        <w:t xml:space="preserve">, multilingual MiniLM </w:t>
      </w:r>
      <w:r>
        <w:rPr/>
        <w:t>0.64 ± 0.13</w:t>
      </w:r>
      <w:r>
        <w:rPr/>
        <w:t>), which indicates that they need task fine-tuning rather than off-the-shelf sentence vectors. Stacking logistic regression with the TF-IDF model gave the highest mean PR-AUC across folds (</w:t>
      </w:r>
      <w:r>
        <w:rPr/>
        <w:t>0.67 ± 0.06</w:t>
      </w:r>
      <w:r>
        <w:rPr/>
        <w:t xml:space="preserve">), but a paired bootstrap shows no reliable difference from logistic regression alone (see </w:t>
      </w:r>
      <w:r>
        <w:rPr>
          <w:i/>
        </w:rPr>
        <w:t>Statistical robustness</w:t>
      </w:r>
      <w:r>
        <w:rPr/>
        <w:t>). On all apps, including those found through the RBI directory's links, absolute PR-AUC is lower because the base rate is lower (</w:t>
      </w:r>
      <w:r>
        <w:rPr/>
        <w:t>0.121</w:t>
      </w:r>
      <w:r>
        <w:rPr/>
        <w:t>).</w:t>
      </w:r>
    </w:p>
    <w:p>
      <w:pPr>
        <w:keepNext/>
        <w:jc w:val="center"/>
      </w:pPr>
      <w:r>
        <w:drawing>
          <wp:inline xmlns:a="http://schemas.openxmlformats.org/drawingml/2006/main" xmlns:pic="http://schemas.openxmlformats.org/drawingml/2006/picture">
            <wp:extent cx="3571200" cy="2805943"/>
            <wp:docPr id="1" name="Picture 1"/>
            <wp:cNvGraphicFramePr>
              <a:graphicFrameLocks noChangeAspect="1"/>
            </wp:cNvGraphicFramePr>
            <a:graphic>
              <a:graphicData uri="http://schemas.openxmlformats.org/drawingml/2006/picture">
                <pic:pic>
                  <pic:nvPicPr>
                    <pic:cNvPr id="0" name="pr_curves_grouped.png"/>
                    <pic:cNvPicPr/>
                  </pic:nvPicPr>
                  <pic:blipFill>
                    <a:blip r:embed="rId9"/>
                    <a:stretch>
                      <a:fillRect/>
                    </a:stretch>
                  </pic:blipFill>
                  <pic:spPr>
                    <a:xfrm>
                      <a:off x="0" y="0"/>
                      <a:ext cx="3571200" cy="2805943"/>
                    </a:xfrm>
                    <a:prstGeom prst="rect"/>
                  </pic:spPr>
                </pic:pic>
              </a:graphicData>
            </a:graphic>
          </wp:inline>
        </w:drawing>
      </w:r>
    </w:p>
    <w:p>
      <w:pPr>
        <w:pStyle w:val="Caption"/>
        <w:keepNext w:val="0"/>
        <w:spacing w:before="80" w:after="200"/>
        <w:jc w:val="center"/>
      </w:pPr>
      <w:r>
        <w:rPr>
          <w:b/>
        </w:rPr>
        <w:t xml:space="preserve">Fig. 1. </w:t>
      </w:r>
      <w:r>
        <w:rPr/>
        <w:t xml:space="preserve">Precision–recall curves on organic apps (out-of-fold scores pooled across folds, so the legend's average precision differs from the per-fold means in </w:t>
      </w:r>
      <w:r>
        <w:rPr/>
        <w:t>Table 2</w:t>
      </w:r>
      <w:r>
        <w:rPr/>
        <w:t>; dashed line = base rate).</w:t>
      </w:r>
    </w:p>
    <w:p>
      <w:pPr>
        <w:keepNext/>
        <w:jc w:val="center"/>
      </w:pPr>
      <w:r>
        <w:drawing>
          <wp:inline xmlns:a="http://schemas.openxmlformats.org/drawingml/2006/main" xmlns:pic="http://schemas.openxmlformats.org/drawingml/2006/picture">
            <wp:extent cx="5760000" cy="5400000"/>
            <wp:docPr id="2" name="Picture 2"/>
            <wp:cNvGraphicFramePr>
              <a:graphicFrameLocks noChangeAspect="1"/>
            </wp:cNvGraphicFramePr>
            <a:graphic>
              <a:graphicData uri="http://schemas.openxmlformats.org/drawingml/2006/picture">
                <pic:pic>
                  <pic:nvPicPr>
                    <pic:cNvPr id="0" name="confusion_grouped.png"/>
                    <pic:cNvPicPr/>
                  </pic:nvPicPr>
                  <pic:blipFill>
                    <a:blip r:embed="rId10"/>
                    <a:stretch>
                      <a:fillRect/>
                    </a:stretch>
                  </pic:blipFill>
                  <pic:spPr>
                    <a:xfrm>
                      <a:off x="0" y="0"/>
                      <a:ext cx="5760000" cy="5400000"/>
                    </a:xfrm>
                    <a:prstGeom prst="rect"/>
                  </pic:spPr>
                </pic:pic>
              </a:graphicData>
            </a:graphic>
          </wp:inline>
        </w:drawing>
      </w:r>
    </w:p>
    <w:p>
      <w:pPr>
        <w:pStyle w:val="Caption"/>
        <w:keepNext w:val="0"/>
        <w:spacing w:before="80" w:after="200"/>
        <w:jc w:val="center"/>
      </w:pPr>
      <w:r>
        <w:rPr>
          <w:b/>
        </w:rPr>
        <w:t xml:space="preserve">Fig. 2. </w:t>
      </w:r>
      <w:r>
        <w:rPr/>
        <w:t>Confusion matrices on organic apps, summed over folds (threshold chosen on the training folds).</w:t>
      </w:r>
    </w:p>
    <w:p>
      <w:pPr>
        <w:pStyle w:val="Heading2"/>
      </w:pPr>
      <w:r>
        <w:t>Generalisation to newer apps</w:t>
      </w:r>
    </w:p>
    <w:p>
      <w:pPr>
        <w:jc w:val="both"/>
      </w:pPr>
      <w:r>
        <w:rPr/>
        <w:t xml:space="preserve">To test whether models trained on older apps flag newly released ones, we trained on apps released before </w:t>
      </w:r>
      <w:r>
        <w:rPr/>
        <w:t>2025-11-20</w:t>
      </w:r>
      <w:r>
        <w:rPr/>
        <w:t xml:space="preserve"> (</w:t>
      </w:r>
      <w:r>
        <w:rPr/>
        <w:t>306</w:t>
      </w:r>
      <w:r>
        <w:rPr/>
        <w:t xml:space="preserve"> apps, </w:t>
      </w:r>
      <w:r>
        <w:rPr/>
        <w:t>29</w:t>
      </w:r>
      <w:r>
        <w:rPr/>
        <w:t xml:space="preserve"> unverified) and tested on later releases (</w:t>
      </w:r>
      <w:r>
        <w:rPr/>
        <w:t>43</w:t>
      </w:r>
      <w:r>
        <w:rPr/>
        <w:t xml:space="preserve"> organic apps, </w:t>
      </w:r>
      <w:r>
        <w:rPr/>
        <w:t>21</w:t>
      </w:r>
      <w:r>
        <w:rPr/>
        <w:t xml:space="preserve"> unverified; base rate </w:t>
      </w:r>
      <w:r>
        <w:rPr/>
        <w:t>0.488</w:t>
      </w:r>
      <w:r>
        <w:rPr/>
        <w:t xml:space="preserve">). </w:t>
      </w:r>
      <w:r>
        <w:rPr/>
        <w:t>Table 3</w:t>
      </w:r>
      <w:r>
        <w:rPr/>
        <w:t xml:space="preserve"> reports the three best models.</w:t>
      </w:r>
    </w:p>
    <w:p>
      <w:pPr>
        <w:pStyle w:val="Caption"/>
        <w:keepNext/>
        <w:spacing w:before="0" w:after="80"/>
        <w:jc w:val="center"/>
      </w:pPr>
      <w:r>
        <w:rPr>
          <w:b/>
        </w:rPr>
        <w:t xml:space="preserve">Table 3. </w:t>
      </w:r>
      <w:r>
        <w:rPr/>
        <w:t xml:space="preserve">Temporal hold-out on organic apps released on or after </w:t>
      </w:r>
      <w:r>
        <w:rPr/>
        <w:t>2025-11-20</w:t>
      </w:r>
      <w:r>
        <w:rPr/>
        <w:t>.</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6232"/>
            <w:tcBorders>
              <w:top w:val="single" w:sz="12" w:space="0" w:color="000000"/>
              <w:bottom w:val="single" w:sz="6" w:space="0" w:color="000000"/>
            </w:tcBorders>
          </w:tcPr>
          <w:p>
            <w:pPr>
              <w:keepNext/>
              <w:spacing w:after="20"/>
              <w:jc w:val="left"/>
            </w:pPr>
            <w:r>
              <w:rPr>
                <w:b/>
                <w:sz w:val="18"/>
              </w:rPr>
              <w:t>Model</w:t>
            </w:r>
          </w:p>
        </w:tc>
        <w:tc>
          <w:tcPr>
            <w:tcW w:type="dxa" w:w="907"/>
            <w:tcBorders>
              <w:top w:val="single" w:sz="12" w:space="0" w:color="000000"/>
              <w:bottom w:val="single" w:sz="6" w:space="0" w:color="000000"/>
            </w:tcBorders>
          </w:tcPr>
          <w:p>
            <w:pPr>
              <w:keepNext/>
              <w:spacing w:after="20"/>
              <w:jc w:val="center"/>
            </w:pPr>
            <w:r>
              <w:rPr>
                <w:b/>
                <w:sz w:val="18"/>
              </w:rPr>
              <w:t>PR-AUC</w:t>
            </w:r>
          </w:p>
        </w:tc>
        <w:tc>
          <w:tcPr>
            <w:tcW w:type="dxa" w:w="1024"/>
            <w:tcBorders>
              <w:top w:val="single" w:sz="12" w:space="0" w:color="000000"/>
              <w:bottom w:val="single" w:sz="6" w:space="0" w:color="000000"/>
            </w:tcBorders>
          </w:tcPr>
          <w:p>
            <w:pPr>
              <w:keepNext/>
              <w:spacing w:after="20"/>
              <w:jc w:val="center"/>
            </w:pPr>
            <w:r>
              <w:rPr>
                <w:b/>
                <w:sz w:val="18"/>
              </w:rPr>
              <w:t>ROC-AUC</w:t>
            </w:r>
          </w:p>
        </w:tc>
        <w:tc>
          <w:tcPr>
            <w:tcW w:type="dxa" w:w="907"/>
            <w:tcBorders>
              <w:top w:val="single" w:sz="12" w:space="0" w:color="000000"/>
              <w:bottom w:val="single" w:sz="6" w:space="0" w:color="000000"/>
            </w:tcBorders>
          </w:tcPr>
          <w:p>
            <w:pPr>
              <w:keepNext/>
              <w:spacing w:after="20"/>
              <w:jc w:val="center"/>
            </w:pPr>
            <w:r>
              <w:rPr>
                <w:b/>
                <w:sz w:val="18"/>
              </w:rPr>
              <w:t>Rec@5% FPR</w:t>
            </w:r>
          </w:p>
        </w:tc>
      </w:tr>
      <w:tr>
        <w:trPr>
          <w:cantSplit/>
        </w:trPr>
        <w:tc>
          <w:tcPr>
            <w:tcW w:type="dxa" w:w="6232"/>
          </w:tcPr>
          <w:p>
            <w:pPr>
              <w:keepNext/>
              <w:spacing w:after="20"/>
              <w:jc w:val="left"/>
            </w:pPr>
            <w:r>
              <w:rPr>
                <w:sz w:val="18"/>
              </w:rPr>
              <w:t>Logistic regression</w:t>
            </w:r>
          </w:p>
        </w:tc>
        <w:tc>
          <w:tcPr>
            <w:tcW w:type="dxa" w:w="907"/>
          </w:tcPr>
          <w:p>
            <w:pPr>
              <w:keepNext/>
              <w:spacing w:after="20"/>
              <w:jc w:val="center"/>
            </w:pPr>
            <w:r>
              <w:rPr>
                <w:sz w:val="18"/>
              </w:rPr>
              <w:t>0.77</w:t>
            </w:r>
          </w:p>
        </w:tc>
        <w:tc>
          <w:tcPr>
            <w:tcW w:type="dxa" w:w="1024"/>
          </w:tcPr>
          <w:p>
            <w:pPr>
              <w:keepNext/>
              <w:spacing w:after="20"/>
              <w:jc w:val="center"/>
            </w:pPr>
            <w:r>
              <w:rPr>
                <w:sz w:val="18"/>
              </w:rPr>
              <w:t>0.72</w:t>
            </w:r>
          </w:p>
        </w:tc>
        <w:tc>
          <w:tcPr>
            <w:tcW w:type="dxa" w:w="907"/>
          </w:tcPr>
          <w:p>
            <w:pPr>
              <w:keepNext/>
              <w:spacing w:after="20"/>
              <w:jc w:val="center"/>
            </w:pPr>
            <w:r>
              <w:rPr>
                <w:sz w:val="18"/>
              </w:rPr>
              <w:t>0.33</w:t>
            </w:r>
          </w:p>
        </w:tc>
      </w:tr>
      <w:tr>
        <w:trPr>
          <w:cantSplit/>
        </w:trPr>
        <w:tc>
          <w:tcPr>
            <w:tcW w:type="dxa" w:w="6232"/>
          </w:tcPr>
          <w:p>
            <w:pPr>
              <w:keepNext/>
              <w:spacing w:after="20"/>
              <w:jc w:val="left"/>
            </w:pPr>
            <w:r>
              <w:rPr>
                <w:sz w:val="18"/>
              </w:rPr>
              <w:t>Random forest</w:t>
            </w:r>
          </w:p>
        </w:tc>
        <w:tc>
          <w:tcPr>
            <w:tcW w:type="dxa" w:w="907"/>
          </w:tcPr>
          <w:p>
            <w:pPr>
              <w:keepNext/>
              <w:spacing w:after="20"/>
              <w:jc w:val="center"/>
            </w:pPr>
            <w:r>
              <w:rPr>
                <w:sz w:val="18"/>
              </w:rPr>
              <w:t>0.87</w:t>
            </w:r>
          </w:p>
        </w:tc>
        <w:tc>
          <w:tcPr>
            <w:tcW w:type="dxa" w:w="1024"/>
          </w:tcPr>
          <w:p>
            <w:pPr>
              <w:keepNext/>
              <w:spacing w:after="20"/>
              <w:jc w:val="center"/>
            </w:pPr>
            <w:r>
              <w:rPr>
                <w:sz w:val="18"/>
              </w:rPr>
              <w:t>0.88</w:t>
            </w:r>
          </w:p>
        </w:tc>
        <w:tc>
          <w:tcPr>
            <w:tcW w:type="dxa" w:w="907"/>
          </w:tcPr>
          <w:p>
            <w:pPr>
              <w:keepNext/>
              <w:spacing w:after="20"/>
              <w:jc w:val="center"/>
            </w:pPr>
            <w:r>
              <w:rPr>
                <w:sz w:val="18"/>
              </w:rPr>
              <w:t>0.67</w:t>
            </w:r>
          </w:p>
        </w:tc>
      </w:tr>
      <w:tr>
        <w:trPr>
          <w:cantSplit/>
        </w:trPr>
        <w:tc>
          <w:tcPr>
            <w:tcW w:type="dxa" w:w="6232"/>
            <w:tcBorders>
              <w:bottom w:val="single" w:sz="12" w:space="0" w:color="000000"/>
            </w:tcBorders>
          </w:tcPr>
          <w:p>
            <w:pPr>
              <w:keepNext w:val="0"/>
              <w:spacing w:after="20"/>
              <w:jc w:val="left"/>
            </w:pPr>
            <w:r>
              <w:rPr>
                <w:sz w:val="18"/>
              </w:rPr>
              <w:t>LightGBM</w:t>
            </w:r>
          </w:p>
        </w:tc>
        <w:tc>
          <w:tcPr>
            <w:tcW w:type="dxa" w:w="907"/>
            <w:tcBorders>
              <w:bottom w:val="single" w:sz="12" w:space="0" w:color="000000"/>
            </w:tcBorders>
          </w:tcPr>
          <w:p>
            <w:pPr>
              <w:keepNext w:val="0"/>
              <w:spacing w:after="20"/>
              <w:jc w:val="center"/>
            </w:pPr>
            <w:r>
              <w:rPr>
                <w:sz w:val="18"/>
              </w:rPr>
              <w:t>0.74</w:t>
            </w:r>
          </w:p>
        </w:tc>
        <w:tc>
          <w:tcPr>
            <w:tcW w:type="dxa" w:w="1024"/>
            <w:tcBorders>
              <w:bottom w:val="single" w:sz="12" w:space="0" w:color="000000"/>
            </w:tcBorders>
          </w:tcPr>
          <w:p>
            <w:pPr>
              <w:keepNext w:val="0"/>
              <w:spacing w:after="20"/>
              <w:jc w:val="center"/>
            </w:pPr>
            <w:r>
              <w:rPr>
                <w:sz w:val="18"/>
              </w:rPr>
              <w:t>0.74</w:t>
            </w:r>
          </w:p>
        </w:tc>
        <w:tc>
          <w:tcPr>
            <w:tcW w:type="dxa" w:w="907"/>
            <w:tcBorders>
              <w:bottom w:val="single" w:sz="12" w:space="0" w:color="000000"/>
            </w:tcBorders>
          </w:tcPr>
          <w:p>
            <w:pPr>
              <w:keepNext w:val="0"/>
              <w:spacing w:after="20"/>
              <w:jc w:val="center"/>
            </w:pPr>
            <w:r>
              <w:rPr>
                <w:sz w:val="18"/>
              </w:rPr>
              <w:t>0.38</w:t>
            </w:r>
          </w:p>
        </w:tc>
      </w:tr>
    </w:tbl>
    <w:p>
      <w:pPr>
        <w:spacing w:after="40"/>
      </w:pPr>
    </w:p>
    <w:p>
      <w:pPr>
        <w:jc w:val="both"/>
      </w:pPr>
      <w:r>
        <w:rPr/>
        <w:t xml:space="preserve">The random forest ranked later releases well (PR-AUC </w:t>
      </w:r>
      <w:r>
        <w:rPr/>
        <w:t>0.87</w:t>
      </w:r>
      <w:r>
        <w:rPr/>
        <w:t xml:space="preserve">, ROC-AUC </w:t>
      </w:r>
      <w:r>
        <w:rPr/>
        <w:t>0.88</w:t>
      </w:r>
      <w:r>
        <w:rPr/>
        <w:t xml:space="preserve">), and logistic regression less so (ROC-AUC </w:t>
      </w:r>
      <w:r>
        <w:rPr/>
        <w:t>0.72</w:t>
      </w:r>
      <w:r>
        <w:rPr/>
        <w:t xml:space="preserve">). The test period is dominated by unverified apps (base rate </w:t>
      </w:r>
      <w:r>
        <w:rPr/>
        <w:t>0.488</w:t>
      </w:r>
      <w:r>
        <w:rPr/>
        <w:t>): most unverified apps still live were released after Google Play's January 2026 removal of unlisted loan apps, so the higher PR-AUC partly reflects the base rate. ROC-AUC, which does not depend on the base rate, is comparable to grouped cross-validation, which suggests the learned signals carry over to newer apps.</w:t>
      </w:r>
    </w:p>
    <w:p>
      <w:pPr>
        <w:pStyle w:val="Heading2"/>
      </w:pPr>
      <w:r>
        <w:t>Feature-group ablation</w:t>
      </w:r>
    </w:p>
    <w:p>
      <w:pPr>
        <w:jc w:val="both"/>
      </w:pPr>
      <w:r>
        <w:rPr/>
        <w:t xml:space="preserve">Removing one feature group at a time from </w:t>
      </w:r>
      <w:r>
        <w:rPr/>
        <w:t>Logistic regression</w:t>
      </w:r>
      <w:r>
        <w:rPr/>
        <w:t xml:space="preserve"> (full model PR-AUC </w:t>
      </w:r>
      <w:r>
        <w:rPr/>
        <w:t>0.65</w:t>
      </w:r>
      <w:r>
        <w:rPr/>
        <w:t xml:space="preserve">) changed PR-AUC by </w:t>
      </w:r>
      <w:r>
        <w:rPr/>
        <w:t>+0.004</w:t>
      </w:r>
      <w:r>
        <w:rPr/>
        <w:t xml:space="preserve"> (metadata), </w:t>
      </w:r>
      <w:r>
        <w:rPr/>
        <w:t>−0.008</w:t>
      </w:r>
      <w:r>
        <w:rPr/>
        <w:t xml:space="preserve"> (developer), </w:t>
      </w:r>
      <w:r>
        <w:rPr/>
        <w:t>−0.080</w:t>
      </w:r>
      <w:r>
        <w:rPr/>
        <w:t xml:space="preserve"> (permissions), </w:t>
      </w:r>
      <w:r>
        <w:rPr/>
        <w:t>−0.022</w:t>
      </w:r>
      <w:r>
        <w:rPr/>
        <w:t xml:space="preserve"> (listing text) and </w:t>
      </w:r>
      <w:r>
        <w:rPr/>
        <w:t>−0.045</w:t>
      </w:r>
      <w:r>
        <w:rPr/>
        <w:t xml:space="preserve"> (review text) (</w:t>
      </w:r>
      <w:r>
        <w:rPr/>
        <w:t>Fig. 3</w:t>
      </w:r>
      <w:r>
        <w:rPr/>
        <w:t xml:space="preserve">). The largest drop came from removing </w:t>
      </w:r>
      <w:r>
        <w:rPr/>
        <w:t>permissions</w:t>
      </w:r>
      <w:r>
        <w:rPr/>
        <w:t>.</w:t>
      </w:r>
    </w:p>
    <w:p>
      <w:pPr>
        <w:keepNext/>
        <w:jc w:val="center"/>
      </w:pPr>
      <w:r>
        <w:drawing>
          <wp:inline xmlns:a="http://schemas.openxmlformats.org/drawingml/2006/main" xmlns:pic="http://schemas.openxmlformats.org/drawingml/2006/picture">
            <wp:extent cx="4320000" cy="2221714"/>
            <wp:docPr id="3" name="Picture 3"/>
            <wp:cNvGraphicFramePr>
              <a:graphicFrameLocks noChangeAspect="1"/>
            </wp:cNvGraphicFramePr>
            <a:graphic>
              <a:graphicData uri="http://schemas.openxmlformats.org/drawingml/2006/picture">
                <pic:pic>
                  <pic:nvPicPr>
                    <pic:cNvPr id="0" name="ablation.png"/>
                    <pic:cNvPicPr/>
                  </pic:nvPicPr>
                  <pic:blipFill>
                    <a:blip r:embed="rId11"/>
                    <a:stretch>
                      <a:fillRect/>
                    </a:stretch>
                  </pic:blipFill>
                  <pic:spPr>
                    <a:xfrm>
                      <a:off x="0" y="0"/>
                      <a:ext cx="4320000" cy="2221714"/>
                    </a:xfrm>
                    <a:prstGeom prst="rect"/>
                  </pic:spPr>
                </pic:pic>
              </a:graphicData>
            </a:graphic>
          </wp:inline>
        </w:drawing>
      </w:r>
    </w:p>
    <w:p>
      <w:pPr>
        <w:pStyle w:val="Caption"/>
        <w:keepNext w:val="0"/>
        <w:spacing w:before="80" w:after="200"/>
        <w:jc w:val="center"/>
      </w:pPr>
      <w:r>
        <w:rPr>
          <w:b/>
        </w:rPr>
        <w:t xml:space="preserve">Fig. 3. </w:t>
      </w:r>
      <w:r>
        <w:rPr/>
        <w:t>Change in PR-AUC on organic apps when each feature group is removed (error bars: fold standard deviation).</w:t>
      </w:r>
    </w:p>
    <w:p>
      <w:pPr>
        <w:pStyle w:val="Heading2"/>
      </w:pPr>
      <w:r>
        <w:t>Early detection</w:t>
      </w:r>
    </w:p>
    <w:p>
      <w:pPr>
        <w:jc w:val="both"/>
      </w:pPr>
      <w:r>
        <w:rPr/>
        <w:t xml:space="preserve">Using only information available in an app's first 14 days (no install counts, ratings or age, and reviews from the first two weeks only), </w:t>
      </w:r>
      <w:r>
        <w:rPr/>
        <w:t>Logistic regression</w:t>
      </w:r>
      <w:r>
        <w:rPr/>
        <w:t xml:space="preserve"> reached a PR-AUC of </w:t>
      </w:r>
      <w:r>
        <w:rPr/>
        <w:t>0.62 ± 0.12</w:t>
      </w:r>
      <w:r>
        <w:rPr/>
        <w:t xml:space="preserve"> (ROC-AUC </w:t>
      </w:r>
      <w:r>
        <w:rPr/>
        <w:t>0.84 ± 0.05</w:t>
      </w:r>
      <w:r>
        <w:rPr/>
        <w:t xml:space="preserve">), against </w:t>
      </w:r>
      <w:r>
        <w:rPr/>
        <w:t>0.65 ± 0.04</w:t>
      </w:r>
      <w:r>
        <w:rPr/>
        <w:t xml:space="preserve"> (ROC-AUC </w:t>
      </w:r>
      <w:r>
        <w:rPr/>
        <w:t>0.85 ± 0.03</w:t>
      </w:r>
      <w:r>
        <w:rPr/>
        <w:t xml:space="preserve">) with full snapshot features. Only </w:t>
      </w:r>
      <w:r>
        <w:rPr/>
        <w:t>33</w:t>
      </w:r>
      <w:r>
        <w:rPr/>
        <w:t xml:space="preserve"> labelled apps had any review in their first 14 days, because reviews were collected newest-first, so the early setting relies mainly on listing text and permissions.</w:t>
      </w:r>
    </w:p>
    <w:p>
      <w:pPr>
        <w:jc w:val="both"/>
      </w:pPr>
      <w:r>
        <w:rPr/>
        <w:t>Early detection is practical. With only first-fortnight information, ranking performance is close to the full model, so the signals that matter (the listing's disclosures and the permission profile) are available at release rather than accumulating with installs and reviews. Because few apps have early reviews, this result says more about listing and permission signals than about early review text.</w:t>
      </w:r>
    </w:p>
    <w:p>
      <w:pPr>
        <w:pStyle w:val="Heading2"/>
      </w:pPr>
      <w:r>
        <w:t>Class imbalance and leakage checks</w:t>
      </w:r>
    </w:p>
    <w:p>
      <w:pPr>
        <w:jc w:val="both"/>
      </w:pPr>
      <w:r>
        <w:rPr/>
        <w:t>Table 4</w:t>
      </w:r>
      <w:r>
        <w:rPr/>
        <w:t xml:space="preserve"> compares class weighting with SMOTE oversampling (applied inside training folds only), and random with developer-grouped splits. A positive gap means random splitting overstates performance because near-identical apps from one developer leak across folds.</w:t>
      </w:r>
    </w:p>
    <w:p>
      <w:pPr>
        <w:pStyle w:val="Caption"/>
        <w:keepNext/>
        <w:spacing w:before="0" w:after="80"/>
        <w:jc w:val="center"/>
      </w:pPr>
      <w:r>
        <w:rPr>
          <w:b/>
        </w:rPr>
        <w:t xml:space="preserve">Table 4. </w:t>
      </w:r>
      <w:r>
        <w:rPr/>
        <w:t>PR-AUC on organic apps: class weights vs SMOTE, and random vs developer-grouped CV.</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3778"/>
            <w:tcBorders>
              <w:top w:val="single" w:sz="12" w:space="0" w:color="000000"/>
              <w:bottom w:val="single" w:sz="6" w:space="0" w:color="000000"/>
            </w:tcBorders>
          </w:tcPr>
          <w:p>
            <w:pPr>
              <w:keepNext/>
              <w:spacing w:after="20"/>
              <w:jc w:val="left"/>
            </w:pPr>
            <w:r>
              <w:rPr>
                <w:b/>
                <w:sz w:val="18"/>
              </w:rPr>
              <w:t>Model</w:t>
            </w:r>
          </w:p>
        </w:tc>
        <w:tc>
          <w:tcPr>
            <w:tcW w:type="dxa" w:w="1096"/>
            <w:tcBorders>
              <w:top w:val="single" w:sz="12" w:space="0" w:color="000000"/>
              <w:bottom w:val="single" w:sz="6" w:space="0" w:color="000000"/>
            </w:tcBorders>
          </w:tcPr>
          <w:p>
            <w:pPr>
              <w:keepNext/>
              <w:spacing w:after="20"/>
              <w:jc w:val="center"/>
            </w:pPr>
            <w:r>
              <w:rPr>
                <w:b/>
                <w:sz w:val="18"/>
              </w:rPr>
              <w:t>Weights</w:t>
            </w:r>
          </w:p>
        </w:tc>
        <w:tc>
          <w:tcPr>
            <w:tcW w:type="dxa" w:w="1096"/>
            <w:tcBorders>
              <w:top w:val="single" w:sz="12" w:space="0" w:color="000000"/>
              <w:bottom w:val="single" w:sz="6" w:space="0" w:color="000000"/>
            </w:tcBorders>
          </w:tcPr>
          <w:p>
            <w:pPr>
              <w:keepNext/>
              <w:spacing w:after="20"/>
              <w:jc w:val="center"/>
            </w:pPr>
            <w:r>
              <w:rPr>
                <w:b/>
                <w:sz w:val="18"/>
              </w:rPr>
              <w:t>SMOTE</w:t>
            </w:r>
          </w:p>
        </w:tc>
        <w:tc>
          <w:tcPr>
            <w:tcW w:type="dxa" w:w="1096"/>
            <w:tcBorders>
              <w:top w:val="single" w:sz="12" w:space="0" w:color="000000"/>
              <w:bottom w:val="single" w:sz="6" w:space="0" w:color="000000"/>
            </w:tcBorders>
          </w:tcPr>
          <w:p>
            <w:pPr>
              <w:keepNext/>
              <w:spacing w:after="20"/>
              <w:jc w:val="center"/>
            </w:pPr>
            <w:r>
              <w:rPr>
                <w:b/>
                <w:sz w:val="18"/>
              </w:rPr>
              <w:t>Grouped CV</w:t>
            </w:r>
          </w:p>
        </w:tc>
        <w:tc>
          <w:tcPr>
            <w:tcW w:type="dxa" w:w="1096"/>
            <w:tcBorders>
              <w:top w:val="single" w:sz="12" w:space="0" w:color="000000"/>
              <w:bottom w:val="single" w:sz="6" w:space="0" w:color="000000"/>
            </w:tcBorders>
          </w:tcPr>
          <w:p>
            <w:pPr>
              <w:keepNext/>
              <w:spacing w:after="20"/>
              <w:jc w:val="center"/>
            </w:pPr>
            <w:r>
              <w:rPr>
                <w:b/>
                <w:sz w:val="18"/>
              </w:rPr>
              <w:t>Random CV</w:t>
            </w:r>
          </w:p>
        </w:tc>
        <w:tc>
          <w:tcPr>
            <w:tcW w:type="dxa" w:w="907"/>
            <w:tcBorders>
              <w:top w:val="single" w:sz="12" w:space="0" w:color="000000"/>
              <w:bottom w:val="single" w:sz="6" w:space="0" w:color="000000"/>
            </w:tcBorders>
          </w:tcPr>
          <w:p>
            <w:pPr>
              <w:keepNext/>
              <w:spacing w:after="20"/>
              <w:jc w:val="center"/>
            </w:pPr>
            <w:r>
              <w:rPr>
                <w:b/>
                <w:sz w:val="18"/>
              </w:rPr>
              <w:t>Gap</w:t>
            </w:r>
          </w:p>
        </w:tc>
      </w:tr>
      <w:tr>
        <w:trPr>
          <w:cantSplit/>
        </w:trPr>
        <w:tc>
          <w:tcPr>
            <w:tcW w:type="dxa" w:w="3778"/>
          </w:tcPr>
          <w:p>
            <w:pPr>
              <w:keepNext/>
              <w:spacing w:after="20"/>
              <w:jc w:val="left"/>
            </w:pPr>
            <w:r>
              <w:rPr>
                <w:sz w:val="18"/>
              </w:rPr>
              <w:t>Logistic regression</w:t>
            </w:r>
          </w:p>
        </w:tc>
        <w:tc>
          <w:tcPr>
            <w:tcW w:type="dxa" w:w="1096"/>
          </w:tcPr>
          <w:p>
            <w:pPr>
              <w:keepNext/>
              <w:spacing w:after="20"/>
              <w:jc w:val="center"/>
            </w:pPr>
            <w:r>
              <w:rPr>
                <w:sz w:val="18"/>
              </w:rPr>
              <w:t>0.65 ± 0.04</w:t>
            </w:r>
          </w:p>
        </w:tc>
        <w:tc>
          <w:tcPr>
            <w:tcW w:type="dxa" w:w="1096"/>
          </w:tcPr>
          <w:p>
            <w:pPr>
              <w:keepNext/>
              <w:spacing w:after="20"/>
              <w:jc w:val="center"/>
            </w:pPr>
            <w:r>
              <w:rPr>
                <w:sz w:val="18"/>
              </w:rPr>
              <w:t>0.63 ± 0.12</w:t>
            </w:r>
          </w:p>
        </w:tc>
        <w:tc>
          <w:tcPr>
            <w:tcW w:type="dxa" w:w="1096"/>
          </w:tcPr>
          <w:p>
            <w:pPr>
              <w:keepNext/>
              <w:spacing w:after="20"/>
              <w:jc w:val="center"/>
            </w:pPr>
            <w:r>
              <w:rPr>
                <w:sz w:val="18"/>
              </w:rPr>
              <w:t>0.65 ± 0.04</w:t>
            </w:r>
          </w:p>
        </w:tc>
        <w:tc>
          <w:tcPr>
            <w:tcW w:type="dxa" w:w="1096"/>
          </w:tcPr>
          <w:p>
            <w:pPr>
              <w:keepNext/>
              <w:spacing w:after="20"/>
              <w:jc w:val="center"/>
            </w:pPr>
            <w:r>
              <w:rPr>
                <w:sz w:val="18"/>
              </w:rPr>
              <w:t>0.70 ± 0.09</w:t>
            </w:r>
          </w:p>
        </w:tc>
        <w:tc>
          <w:tcPr>
            <w:tcW w:type="dxa" w:w="907"/>
          </w:tcPr>
          <w:p>
            <w:pPr>
              <w:keepNext/>
              <w:spacing w:after="20"/>
              <w:jc w:val="center"/>
            </w:pPr>
            <w:r>
              <w:rPr>
                <w:sz w:val="18"/>
              </w:rPr>
              <w:t>+0.05</w:t>
            </w:r>
          </w:p>
        </w:tc>
      </w:tr>
      <w:tr>
        <w:trPr>
          <w:cantSplit/>
        </w:trPr>
        <w:tc>
          <w:tcPr>
            <w:tcW w:type="dxa" w:w="3778"/>
          </w:tcPr>
          <w:p>
            <w:pPr>
              <w:keepNext/>
              <w:spacing w:after="20"/>
              <w:jc w:val="left"/>
            </w:pPr>
            <w:r>
              <w:rPr>
                <w:sz w:val="18"/>
              </w:rPr>
              <w:t>Random forest</w:t>
            </w:r>
          </w:p>
        </w:tc>
        <w:tc>
          <w:tcPr>
            <w:tcW w:type="dxa" w:w="1096"/>
          </w:tcPr>
          <w:p>
            <w:pPr>
              <w:keepNext/>
              <w:spacing w:after="20"/>
              <w:jc w:val="center"/>
            </w:pPr>
            <w:r>
              <w:rPr>
                <w:sz w:val="18"/>
              </w:rPr>
              <w:t>0.58 ± 0.06</w:t>
            </w:r>
          </w:p>
        </w:tc>
        <w:tc>
          <w:tcPr>
            <w:tcW w:type="dxa" w:w="1096"/>
          </w:tcPr>
          <w:p>
            <w:pPr>
              <w:keepNext/>
              <w:spacing w:after="20"/>
              <w:jc w:val="center"/>
            </w:pPr>
            <w:r>
              <w:rPr>
                <w:sz w:val="18"/>
              </w:rPr>
              <w:t>0.65 ± 0.13</w:t>
            </w:r>
          </w:p>
        </w:tc>
        <w:tc>
          <w:tcPr>
            <w:tcW w:type="dxa" w:w="1096"/>
          </w:tcPr>
          <w:p>
            <w:pPr>
              <w:keepNext/>
              <w:spacing w:after="20"/>
              <w:jc w:val="center"/>
            </w:pPr>
            <w:r>
              <w:rPr>
                <w:sz w:val="18"/>
              </w:rPr>
              <w:t>0.58 ± 0.06</w:t>
            </w:r>
          </w:p>
        </w:tc>
        <w:tc>
          <w:tcPr>
            <w:tcW w:type="dxa" w:w="1096"/>
          </w:tcPr>
          <w:p>
            <w:pPr>
              <w:keepNext/>
              <w:spacing w:after="20"/>
              <w:jc w:val="center"/>
            </w:pPr>
            <w:r>
              <w:rPr>
                <w:sz w:val="18"/>
              </w:rPr>
              <w:t>0.66 ± 0.12</w:t>
            </w:r>
          </w:p>
        </w:tc>
        <w:tc>
          <w:tcPr>
            <w:tcW w:type="dxa" w:w="907"/>
          </w:tcPr>
          <w:p>
            <w:pPr>
              <w:keepNext/>
              <w:spacing w:after="20"/>
              <w:jc w:val="center"/>
            </w:pPr>
            <w:r>
              <w:rPr>
                <w:sz w:val="18"/>
              </w:rPr>
              <w:t>+0.08</w:t>
            </w:r>
          </w:p>
        </w:tc>
      </w:tr>
      <w:tr>
        <w:trPr>
          <w:cantSplit/>
        </w:trPr>
        <w:tc>
          <w:tcPr>
            <w:tcW w:type="dxa" w:w="3778"/>
          </w:tcPr>
          <w:p>
            <w:pPr>
              <w:keepNext/>
              <w:spacing w:after="20"/>
              <w:jc w:val="left"/>
            </w:pPr>
            <w:r>
              <w:rPr>
                <w:sz w:val="18"/>
              </w:rPr>
              <w:t>XGBoost</w:t>
            </w:r>
          </w:p>
        </w:tc>
        <w:tc>
          <w:tcPr>
            <w:tcW w:type="dxa" w:w="1096"/>
          </w:tcPr>
          <w:p>
            <w:pPr>
              <w:keepNext/>
              <w:spacing w:after="20"/>
              <w:jc w:val="center"/>
            </w:pPr>
            <w:r>
              <w:rPr>
                <w:sz w:val="18"/>
              </w:rPr>
              <w:t>0.55 ± 0.10</w:t>
            </w:r>
          </w:p>
        </w:tc>
        <w:tc>
          <w:tcPr>
            <w:tcW w:type="dxa" w:w="1096"/>
          </w:tcPr>
          <w:p>
            <w:pPr>
              <w:keepNext/>
              <w:spacing w:after="20"/>
              <w:jc w:val="center"/>
            </w:pPr>
            <w:r>
              <w:rPr>
                <w:sz w:val="18"/>
              </w:rPr>
              <w:t>0.57 ± 0.13</w:t>
            </w:r>
          </w:p>
        </w:tc>
        <w:tc>
          <w:tcPr>
            <w:tcW w:type="dxa" w:w="1096"/>
          </w:tcPr>
          <w:p>
            <w:pPr>
              <w:keepNext/>
              <w:spacing w:after="20"/>
              <w:jc w:val="center"/>
            </w:pPr>
            <w:r>
              <w:rPr>
                <w:sz w:val="18"/>
              </w:rPr>
              <w:t>0.55 ± 0.10</w:t>
            </w:r>
          </w:p>
        </w:tc>
        <w:tc>
          <w:tcPr>
            <w:tcW w:type="dxa" w:w="1096"/>
          </w:tcPr>
          <w:p>
            <w:pPr>
              <w:keepNext/>
              <w:spacing w:after="20"/>
              <w:jc w:val="center"/>
            </w:pPr>
            <w:r>
              <w:rPr>
                <w:sz w:val="18"/>
              </w:rPr>
              <w:t>0.59 ± 0.13</w:t>
            </w:r>
          </w:p>
        </w:tc>
        <w:tc>
          <w:tcPr>
            <w:tcW w:type="dxa" w:w="907"/>
          </w:tcPr>
          <w:p>
            <w:pPr>
              <w:keepNext/>
              <w:spacing w:after="20"/>
              <w:jc w:val="center"/>
            </w:pPr>
            <w:r>
              <w:rPr>
                <w:sz w:val="18"/>
              </w:rPr>
              <w:t>+0.04</w:t>
            </w:r>
          </w:p>
        </w:tc>
      </w:tr>
      <w:tr>
        <w:trPr>
          <w:cantSplit/>
        </w:trPr>
        <w:tc>
          <w:tcPr>
            <w:tcW w:type="dxa" w:w="3778"/>
            <w:tcBorders>
              <w:bottom w:val="single" w:sz="12" w:space="0" w:color="000000"/>
            </w:tcBorders>
          </w:tcPr>
          <w:p>
            <w:pPr>
              <w:keepNext w:val="0"/>
              <w:spacing w:after="20"/>
              <w:jc w:val="left"/>
            </w:pPr>
            <w:r>
              <w:rPr>
                <w:sz w:val="18"/>
              </w:rPr>
              <w:t>LightGBM</w:t>
            </w:r>
          </w:p>
        </w:tc>
        <w:tc>
          <w:tcPr>
            <w:tcW w:type="dxa" w:w="1096"/>
            <w:tcBorders>
              <w:bottom w:val="single" w:sz="12" w:space="0" w:color="000000"/>
            </w:tcBorders>
          </w:tcPr>
          <w:p>
            <w:pPr>
              <w:keepNext w:val="0"/>
              <w:spacing w:after="20"/>
              <w:jc w:val="center"/>
            </w:pPr>
            <w:r>
              <w:rPr>
                <w:sz w:val="18"/>
              </w:rPr>
              <w:t>0.57 ± 0.08</w:t>
            </w:r>
          </w:p>
        </w:tc>
        <w:tc>
          <w:tcPr>
            <w:tcW w:type="dxa" w:w="1096"/>
            <w:tcBorders>
              <w:bottom w:val="single" w:sz="12" w:space="0" w:color="000000"/>
            </w:tcBorders>
          </w:tcPr>
          <w:p>
            <w:pPr>
              <w:keepNext w:val="0"/>
              <w:spacing w:after="20"/>
              <w:jc w:val="center"/>
            </w:pPr>
            <w:r>
              <w:rPr>
                <w:sz w:val="18"/>
              </w:rPr>
              <w:t>0.57 ± 0.05</w:t>
            </w:r>
          </w:p>
        </w:tc>
        <w:tc>
          <w:tcPr>
            <w:tcW w:type="dxa" w:w="1096"/>
            <w:tcBorders>
              <w:bottom w:val="single" w:sz="12" w:space="0" w:color="000000"/>
            </w:tcBorders>
          </w:tcPr>
          <w:p>
            <w:pPr>
              <w:keepNext w:val="0"/>
              <w:spacing w:after="20"/>
              <w:jc w:val="center"/>
            </w:pPr>
            <w:r>
              <w:rPr>
                <w:sz w:val="18"/>
              </w:rPr>
              <w:t>0.57 ± 0.08</w:t>
            </w:r>
          </w:p>
        </w:tc>
        <w:tc>
          <w:tcPr>
            <w:tcW w:type="dxa" w:w="1096"/>
            <w:tcBorders>
              <w:bottom w:val="single" w:sz="12" w:space="0" w:color="000000"/>
            </w:tcBorders>
          </w:tcPr>
          <w:p>
            <w:pPr>
              <w:keepNext w:val="0"/>
              <w:spacing w:after="20"/>
              <w:jc w:val="center"/>
            </w:pPr>
            <w:r>
              <w:rPr>
                <w:sz w:val="18"/>
              </w:rPr>
              <w:t>0.64 ± 0.12</w:t>
            </w:r>
          </w:p>
        </w:tc>
        <w:tc>
          <w:tcPr>
            <w:tcW w:type="dxa" w:w="907"/>
            <w:tcBorders>
              <w:bottom w:val="single" w:sz="12" w:space="0" w:color="000000"/>
            </w:tcBorders>
          </w:tcPr>
          <w:p>
            <w:pPr>
              <w:keepNext w:val="0"/>
              <w:spacing w:after="20"/>
              <w:jc w:val="center"/>
            </w:pPr>
            <w:r>
              <w:rPr>
                <w:sz w:val="18"/>
              </w:rPr>
              <w:t>+0.07</w:t>
            </w:r>
          </w:p>
        </w:tc>
      </w:tr>
    </w:tbl>
    <w:p>
      <w:pPr>
        <w:spacing w:after="40"/>
      </w:pPr>
    </w:p>
    <w:p>
      <w:pPr>
        <w:jc w:val="both"/>
      </w:pPr>
      <w:r>
        <w:rPr/>
        <w:t xml:space="preserve">SMOTE did not help consistently: it raised the random forest's PR-AUC but slightly lowered logistic regression's, and all differences are within fold variability, so class weighting is kept. Random splits overstated PR-AUC for every model (gaps from </w:t>
      </w:r>
      <w:r>
        <w:rPr/>
        <w:t>+0.04</w:t>
      </w:r>
      <w:r>
        <w:rPr/>
        <w:t xml:space="preserve"> to </w:t>
      </w:r>
      <w:r>
        <w:rPr/>
        <w:t>+0.08</w:t>
      </w:r>
      <w:r>
        <w:rPr/>
        <w:t>), confirming that near-identical apps from the same developer inflate naively split evaluations. All other results therefore use developer-grouped folds.</w:t>
      </w:r>
    </w:p>
    <w:p>
      <w:pPr>
        <w:pStyle w:val="Heading2"/>
      </w:pPr>
      <w:r>
        <w:t>Explanations</w:t>
      </w:r>
    </w:p>
    <w:p>
      <w:pPr>
        <w:jc w:val="both"/>
      </w:pPr>
      <w:r>
        <w:rPr/>
        <w:t>Fig. 4</w:t>
      </w:r>
      <w:r>
        <w:rPr/>
        <w:t xml:space="preserve"> shows SHAP values for </w:t>
      </w:r>
      <w:r>
        <w:rPr/>
        <w:t>Random forest</w:t>
      </w:r>
      <w:r>
        <w:rPr/>
        <w:t xml:space="preserve"> fitted on all </w:t>
      </w:r>
      <w:r>
        <w:rPr/>
        <w:t>414</w:t>
      </w:r>
      <w:r>
        <w:rPr/>
        <w:t xml:space="preserve"> labelled apps. The five most influential features were </w:t>
      </w:r>
      <w:r>
        <w:rPr/>
        <w:t>names a lending partner</w:t>
      </w:r>
      <w:r>
        <w:rPr/>
        <w:t xml:space="preserve">, </w:t>
      </w:r>
      <w:r>
        <w:rPr/>
        <w:t>app age (days)</w:t>
      </w:r>
      <w:r>
        <w:rPr/>
        <w:t xml:space="preserve">, </w:t>
      </w:r>
      <w:r>
        <w:rPr/>
        <w:t>states tenure</w:t>
      </w:r>
      <w:r>
        <w:rPr/>
        <w:t xml:space="preserve">, </w:t>
      </w:r>
      <w:r>
        <w:rPr/>
        <w:t>description length (log)</w:t>
      </w:r>
      <w:r>
        <w:rPr/>
        <w:t xml:space="preserve"> and </w:t>
      </w:r>
      <w:r>
        <w:rPr/>
        <w:t>review count (log)</w:t>
      </w:r>
      <w:r>
        <w:rPr/>
        <w:t>.</w:t>
      </w:r>
    </w:p>
    <w:p>
      <w:pPr>
        <w:keepNext/>
        <w:jc w:val="center"/>
      </w:pPr>
      <w:r>
        <w:drawing>
          <wp:inline xmlns:a="http://schemas.openxmlformats.org/drawingml/2006/main" xmlns:pic="http://schemas.openxmlformats.org/drawingml/2006/picture">
            <wp:extent cx="4031999" cy="3719944"/>
            <wp:docPr id="4" name="Picture 4"/>
            <wp:cNvGraphicFramePr>
              <a:graphicFrameLocks noChangeAspect="1"/>
            </wp:cNvGraphicFramePr>
            <a:graphic>
              <a:graphicData uri="http://schemas.openxmlformats.org/drawingml/2006/picture">
                <pic:pic>
                  <pic:nvPicPr>
                    <pic:cNvPr id="0" name="shap_summary_beeswarm.png"/>
                    <pic:cNvPicPr/>
                  </pic:nvPicPr>
                  <pic:blipFill>
                    <a:blip r:embed="rId12"/>
                    <a:stretch>
                      <a:fillRect/>
                    </a:stretch>
                  </pic:blipFill>
                  <pic:spPr>
                    <a:xfrm>
                      <a:off x="0" y="0"/>
                      <a:ext cx="4031999" cy="3719944"/>
                    </a:xfrm>
                    <a:prstGeom prst="rect"/>
                  </pic:spPr>
                </pic:pic>
              </a:graphicData>
            </a:graphic>
          </wp:inline>
        </w:drawing>
      </w:r>
    </w:p>
    <w:p>
      <w:pPr>
        <w:pStyle w:val="Caption"/>
        <w:keepNext w:val="0"/>
        <w:spacing w:before="80" w:after="200"/>
        <w:jc w:val="center"/>
      </w:pPr>
      <w:r>
        <w:rPr>
          <w:b/>
        </w:rPr>
        <w:t xml:space="preserve">Fig. 4. </w:t>
      </w:r>
      <w:r>
        <w:rPr/>
        <w:t xml:space="preserve">SHAP summary for </w:t>
      </w:r>
      <w:r>
        <w:rPr/>
        <w:t>Random forest</w:t>
      </w:r>
      <w:r>
        <w:rPr/>
        <w:t xml:space="preserve">. Points to the right push the prediction toward </w:t>
      </w:r>
      <w:r>
        <w:rPr>
          <w:i/>
        </w:rPr>
        <w:t>unverified</w:t>
      </w:r>
      <w:r>
        <w:rPr/>
        <w:t>; colour shows the feature value.</w:t>
      </w:r>
    </w:p>
    <w:p>
      <w:pPr>
        <w:jc w:val="both"/>
      </w:pPr>
      <w:r>
        <w:rPr/>
        <w:t xml:space="preserve">Whether the listing names an NBFC or bank lending partner dominates. Apps that do are pushed strongly toward </w:t>
      </w:r>
      <w:r>
        <w:rPr>
          <w:i/>
        </w:rPr>
        <w:t>verified</w:t>
      </w:r>
      <w:r>
        <w:rPr/>
        <w:t xml:space="preserve">, consistent with RBI's requirement that digital lending apps disclose the regulated entity they lend for. Stating the loan tenure and the APR act the same way. Newer apps are pushed toward </w:t>
      </w:r>
      <w:r>
        <w:rPr>
          <w:i/>
        </w:rPr>
        <w:t>unverified</w:t>
      </w:r>
      <w:r>
        <w:rPr/>
        <w:t>, which partly reflects survivorship after the 2026 Play removal rather than an inherent property of risky apps. Larger, more-reviewed apps lean verified. Two signals run against intuition. Requesting microphone access leans verified, as large regulated lenders use it for video KYC. Complaints about hidden fees also lean verified, because complaint volume scales with the user base. Permissions therefore matter through their pattern, not as simple red flags.</w:t>
      </w:r>
    </w:p>
    <w:p>
      <w:pPr>
        <w:jc w:val="both"/>
      </w:pPr>
      <w:r>
        <w:rPr/>
        <w:t xml:space="preserve">For the review-text model, the n-grams most associated with unverified apps included </w:t>
      </w:r>
      <w:r>
        <w:rPr/>
        <w:t>“no personal”, “kuhoo”, “home loan”, “down payment”, “credit card”</w:t>
      </w:r>
      <w:r>
        <w:rPr/>
        <w:t xml:space="preserve">, and those most associated with verified apps included </w:t>
      </w:r>
      <w:r>
        <w:rPr/>
        <w:t>“good working”, “instant loan”, “fast loan”, “loan and”, “loan apps”</w:t>
      </w:r>
      <w:r>
        <w:rPr/>
        <w:t xml:space="preserve"> (</w:t>
      </w:r>
      <w:r>
        <w:rPr/>
        <w:t>Fig. 5</w:t>
      </w:r>
      <w:r>
        <w:rPr/>
        <w:t>).</w:t>
      </w:r>
    </w:p>
    <w:p>
      <w:pPr>
        <w:keepNext/>
        <w:jc w:val="center"/>
      </w:pPr>
      <w:r>
        <w:drawing>
          <wp:inline xmlns:a="http://schemas.openxmlformats.org/drawingml/2006/main" xmlns:pic="http://schemas.openxmlformats.org/drawingml/2006/picture">
            <wp:extent cx="4031999" cy="3747090"/>
            <wp:docPr id="5" name="Picture 5"/>
            <wp:cNvGraphicFramePr>
              <a:graphicFrameLocks noChangeAspect="1"/>
            </wp:cNvGraphicFramePr>
            <a:graphic>
              <a:graphicData uri="http://schemas.openxmlformats.org/drawingml/2006/picture">
                <pic:pic>
                  <pic:nvPicPr>
                    <pic:cNvPr id="0" name="shap_text_top_terms.png"/>
                    <pic:cNvPicPr/>
                  </pic:nvPicPr>
                  <pic:blipFill>
                    <a:blip r:embed="rId13"/>
                    <a:stretch>
                      <a:fillRect/>
                    </a:stretch>
                  </pic:blipFill>
                  <pic:spPr>
                    <a:xfrm>
                      <a:off x="0" y="0"/>
                      <a:ext cx="4031999" cy="3747090"/>
                    </a:xfrm>
                    <a:prstGeom prst="rect"/>
                  </pic:spPr>
                </pic:pic>
              </a:graphicData>
            </a:graphic>
          </wp:inline>
        </w:drawing>
      </w:r>
    </w:p>
    <w:p>
      <w:pPr>
        <w:pStyle w:val="Caption"/>
        <w:keepNext w:val="0"/>
        <w:spacing w:before="80" w:after="200"/>
        <w:jc w:val="center"/>
      </w:pPr>
      <w:r>
        <w:rPr>
          <w:b/>
        </w:rPr>
        <w:t xml:space="preserve">Fig. 5. </w:t>
      </w:r>
      <w:r>
        <w:rPr/>
        <w:t>Review n-grams with the largest logistic-regression weights toward each class.</w:t>
      </w:r>
    </w:p>
    <w:p>
      <w:pPr>
        <w:jc w:val="both"/>
      </w:pPr>
      <w:r>
        <w:rPr/>
        <w:t xml:space="preserve">The strongest "unverified" terms are largely product and app names (e.g. "kuhoo", "moneyfy", "home loan", "housing"). This reflects that many unverified apps are unlisted home-finance and education-loan apps of regulated lenders. Generic complaint phrases such as "totally fake" lean </w:t>
      </w:r>
      <w:r>
        <w:rPr>
          <w:i/>
        </w:rPr>
        <w:t>verified</w:t>
      </w:r>
      <w:r>
        <w:rPr/>
        <w:t>, because popular listed apps attract more complaints. The brand-masking experiment below shows that the app names among these terms are not what the model depends on, but the product-category terms are. The text model therefore learns which kinds of loan unverified apps offer rather than risk language, which is consistent with its weaker grouped cross-validation performance.</w:t>
      </w:r>
    </w:p>
    <w:p>
      <w:pPr>
        <w:pStyle w:val="Heading2"/>
      </w:pPr>
      <w:r>
        <w:t>Brand names versus risk language</w:t>
      </w:r>
    </w:p>
    <w:p>
      <w:pPr>
        <w:jc w:val="both"/>
      </w:pPr>
      <w:r>
        <w:rPr/>
        <w:t xml:space="preserve">Each app's own brand words (from its title, developer and package name) were replaced by a placeholder in its reviews, so the text models could no longer recognise which app a review was about. Masking changed almost nothing. TF-IDF + LR reached PR-AUC </w:t>
      </w:r>
      <w:r>
        <w:rPr/>
        <w:t>0.48 ± 0.20</w:t>
      </w:r>
      <w:r>
        <w:rPr/>
        <w:t xml:space="preserve"> with masking and </w:t>
      </w:r>
      <w:r>
        <w:rPr/>
        <w:t>0.49 ± 0.19</w:t>
      </w:r>
      <w:r>
        <w:rPr/>
        <w:t xml:space="preserve"> without, and the paired bootstrap difference between them is </w:t>
      </w:r>
      <w:r>
        <w:rPr/>
        <w:t>+0.006 [−0.015, +0.030]</w:t>
      </w:r>
      <w:r>
        <w:rPr/>
        <w:t>. Brand names rank high among the model's weights (</w:t>
      </w:r>
      <w:r>
        <w:rPr/>
        <w:t>Fig. 5</w:t>
      </w:r>
      <w:r>
        <w:rPr/>
        <w:t xml:space="preserve">), but its performance does not rest on them. After masking, it relies on product-category words such as "home loan" and "gold", which reflect that many unverified apps are unlisted home-loan and gold-loan apps of regulated lenders. The frozen encoders gained slightly from masking but stayed below TF-IDF (MiniLM </w:t>
      </w:r>
      <w:r>
        <w:rPr/>
        <w:t>0.40 ± 0.16</w:t>
      </w:r>
      <w:r>
        <w:rPr/>
        <w:t xml:space="preserve">, MuRIL </w:t>
      </w:r>
      <w:r>
        <w:rPr/>
        <w:t>0.40 ± 0.14</w:t>
      </w:r>
      <w:r>
        <w:rPr/>
        <w:t>).</w:t>
      </w:r>
    </w:p>
    <w:p>
      <w:pPr>
        <w:pStyle w:val="Heading2"/>
      </w:pPr>
      <w:r>
        <w:t>Two kinds of unverified app</w:t>
      </w:r>
    </w:p>
    <w:p>
      <w:pPr>
        <w:jc w:val="both"/>
      </w:pPr>
      <w:r>
        <w:rPr/>
        <w:t>Unverified apps are not all alike. We tagged each one by whether its developer is a regulated lender (or a lending service provider the directory already lists) whose app is simply missing from the directory (</w:t>
      </w:r>
      <w:r>
        <w:rPr/>
        <w:t>28</w:t>
      </w:r>
      <w:r>
        <w:rPr/>
        <w:t xml:space="preserve"> apps), or whether no regulated entity could be identified behind it (</w:t>
      </w:r>
      <w:r>
        <w:rPr/>
        <w:t>22</w:t>
      </w:r>
      <w:r>
        <w:rPr/>
        <w:t xml:space="preserve"> apps), the group that matters most to borrowers. </w:t>
      </w:r>
      <w:r>
        <w:rPr/>
        <w:t>Table 5</w:t>
      </w:r>
      <w:r>
        <w:rPr/>
        <w:t xml:space="preserve"> reports how well each model separates verified apps from each group.</w:t>
      </w:r>
    </w:p>
    <w:p>
      <w:pPr>
        <w:pStyle w:val="Caption"/>
        <w:keepNext/>
        <w:spacing w:before="0" w:after="80"/>
        <w:jc w:val="center"/>
      </w:pPr>
      <w:r>
        <w:rPr>
          <w:b/>
        </w:rPr>
        <w:t xml:space="preserve">Table 5. </w:t>
      </w:r>
      <w:r>
        <w:rPr/>
        <w:t>Verified apps vs each kind of unverified app (organic apps, pooled out-of-fold scores).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4383"/>
            <w:tcBorders>
              <w:top w:val="single" w:sz="12" w:space="0" w:color="000000"/>
              <w:bottom w:val="single" w:sz="6" w:space="0" w:color="000000"/>
            </w:tcBorders>
          </w:tcPr>
          <w:p>
            <w:pPr>
              <w:keepNext/>
              <w:spacing w:after="20"/>
              <w:jc w:val="left"/>
            </w:pPr>
            <w:r>
              <w:rPr>
                <w:b/>
                <w:sz w:val="18"/>
              </w:rPr>
              <w:t>Model</w:t>
            </w:r>
          </w:p>
        </w:tc>
        <w:tc>
          <w:tcPr>
            <w:tcW w:type="dxa" w:w="1260"/>
            <w:tcBorders>
              <w:top w:val="single" w:sz="12" w:space="0" w:color="000000"/>
              <w:bottom w:val="single" w:sz="6" w:space="0" w:color="000000"/>
            </w:tcBorders>
          </w:tcPr>
          <w:p>
            <w:pPr>
              <w:keepNext/>
              <w:spacing w:after="20"/>
              <w:jc w:val="center"/>
            </w:pPr>
            <w:r>
              <w:rPr>
                <w:b/>
                <w:sz w:val="18"/>
              </w:rPr>
              <w:t>No regulated entity: PR-AUC</w:t>
            </w:r>
          </w:p>
        </w:tc>
        <w:tc>
          <w:tcPr>
            <w:tcW w:type="dxa" w:w="1024"/>
            <w:tcBorders>
              <w:top w:val="single" w:sz="12" w:space="0" w:color="000000"/>
              <w:bottom w:val="single" w:sz="6" w:space="0" w:color="000000"/>
            </w:tcBorders>
          </w:tcPr>
          <w:p>
            <w:pPr>
              <w:keepNext/>
              <w:spacing w:after="20"/>
              <w:jc w:val="center"/>
            </w:pPr>
            <w:r>
              <w:rPr>
                <w:b/>
                <w:sz w:val="18"/>
              </w:rPr>
              <w:t>ROC-AUC</w:t>
            </w:r>
          </w:p>
        </w:tc>
        <w:tc>
          <w:tcPr>
            <w:tcW w:type="dxa" w:w="1378"/>
            <w:tcBorders>
              <w:top w:val="single" w:sz="12" w:space="0" w:color="000000"/>
              <w:bottom w:val="single" w:sz="6" w:space="0" w:color="000000"/>
            </w:tcBorders>
          </w:tcPr>
          <w:p>
            <w:pPr>
              <w:keepNext/>
              <w:spacing w:after="20"/>
              <w:jc w:val="center"/>
            </w:pPr>
            <w:r>
              <w:rPr>
                <w:b/>
                <w:sz w:val="18"/>
              </w:rPr>
              <w:t>Regulated, unlisted: PR-AUC</w:t>
            </w:r>
          </w:p>
        </w:tc>
        <w:tc>
          <w:tcPr>
            <w:tcW w:type="dxa" w:w="1024"/>
            <w:tcBorders>
              <w:top w:val="single" w:sz="12" w:space="0" w:color="000000"/>
              <w:bottom w:val="single" w:sz="6" w:space="0" w:color="000000"/>
            </w:tcBorders>
          </w:tcPr>
          <w:p>
            <w:pPr>
              <w:keepNext/>
              <w:spacing w:after="20"/>
              <w:jc w:val="center"/>
            </w:pPr>
            <w:r>
              <w:rPr>
                <w:b/>
                <w:sz w:val="18"/>
              </w:rPr>
              <w:t>ROC-AUC</w:t>
            </w:r>
          </w:p>
        </w:tc>
      </w:tr>
      <w:tr>
        <w:trPr>
          <w:cantSplit/>
        </w:trPr>
        <w:tc>
          <w:tcPr>
            <w:tcW w:type="dxa" w:w="4383"/>
          </w:tcPr>
          <w:p>
            <w:pPr>
              <w:keepNext/>
              <w:spacing w:after="20"/>
              <w:jc w:val="left"/>
            </w:pPr>
            <w:r>
              <w:rPr>
                <w:sz w:val="18"/>
              </w:rPr>
              <w:t>Logistic regression</w:t>
            </w:r>
          </w:p>
        </w:tc>
        <w:tc>
          <w:tcPr>
            <w:tcW w:type="dxa" w:w="1260"/>
          </w:tcPr>
          <w:p>
            <w:pPr>
              <w:keepNext/>
              <w:spacing w:after="20"/>
              <w:jc w:val="center"/>
            </w:pPr>
            <w:r>
              <w:rPr>
                <w:sz w:val="18"/>
              </w:rPr>
              <w:t>0.50</w:t>
            </w:r>
          </w:p>
        </w:tc>
        <w:tc>
          <w:tcPr>
            <w:tcW w:type="dxa" w:w="1024"/>
          </w:tcPr>
          <w:p>
            <w:pPr>
              <w:keepNext/>
              <w:spacing w:after="20"/>
              <w:jc w:val="center"/>
            </w:pPr>
            <w:r>
              <w:rPr>
                <w:sz w:val="18"/>
              </w:rPr>
              <w:t>0.83</w:t>
            </w:r>
          </w:p>
        </w:tc>
        <w:tc>
          <w:tcPr>
            <w:tcW w:type="dxa" w:w="1378"/>
          </w:tcPr>
          <w:p>
            <w:pPr>
              <w:keepNext/>
              <w:spacing w:after="20"/>
              <w:jc w:val="center"/>
            </w:pPr>
            <w:r>
              <w:rPr>
                <w:sz w:val="18"/>
              </w:rPr>
              <w:t>0.41</w:t>
            </w:r>
          </w:p>
        </w:tc>
        <w:tc>
          <w:tcPr>
            <w:tcW w:type="dxa" w:w="1024"/>
          </w:tcPr>
          <w:p>
            <w:pPr>
              <w:keepNext/>
              <w:spacing w:after="20"/>
              <w:jc w:val="center"/>
            </w:pPr>
            <w:r>
              <w:rPr>
                <w:sz w:val="18"/>
              </w:rPr>
              <w:t>0.82</w:t>
            </w:r>
          </w:p>
        </w:tc>
      </w:tr>
      <w:tr>
        <w:trPr>
          <w:cantSplit/>
        </w:trPr>
        <w:tc>
          <w:tcPr>
            <w:tcW w:type="dxa" w:w="4383"/>
          </w:tcPr>
          <w:p>
            <w:pPr>
              <w:keepNext/>
              <w:spacing w:after="20"/>
              <w:jc w:val="left"/>
            </w:pPr>
            <w:r>
              <w:rPr>
                <w:sz w:val="18"/>
              </w:rPr>
              <w:t>Random forest</w:t>
            </w:r>
          </w:p>
        </w:tc>
        <w:tc>
          <w:tcPr>
            <w:tcW w:type="dxa" w:w="1260"/>
          </w:tcPr>
          <w:p>
            <w:pPr>
              <w:keepNext/>
              <w:spacing w:after="20"/>
              <w:jc w:val="center"/>
            </w:pPr>
            <w:r>
              <w:rPr>
                <w:sz w:val="18"/>
              </w:rPr>
              <w:t>0.58</w:t>
            </w:r>
          </w:p>
        </w:tc>
        <w:tc>
          <w:tcPr>
            <w:tcW w:type="dxa" w:w="1024"/>
          </w:tcPr>
          <w:p>
            <w:pPr>
              <w:keepNext/>
              <w:spacing w:after="20"/>
              <w:jc w:val="center"/>
            </w:pPr>
            <w:r>
              <w:rPr>
                <w:sz w:val="18"/>
              </w:rPr>
              <w:t>0.84</w:t>
            </w:r>
          </w:p>
        </w:tc>
        <w:tc>
          <w:tcPr>
            <w:tcW w:type="dxa" w:w="1378"/>
          </w:tcPr>
          <w:p>
            <w:pPr>
              <w:keepNext/>
              <w:spacing w:after="20"/>
              <w:jc w:val="center"/>
            </w:pPr>
            <w:r>
              <w:rPr>
                <w:sz w:val="18"/>
              </w:rPr>
              <w:t>0.27</w:t>
            </w:r>
          </w:p>
        </w:tc>
        <w:tc>
          <w:tcPr>
            <w:tcW w:type="dxa" w:w="1024"/>
          </w:tcPr>
          <w:p>
            <w:pPr>
              <w:keepNext/>
              <w:spacing w:after="20"/>
              <w:jc w:val="center"/>
            </w:pPr>
            <w:r>
              <w:rPr>
                <w:sz w:val="18"/>
              </w:rPr>
              <w:t>0.74</w:t>
            </w:r>
          </w:p>
        </w:tc>
      </w:tr>
      <w:tr>
        <w:trPr>
          <w:cantSplit/>
        </w:trPr>
        <w:tc>
          <w:tcPr>
            <w:tcW w:type="dxa" w:w="4383"/>
          </w:tcPr>
          <w:p>
            <w:pPr>
              <w:keepNext/>
              <w:spacing w:after="20"/>
              <w:jc w:val="left"/>
            </w:pPr>
            <w:r>
              <w:rPr>
                <w:sz w:val="18"/>
              </w:rPr>
              <w:t>Fusion</w:t>
            </w:r>
          </w:p>
        </w:tc>
        <w:tc>
          <w:tcPr>
            <w:tcW w:type="dxa" w:w="1260"/>
          </w:tcPr>
          <w:p>
            <w:pPr>
              <w:keepNext/>
              <w:spacing w:after="20"/>
              <w:jc w:val="center"/>
            </w:pPr>
            <w:r>
              <w:rPr>
                <w:sz w:val="18"/>
              </w:rPr>
              <w:t>0.45</w:t>
            </w:r>
          </w:p>
        </w:tc>
        <w:tc>
          <w:tcPr>
            <w:tcW w:type="dxa" w:w="1024"/>
          </w:tcPr>
          <w:p>
            <w:pPr>
              <w:keepNext/>
              <w:spacing w:after="20"/>
              <w:jc w:val="center"/>
            </w:pPr>
            <w:r>
              <w:rPr>
                <w:sz w:val="18"/>
              </w:rPr>
              <w:t>0.80</w:t>
            </w:r>
          </w:p>
        </w:tc>
        <w:tc>
          <w:tcPr>
            <w:tcW w:type="dxa" w:w="1378"/>
          </w:tcPr>
          <w:p>
            <w:pPr>
              <w:keepNext/>
              <w:spacing w:after="20"/>
              <w:jc w:val="center"/>
            </w:pPr>
            <w:r>
              <w:rPr>
                <w:sz w:val="18"/>
              </w:rPr>
              <w:t>0.42</w:t>
            </w:r>
          </w:p>
        </w:tc>
        <w:tc>
          <w:tcPr>
            <w:tcW w:type="dxa" w:w="1024"/>
          </w:tcPr>
          <w:p>
            <w:pPr>
              <w:keepNext/>
              <w:spacing w:after="20"/>
              <w:jc w:val="center"/>
            </w:pPr>
            <w:r>
              <w:rPr>
                <w:sz w:val="18"/>
              </w:rPr>
              <w:t>0.82</w:t>
            </w:r>
          </w:p>
        </w:tc>
      </w:tr>
      <w:tr>
        <w:trPr>
          <w:cantSplit/>
        </w:trPr>
        <w:tc>
          <w:tcPr>
            <w:tcW w:type="dxa" w:w="4383"/>
          </w:tcPr>
          <w:p>
            <w:pPr>
              <w:keepNext/>
              <w:spacing w:after="20"/>
              <w:jc w:val="left"/>
            </w:pPr>
            <w:r>
              <w:rPr>
                <w:sz w:val="18"/>
              </w:rPr>
              <w:t>TF-IDF + LR</w:t>
            </w:r>
          </w:p>
        </w:tc>
        <w:tc>
          <w:tcPr>
            <w:tcW w:type="dxa" w:w="1260"/>
          </w:tcPr>
          <w:p>
            <w:pPr>
              <w:keepNext/>
              <w:spacing w:after="20"/>
              <w:jc w:val="center"/>
            </w:pPr>
            <w:r>
              <w:rPr>
                <w:sz w:val="18"/>
              </w:rPr>
              <w:t>0.15</w:t>
            </w:r>
          </w:p>
        </w:tc>
        <w:tc>
          <w:tcPr>
            <w:tcW w:type="dxa" w:w="1024"/>
          </w:tcPr>
          <w:p>
            <w:pPr>
              <w:keepNext/>
              <w:spacing w:after="20"/>
              <w:jc w:val="center"/>
            </w:pPr>
            <w:r>
              <w:rPr>
                <w:sz w:val="18"/>
              </w:rPr>
              <w:t>0.57</w:t>
            </w:r>
          </w:p>
        </w:tc>
        <w:tc>
          <w:tcPr>
            <w:tcW w:type="dxa" w:w="1378"/>
          </w:tcPr>
          <w:p>
            <w:pPr>
              <w:keepNext/>
              <w:spacing w:after="20"/>
              <w:jc w:val="center"/>
            </w:pPr>
            <w:r>
              <w:rPr>
                <w:sz w:val="18"/>
              </w:rPr>
              <w:t>0.42</w:t>
            </w:r>
          </w:p>
        </w:tc>
        <w:tc>
          <w:tcPr>
            <w:tcW w:type="dxa" w:w="1024"/>
          </w:tcPr>
          <w:p>
            <w:pPr>
              <w:keepNext/>
              <w:spacing w:after="20"/>
              <w:jc w:val="center"/>
            </w:pPr>
            <w:r>
              <w:rPr>
                <w:sz w:val="18"/>
              </w:rPr>
              <w:t>0.72</w:t>
            </w:r>
          </w:p>
        </w:tc>
      </w:tr>
      <w:tr>
        <w:trPr>
          <w:cantSplit/>
        </w:trPr>
        <w:tc>
          <w:tcPr>
            <w:tcW w:type="dxa" w:w="4383"/>
            <w:tcBorders>
              <w:bottom w:val="single" w:sz="12" w:space="0" w:color="000000"/>
            </w:tcBorders>
          </w:tcPr>
          <w:p>
            <w:pPr>
              <w:keepNext w:val="0"/>
              <w:spacing w:after="20"/>
              <w:jc w:val="left"/>
            </w:pPr>
            <w:r>
              <w:rPr>
                <w:sz w:val="18"/>
              </w:rPr>
              <w:t>TF-IDF + LR, brand-masked</w:t>
            </w:r>
          </w:p>
        </w:tc>
        <w:tc>
          <w:tcPr>
            <w:tcW w:type="dxa" w:w="1260"/>
            <w:tcBorders>
              <w:bottom w:val="single" w:sz="12" w:space="0" w:color="000000"/>
            </w:tcBorders>
          </w:tcPr>
          <w:p>
            <w:pPr>
              <w:keepNext w:val="0"/>
              <w:spacing w:after="20"/>
              <w:jc w:val="center"/>
            </w:pPr>
            <w:r>
              <w:rPr>
                <w:sz w:val="18"/>
              </w:rPr>
              <w:t>0.16</w:t>
            </w:r>
          </w:p>
        </w:tc>
        <w:tc>
          <w:tcPr>
            <w:tcW w:type="dxa" w:w="1024"/>
            <w:tcBorders>
              <w:bottom w:val="single" w:sz="12" w:space="0" w:color="000000"/>
            </w:tcBorders>
          </w:tcPr>
          <w:p>
            <w:pPr>
              <w:keepNext w:val="0"/>
              <w:spacing w:after="20"/>
              <w:jc w:val="center"/>
            </w:pPr>
            <w:r>
              <w:rPr>
                <w:sz w:val="18"/>
              </w:rPr>
              <w:t>0.57</w:t>
            </w:r>
          </w:p>
        </w:tc>
        <w:tc>
          <w:tcPr>
            <w:tcW w:type="dxa" w:w="1378"/>
            <w:tcBorders>
              <w:bottom w:val="single" w:sz="12" w:space="0" w:color="000000"/>
            </w:tcBorders>
          </w:tcPr>
          <w:p>
            <w:pPr>
              <w:keepNext w:val="0"/>
              <w:spacing w:after="20"/>
              <w:jc w:val="center"/>
            </w:pPr>
            <w:r>
              <w:rPr>
                <w:sz w:val="18"/>
              </w:rPr>
              <w:t>0.40</w:t>
            </w:r>
          </w:p>
        </w:tc>
        <w:tc>
          <w:tcPr>
            <w:tcW w:type="dxa" w:w="1024"/>
            <w:tcBorders>
              <w:bottom w:val="single" w:sz="12" w:space="0" w:color="000000"/>
            </w:tcBorders>
          </w:tcPr>
          <w:p>
            <w:pPr>
              <w:keepNext w:val="0"/>
              <w:spacing w:after="20"/>
              <w:jc w:val="center"/>
            </w:pPr>
            <w:r>
              <w:rPr>
                <w:sz w:val="18"/>
              </w:rPr>
              <w:t>0.71</w:t>
            </w:r>
          </w:p>
        </w:tc>
      </w:tr>
    </w:tbl>
    <w:p>
      <w:pPr>
        <w:spacing w:after="40"/>
      </w:pPr>
    </w:p>
    <w:p>
      <w:pPr>
        <w:keepNext/>
        <w:jc w:val="center"/>
      </w:pPr>
      <w:r>
        <w:drawing>
          <wp:inline xmlns:a="http://schemas.openxmlformats.org/drawingml/2006/main" xmlns:pic="http://schemas.openxmlformats.org/drawingml/2006/picture">
            <wp:extent cx="3571200" cy="2343600"/>
            <wp:docPr id="6" name="Picture 6"/>
            <wp:cNvGraphicFramePr>
              <a:graphicFrameLocks noChangeAspect="1"/>
            </wp:cNvGraphicFramePr>
            <a:graphic>
              <a:graphicData uri="http://schemas.openxmlformats.org/drawingml/2006/picture">
                <pic:pic>
                  <pic:nvPicPr>
                    <pic:cNvPr id="0" name="subtype_scores.png"/>
                    <pic:cNvPicPr/>
                  </pic:nvPicPr>
                  <pic:blipFill>
                    <a:blip r:embed="rId14"/>
                    <a:stretch>
                      <a:fillRect/>
                    </a:stretch>
                  </pic:blipFill>
                  <pic:spPr>
                    <a:xfrm>
                      <a:off x="0" y="0"/>
                      <a:ext cx="3571200" cy="2343600"/>
                    </a:xfrm>
                    <a:prstGeom prst="rect"/>
                  </pic:spPr>
                </pic:pic>
              </a:graphicData>
            </a:graphic>
          </wp:inline>
        </w:drawing>
      </w:r>
    </w:p>
    <w:p>
      <w:pPr>
        <w:pStyle w:val="Caption"/>
        <w:keepNext w:val="0"/>
        <w:spacing w:before="80" w:after="200"/>
        <w:jc w:val="center"/>
      </w:pPr>
      <w:r>
        <w:rPr>
          <w:b/>
        </w:rPr>
        <w:t xml:space="preserve">Fig. 6. </w:t>
      </w:r>
      <w:r>
        <w:rPr/>
        <w:t>Out-of-fold risk scores by group on organic apps.</w:t>
      </w:r>
    </w:p>
    <w:p>
      <w:pPr>
        <w:jc w:val="both"/>
      </w:pPr>
      <w:r>
        <w:rPr/>
        <w:t xml:space="preserve">The listing-based models detect the riskier group at least as well as the other. The random forest separates apps with no regulated entity from verified apps with ROC-AUC </w:t>
      </w:r>
      <w:r>
        <w:rPr/>
        <w:t>0.84</w:t>
      </w:r>
      <w:r>
        <w:rPr/>
        <w:t xml:space="preserve"> (PR-AUC </w:t>
      </w:r>
      <w:r>
        <w:rPr/>
        <w:t>0.58</w:t>
      </w:r>
      <w:r>
        <w:rPr/>
        <w:t xml:space="preserve"> against a base rate of </w:t>
      </w:r>
      <w:r>
        <w:rPr/>
        <w:t>0.110</w:t>
      </w:r>
      <w:r>
        <w:rPr/>
        <w:t xml:space="preserve">), and logistic regression with ROC-AUC </w:t>
      </w:r>
      <w:r>
        <w:rPr/>
        <w:t>0.83</w:t>
      </w:r>
      <w:r>
        <w:rPr/>
        <w:t xml:space="preserve">. The review-text model behaves the opposite way: it is near chance for apps with no regulated entity (ROC-AUC </w:t>
      </w:r>
      <w:r>
        <w:rPr/>
        <w:t>0.57</w:t>
      </w:r>
      <w:r>
        <w:rPr/>
        <w:t>) and better for unlisted apps of regulated lenders (</w:t>
      </w:r>
      <w:r>
        <w:rPr/>
        <w:t>0.72</w:t>
      </w:r>
      <w:r>
        <w:rPr/>
        <w:t>), consistent with its reliance on product-category words. For borrower protection, the listing and permission features are therefore the useful part of the system.</w:t>
      </w:r>
    </w:p>
    <w:p>
      <w:pPr>
        <w:pStyle w:val="Heading2"/>
      </w:pPr>
      <w:r>
        <w:t>Statistical robustness</w:t>
      </w:r>
    </w:p>
    <w:p>
      <w:pPr>
        <w:jc w:val="both"/>
      </w:pPr>
      <w:r>
        <w:rPr/>
        <w:t xml:space="preserve">With </w:t>
      </w:r>
      <w:r>
        <w:rPr/>
        <w:t>50</w:t>
      </w:r>
      <w:r>
        <w:rPr/>
        <w:t xml:space="preserve"> unverified organic apps, differences between models must be read against their uncertainty. On pooled out-of-fold scores, logistic regression reaches PR-AUC </w:t>
      </w:r>
      <w:r>
        <w:rPr/>
        <w:t>0.59 [0.45, 0.73]</w:t>
      </w:r>
      <w:r>
        <w:rPr/>
        <w:t xml:space="preserve"> (95% bootstrap CI) and the fusion model </w:t>
      </w:r>
      <w:r>
        <w:rPr/>
        <w:t>0.58 [0.45, 0.72]</w:t>
      </w:r>
      <w:r>
        <w:rPr/>
        <w:t xml:space="preserve">. A paired bootstrap of fusion minus logistic regression gives </w:t>
      </w:r>
      <w:r>
        <w:rPr/>
        <w:t>−0.014 [−0.074, +0.048]</w:t>
      </w:r>
      <w:r>
        <w:rPr/>
        <w:t xml:space="preserve"> for PR-AUC and </w:t>
      </w:r>
      <w:r>
        <w:rPr/>
        <w:t>−0.012 [−0.039, +0.012]</w:t>
      </w:r>
      <w:r>
        <w:rPr/>
        <w:t xml:space="preserve"> for ROC-AUC. For calibration, </w:t>
      </w:r>
      <w:r>
        <w:rPr/>
        <w:t>Fig. 7</w:t>
      </w:r>
      <w:r>
        <w:rPr/>
        <w:t xml:space="preserve"> shows the demo's risk percentages, which are calibrated by Platt scaling fitted on the other folds: the Brier score is </w:t>
      </w:r>
      <w:r>
        <w:rPr/>
        <w:t>0.157</w:t>
      </w:r>
      <w:r>
        <w:rPr/>
        <w:t xml:space="preserve"> against </w:t>
      </w:r>
      <w:r>
        <w:rPr/>
        <w:t>0.171</w:t>
      </w:r>
      <w:r>
        <w:rPr/>
        <w:t xml:space="preserve"> for always predicting the base rate, and the expected calibration error is </w:t>
      </w:r>
      <w:r>
        <w:rPr/>
        <w:t>0.106</w:t>
      </w:r>
      <w:r>
        <w:rPr/>
        <w:t>.</w:t>
      </w:r>
    </w:p>
    <w:p>
      <w:pPr>
        <w:keepNext/>
        <w:jc w:val="center"/>
      </w:pPr>
      <w:r>
        <w:drawing>
          <wp:inline xmlns:a="http://schemas.openxmlformats.org/drawingml/2006/main" xmlns:pic="http://schemas.openxmlformats.org/drawingml/2006/picture">
            <wp:extent cx="3168000" cy="2828571"/>
            <wp:docPr id="7" name="Picture 7"/>
            <wp:cNvGraphicFramePr>
              <a:graphicFrameLocks noChangeAspect="1"/>
            </wp:cNvGraphicFramePr>
            <a:graphic>
              <a:graphicData uri="http://schemas.openxmlformats.org/drawingml/2006/picture">
                <pic:pic>
                  <pic:nvPicPr>
                    <pic:cNvPr id="0" name="calibration.png"/>
                    <pic:cNvPicPr/>
                  </pic:nvPicPr>
                  <pic:blipFill>
                    <a:blip r:embed="rId15"/>
                    <a:stretch>
                      <a:fillRect/>
                    </a:stretch>
                  </pic:blipFill>
                  <pic:spPr>
                    <a:xfrm>
                      <a:off x="0" y="0"/>
                      <a:ext cx="3168000" cy="2828571"/>
                    </a:xfrm>
                    <a:prstGeom prst="rect"/>
                  </pic:spPr>
                </pic:pic>
              </a:graphicData>
            </a:graphic>
          </wp:inline>
        </w:drawing>
      </w:r>
    </w:p>
    <w:p>
      <w:pPr>
        <w:pStyle w:val="Caption"/>
        <w:keepNext w:val="0"/>
        <w:spacing w:before="80" w:after="200"/>
        <w:jc w:val="center"/>
      </w:pPr>
      <w:r>
        <w:rPr>
          <w:b/>
        </w:rPr>
        <w:t xml:space="preserve">Fig. 7. </w:t>
      </w:r>
      <w:r>
        <w:rPr/>
        <w:t>Calibration of cross-fitted risk probabilities on organic apps (equal-count bins; dashed line = perfect calibration).</w:t>
      </w:r>
    </w:p>
    <w:p>
      <w:pPr>
        <w:jc w:val="both"/>
      </w:pPr>
      <w:r>
        <w:rPr/>
        <w:t xml:space="preserve">The intervals are wide. With 50 unverified apps, logistic regression, fusion and the tree ensembles cannot be reliably ranked against each other, because every paired difference interval includes zero. All of them are clearly above both the base rate and the text-only models: the paired ROC-AUC difference for TF-IDF + LR against logistic regression is </w:t>
      </w:r>
      <w:r>
        <w:rPr/>
        <w:t>−0.170 [−0.262, −0.080]</w:t>
      </w:r>
      <w:r>
        <w:rPr/>
        <w:t>. The risk percentages are only moderately calibrated, so the demo presents them as indicative scores alongside a verdict and its reasons, not as exact probabilities.</w:t>
      </w:r>
    </w:p>
    <w:p>
      <w:pPr>
        <w:pStyle w:val="Heading2"/>
      </w:pPr>
      <w:r>
        <w:t>Summary</w:t>
      </w:r>
    </w:p>
    <w:p>
      <w:pPr>
        <w:jc w:val="both"/>
      </w:pPr>
      <w:r>
        <w:rPr/>
        <w:t xml:space="preserve">On organically discovered apps, logistic regression on listing, permission and review features identifies apps missing from RBI's Digital Lending Apps directory with PR-AUC </w:t>
      </w:r>
      <w:r>
        <w:rPr/>
        <w:t>0.65 ± 0.04</w:t>
      </w:r>
      <w:r>
        <w:rPr/>
        <w:t xml:space="preserve"> against a base rate of </w:t>
      </w:r>
      <w:r>
        <w:rPr/>
        <w:t>0.218</w:t>
      </w:r>
      <w:r>
        <w:rPr/>
        <w:t xml:space="preserve">, and adding review text through stacking does not reliably improve on it. The models detect apps with no identifiable regulated entity, the group that matters most to borrowers, at least as well as unlisted apps of regulated lenders. Performance holds on newer releases and with first-fortnight information, so screening apps at release is feasible. The most informative evidence is whether a listing names its regulated lending partner and states its loan terms, together with its permission profile. </w:t>
      </w:r>
      <w:r>
        <w:rPr>
          <w:i/>
        </w:rPr>
        <w:t>Unverified</w:t>
      </w:r>
      <w:r>
        <w:rPr/>
        <w:t xml:space="preserve"> here means "not in the RBI directory snapshot of </w:t>
      </w:r>
      <w:r>
        <w:rPr/>
        <w:t>2026-10-08</w:t>
      </w:r>
      <w:r>
        <w:rPr/>
        <w:t>", a class that includes unlisted apps of regulated lenders, and the borderline labels come from a single AI-assisted annotator. The model is therefore a screening aid, not a legal determination.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