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p>
      <w:pPr>
        <w:spacing w:after="160" w:before="0"/>
        <w:jc w:val="center"/>
      </w:pPr>
      <w:r>
        <w:rPr>
          <w:rFonts w:ascii="Arial" w:cs="Arial" w:eastAsia="Arial" w:hAnsi="Arial"/>
          <w:b/>
          <w:bCs/>
          <w:i w:val="false"/>
          <w:iCs w:val="false"/>
          <w:color w:val="8B0000"/>
          <w:sz w:val="28"/>
          <w:szCs w:val="28"/>
        </w:rPr>
        <w:t xml:space="preserve">QUEEN'S UNIVERSITY BELFAST</w:t>
      </w:r>
    </w:p>
    <w:p>
      <w:pPr>
        <w:spacing w:after="160" w:before="0"/>
        <w:jc w:val="center"/>
      </w:pPr>
      <w:r>
        <w:rPr>
          <w:rFonts w:ascii="Arial" w:cs="Arial" w:eastAsia="Arial" w:hAnsi="Arial"/>
          <w:b w:val="false"/>
          <w:bCs w:val="false"/>
          <w:i w:val="false"/>
          <w:iCs w:val="false"/>
          <w:color w:val="8B0000"/>
          <w:sz w:val="24"/>
          <w:szCs w:val="24"/>
        </w:rPr>
        <w:t xml:space="preserve">Queen's Business School</w:t>
      </w:r>
    </w:p>
    <w:p>
      <w:pPr>
        <w:spacing w:after="720"/>
      </w:pPr>
    </w:p>
    <w:p>
      <w:pPr>
        <w:spacing w:after="160" w:before="0"/>
        <w:jc w:val="center"/>
      </w:pPr>
      <w:r>
        <w:rPr>
          <w:rFonts w:ascii="Arial" w:cs="Arial" w:eastAsia="Arial" w:hAnsi="Arial"/>
          <w:b/>
          <w:bCs/>
          <w:i w:val="false"/>
          <w:iCs w:val="false"/>
          <w:color w:val="000000"/>
          <w:sz w:val="24"/>
          <w:szCs w:val="24"/>
        </w:rPr>
        <w:t xml:space="preserve">Module Code: ITAG7105 | Data Mining</w:t>
      </w:r>
    </w:p>
    <w:p>
      <w:pPr>
        <w:spacing w:after="240"/>
      </w:pPr>
    </w:p>
    <w:p>
      <w:pPr>
        <w:spacing w:after="160" w:before="0"/>
        <w:jc w:val="center"/>
      </w:pPr>
      <w:r>
        <w:rPr>
          <w:rFonts w:ascii="Arial" w:cs="Arial" w:eastAsia="Arial" w:hAnsi="Arial"/>
          <w:b/>
          <w:bCs/>
          <w:i w:val="false"/>
          <w:iCs w:val="false"/>
          <w:color w:val="000000"/>
          <w:sz w:val="32"/>
          <w:szCs w:val="32"/>
        </w:rPr>
        <w:t xml:space="preserve">Descriptive, Predictive, and Text Analytics
for Airline Customer Reviews</w:t>
      </w:r>
    </w:p>
    <w:p>
      <w:pPr>
        <w:spacing w:after="480"/>
      </w:pPr>
    </w:p>
    <w:p>
      <w:pPr>
        <w:spacing w:after="160" w:before="0"/>
        <w:jc w:val="center"/>
      </w:pPr>
      <w:r>
        <w:rPr>
          <w:rFonts w:ascii="Arial" w:cs="Arial" w:eastAsia="Arial" w:hAnsi="Arial"/>
          <w:b w:val="false"/>
          <w:bCs w:val="false"/>
          <w:i w:val="false"/>
          <w:iCs w:val="false"/>
          <w:color w:val="000000"/>
          <w:sz w:val="22"/>
          <w:szCs w:val="22"/>
        </w:rPr>
        <w:t xml:space="preserve">[Your Name] | Student Number: [XXXXXXXX]</w:t>
      </w:r>
    </w:p>
    <w:p>
      <w:pPr>
        <w:spacing w:after="160" w:before="0"/>
        <w:jc w:val="center"/>
      </w:pPr>
      <w:r>
        <w:rPr>
          <w:rFonts w:ascii="Arial" w:cs="Arial" w:eastAsia="Arial" w:hAnsi="Arial"/>
          <w:b w:val="false"/>
          <w:bCs w:val="false"/>
          <w:i w:val="false"/>
          <w:iCs w:val="false"/>
          <w:color w:val="000000"/>
          <w:sz w:val="22"/>
          <w:szCs w:val="22"/>
        </w:rPr>
        <w:t xml:space="preserve">Semester: February to April 2026</w:t>
      </w:r>
    </w:p>
    <w:p>
      <w:pPr>
        <w:spacing w:after="160" w:before="0"/>
        <w:jc w:val="center"/>
      </w:pPr>
      <w:r>
        <w:rPr>
          <w:rFonts w:ascii="Arial" w:cs="Arial" w:eastAsia="Arial" w:hAnsi="Arial"/>
          <w:b w:val="false"/>
          <w:bCs w:val="false"/>
          <w:i w:val="false"/>
          <w:iCs w:val="false"/>
          <w:color w:val="000000"/>
          <w:sz w:val="22"/>
          <w:szCs w:val="22"/>
        </w:rPr>
        <w:t xml:space="preserve">Submission Deadline: 23rd April 2026</w:t>
      </w:r>
    </w:p>
    <w:p>
      <w:pPr>
        <w:spacing w:after="160" w:before="0"/>
        <w:jc w:val="center"/>
      </w:pPr>
      <w:r>
        <w:rPr>
          <w:rFonts w:ascii="Arial" w:cs="Arial" w:eastAsia="Arial" w:hAnsi="Arial"/>
          <w:b w:val="false"/>
          <w:bCs w:val="false"/>
          <w:i w:val="false"/>
          <w:iCs w:val="false"/>
          <w:color w:val="000000"/>
          <w:sz w:val="22"/>
          <w:szCs w:val="22"/>
        </w:rPr>
        <w:t xml:space="preserve">Word Count: ~3,000 words</w:t>
      </w:r>
    </w:p>
    <w:p>
      <w:pPr>
        <w:spacing w:after="720"/>
      </w:pPr>
    </w:p>
    <w:p>
      <w:pPr>
        <w:pBdr>
          <w:top w:val="single" w:color="8B0000" w:sz="6" w:space="1"/>
          <w:bottom w:val="single" w:color="8B0000" w:sz="6" w:space="1"/>
        </w:pBdr>
        <w:spacing w:after="120" w:before="120"/>
      </w:pPr>
      <w:r>
        <w:rPr>
          <w:rFonts w:ascii="Arial" w:cs="Arial" w:eastAsia="Arial" w:hAnsi="Arial"/>
          <w:b/>
          <w:bCs/>
          <w:sz w:val="24"/>
          <w:szCs w:val="24"/>
        </w:rPr>
        <w:t xml:space="preserve">Generative AI Usage Declaration</w:t>
      </w:r>
    </w:p>
    <w:p>
      <w:pPr>
        <w:spacing w:after="160" w:before="0"/>
        <w:jc w:val="both"/>
      </w:pPr>
      <w:r>
        <w:rPr>
          <w:rFonts w:ascii="Arial" w:cs="Arial" w:eastAsia="Arial" w:hAnsi="Arial"/>
          <w:b w:val="false"/>
          <w:bCs w:val="false"/>
          <w:i w:val="false"/>
          <w:iCs w:val="false"/>
          <w:color w:val="000000"/>
          <w:sz w:val="22"/>
          <w:szCs w:val="22"/>
        </w:rPr>
        <w:t xml:space="preserve">Claude (Anthropic) was used as an assistive tool for code structuring, report organisation, and initial draft text generation. All analytical outputs, model interpretations, critical discussions, and conclusions represent the student's own intellectual work. AI-generated outputs were critically reviewed, validated against the dataset, and substantially revised throughout. No fabricated references were used.</w:t>
      </w:r>
    </w:p>
    <w:p>
      <w:r>
        <w:br w:type="page"/>
      </w:r>
    </w:p>
    <w:p>
      <w:pPr>
        <w:pStyle w:val="Heading1"/>
        <w:spacing w:before="360" w:after="180"/>
      </w:pPr>
      <w:r>
        <w:rPr>
          <w:rFonts w:ascii="Arial" w:cs="Arial" w:eastAsia="Arial" w:hAnsi="Arial"/>
          <w:b/>
          <w:bCs/>
          <w:color w:val="8B0000"/>
          <w:sz w:val="32"/>
          <w:szCs w:val="32"/>
        </w:rPr>
        <w:t xml:space="preserve">1. Introduction and Background</w:t>
      </w:r>
    </w:p>
    <w:p>
      <w:pPr>
        <w:spacing w:after="160" w:before="0"/>
        <w:jc w:val="both"/>
      </w:pPr>
      <w:r>
        <w:rPr>
          <w:rFonts w:ascii="Arial" w:cs="Arial" w:eastAsia="Arial" w:hAnsi="Arial"/>
          <w:b w:val="false"/>
          <w:bCs w:val="false"/>
          <w:i w:val="false"/>
          <w:iCs w:val="false"/>
          <w:color w:val="000000"/>
          <w:sz w:val="24"/>
          <w:szCs w:val="24"/>
        </w:rPr>
        <w:t xml:space="preserve">The airline industry operates within one of the most intensely competitive service sectors globally, where customer satisfaction directly determines loyalty, market share, and long-term profitability (Zeithaml et al., 2018). In an era of increasing service commoditisation — particularly within economy class — the voice of the customer has emerged as a critical asset for strategic decision-making. Passenger reviews, increasingly published on platforms such as Skytrax and TripAdvisor, constitute a rich, multi-modal dataset combining structured numerical ratings with unstructured free-text commentary, presenting both an analytical challenge and an opportunity.</w:t>
      </w:r>
    </w:p>
    <w:p>
      <w:pPr>
        <w:spacing w:after="160" w:before="0"/>
        <w:jc w:val="both"/>
      </w:pPr>
      <w:r>
        <w:rPr>
          <w:rFonts w:ascii="Arial" w:cs="Arial" w:eastAsia="Arial" w:hAnsi="Arial"/>
          <w:b w:val="false"/>
          <w:bCs w:val="false"/>
          <w:i w:val="false"/>
          <w:iCs w:val="false"/>
          <w:color w:val="000000"/>
          <w:sz w:val="24"/>
          <w:szCs w:val="24"/>
        </w:rPr>
        <w:t xml:space="preserve">Customer recommendation — whether a passenger would recommend an airline to others — serves as a proxy for Net Promoter Score (NPS), a widely adopted managerial metric for customer loyalty (Reichheld, 2003). Predicting recommendation from review data enables airlines to identify service failures proactively, benchmark against competitors, and prioritise investment in service improvements. Academic literature corroborates this: Parasuraman et al.'s (1988) SERVQUAL framework identifies tangibles, reliability, responsiveness, assurance, and empathy as core dimensions of service quality — dimensions directly mappable to this dataset's features (e.g., Cabin Staff Service captures assurance; Inflight Entertainment captures tangibles).</w:t>
      </w:r>
    </w:p>
    <w:p>
      <w:pPr>
        <w:spacing w:after="160" w:before="0"/>
        <w:jc w:val="both"/>
      </w:pPr>
      <w:r>
        <w:rPr>
          <w:rFonts w:ascii="Arial" w:cs="Arial" w:eastAsia="Arial" w:hAnsi="Arial"/>
          <w:b w:val="false"/>
          <w:bCs w:val="false"/>
          <w:i w:val="false"/>
          <w:iCs w:val="false"/>
          <w:color w:val="000000"/>
          <w:sz w:val="24"/>
          <w:szCs w:val="24"/>
        </w:rPr>
        <w:t xml:space="preserve">The analytical challenge is significant. The dataset is mixed-type, combining Likert-scale ratings (ordinal numerical) with free-text reviews (unstructured textual). Each data type demands distinct preprocessing and modelling strategies. Zhao et al. (2019) demonstrate that combining structured and unstructured features in predictive models yields superior performance compared to either modality alone. Furthermore, the inherent class imbalance in recommendation data — where dissatisfied customers disproportionately leave reviews (Hu et al., 2009) — demands careful methodological treatment.</w:t>
      </w:r>
    </w:p>
    <w:p>
      <w:pPr>
        <w:spacing w:after="160" w:before="0"/>
        <w:jc w:val="both"/>
      </w:pPr>
      <w:r>
        <w:rPr>
          <w:rFonts w:ascii="Arial" w:cs="Arial" w:eastAsia="Arial" w:hAnsi="Arial"/>
          <w:b w:val="false"/>
          <w:bCs w:val="false"/>
          <w:i w:val="false"/>
          <w:iCs w:val="false"/>
          <w:color w:val="000000"/>
          <w:sz w:val="24"/>
          <w:szCs w:val="24"/>
        </w:rPr>
        <w:t xml:space="preserve">This report applies the CRISP-DM framework to systematically analyse 6,178 airline passenger reviews across 6 sections: methodology, data pre-processing, descriptive analytics, predictive modelling (numerical, text, and combined), and strategic recommendations.</w:t>
      </w:r>
    </w:p>
    <w:p>
      <w:r>
        <w:br w:type="page"/>
      </w:r>
    </w:p>
    <w:p>
      <w:pPr>
        <w:pStyle w:val="Heading1"/>
        <w:spacing w:before="360" w:after="180"/>
      </w:pPr>
      <w:r>
        <w:rPr>
          <w:rFonts w:ascii="Arial" w:cs="Arial" w:eastAsia="Arial" w:hAnsi="Arial"/>
          <w:b/>
          <w:bCs/>
          <w:color w:val="8B0000"/>
          <w:sz w:val="32"/>
          <w:szCs w:val="32"/>
        </w:rPr>
        <w:t xml:space="preserve">2. Methodology</w:t>
      </w:r>
    </w:p>
    <w:p>
      <w:pPr>
        <w:pStyle w:val="Heading2"/>
        <w:spacing w:before="280" w:after="140"/>
      </w:pPr>
      <w:r>
        <w:rPr>
          <w:rFonts w:ascii="Arial" w:cs="Arial" w:eastAsia="Arial" w:hAnsi="Arial"/>
          <w:b/>
          <w:bCs/>
          <w:color w:val="C0392B"/>
          <w:sz w:val="28"/>
          <w:szCs w:val="28"/>
        </w:rPr>
        <w:t xml:space="preserve">2.1 CRISP-DM Framework</w:t>
      </w:r>
    </w:p>
    <w:p>
      <w:pPr>
        <w:spacing w:after="160" w:before="0"/>
        <w:jc w:val="both"/>
      </w:pPr>
      <w:r>
        <w:rPr>
          <w:rFonts w:ascii="Arial" w:cs="Arial" w:eastAsia="Arial" w:hAnsi="Arial"/>
          <w:b w:val="false"/>
          <w:bCs w:val="false"/>
          <w:i w:val="false"/>
          <w:iCs w:val="false"/>
          <w:color w:val="000000"/>
          <w:sz w:val="24"/>
          <w:szCs w:val="24"/>
        </w:rPr>
        <w:t xml:space="preserve">The analytical workflow is structured within the Cross-Industry Standard Process for Data Mining (CRISP-DM) framework (Wirth &amp; Hipp, 2000), which provides a systematic, iterative approach to data mining projects:</w:t>
      </w:r>
    </w:p>
    <w:p>
      <w:pPr>
        <w:pStyle w:val="ListParagraph"/>
        <w:numPr>
          <w:ilvl w:val="0"/>
          <w:numId w:val="2"/>
        </w:numPr>
        <w:spacing w:after="120"/>
      </w:pPr>
      <w:r>
        <w:rPr>
          <w:rFonts w:ascii="Arial" w:cs="Arial" w:eastAsia="Arial" w:hAnsi="Arial"/>
          <w:sz w:val="24"/>
          <w:szCs w:val="24"/>
        </w:rPr>
        <w:t xml:space="preserve">Business Understanding: Predict customer recommendation; identify service quality drivers; inform airline management decisions.</w:t>
      </w:r>
    </w:p>
    <w:p>
      <w:pPr>
        <w:pStyle w:val="ListParagraph"/>
        <w:numPr>
          <w:ilvl w:val="0"/>
          <w:numId w:val="2"/>
        </w:numPr>
        <w:spacing w:after="120"/>
      </w:pPr>
      <w:r>
        <w:rPr>
          <w:rFonts w:ascii="Arial" w:cs="Arial" w:eastAsia="Arial" w:hAnsi="Arial"/>
          <w:sz w:val="24"/>
          <w:szCs w:val="24"/>
        </w:rPr>
        <w:t xml:space="preserve">Data Understanding: Exploration of 6,178 reviews across 21 variables, revealing significant missingness in Wifi &amp; Connectivity (71.5%) and Inflight Entertainment (57.1%).</w:t>
      </w:r>
    </w:p>
    <w:p>
      <w:pPr>
        <w:pStyle w:val="ListParagraph"/>
        <w:numPr>
          <w:ilvl w:val="0"/>
          <w:numId w:val="2"/>
        </w:numPr>
        <w:spacing w:after="120"/>
      </w:pPr>
      <w:r>
        <w:rPr>
          <w:rFonts w:ascii="Arial" w:cs="Arial" w:eastAsia="Arial" w:hAnsi="Arial"/>
          <w:sz w:val="24"/>
          <w:szCs w:val="24"/>
        </w:rPr>
        <w:t xml:space="preserve">Data Preparation: Coercion of Overall_Rating to numeric, median imputation, binary encoding of target, and a domain-specific text preprocessing pipeline.</w:t>
      </w:r>
    </w:p>
    <w:p>
      <w:pPr>
        <w:pStyle w:val="ListParagraph"/>
        <w:numPr>
          <w:ilvl w:val="0"/>
          <w:numId w:val="2"/>
        </w:numPr>
        <w:spacing w:after="120"/>
      </w:pPr>
      <w:r>
        <w:rPr>
          <w:rFonts w:ascii="Arial" w:cs="Arial" w:eastAsia="Arial" w:hAnsi="Arial"/>
          <w:sz w:val="24"/>
          <w:szCs w:val="24"/>
        </w:rPr>
        <w:t xml:space="preserve">Modelling: Two supervised learning algorithms — Random Forest and Gradient Boosting — applied across three feature sets (numerical, text, combined).</w:t>
      </w:r>
    </w:p>
    <w:p>
      <w:pPr>
        <w:pStyle w:val="ListParagraph"/>
        <w:numPr>
          <w:ilvl w:val="0"/>
          <w:numId w:val="2"/>
        </w:numPr>
        <w:spacing w:after="120"/>
      </w:pPr>
      <w:r>
        <w:rPr>
          <w:rFonts w:ascii="Arial" w:cs="Arial" w:eastAsia="Arial" w:hAnsi="Arial"/>
          <w:sz w:val="24"/>
          <w:szCs w:val="24"/>
        </w:rPr>
        <w:t xml:space="preserve">Evaluation: Performance assessed via Accuracy, F1-Score, and ROC-AUC. Temporal robustness testing (pre-2020 train → 2020+ test) assesses real-world generalisability.</w:t>
      </w:r>
    </w:p>
    <w:p>
      <w:pPr>
        <w:pStyle w:val="ListParagraph"/>
        <w:numPr>
          <w:ilvl w:val="0"/>
          <w:numId w:val="2"/>
        </w:numPr>
        <w:spacing w:after="120"/>
      </w:pPr>
      <w:r>
        <w:rPr>
          <w:rFonts w:ascii="Arial" w:cs="Arial" w:eastAsia="Arial" w:hAnsi="Arial"/>
          <w:sz w:val="24"/>
          <w:szCs w:val="24"/>
        </w:rPr>
        <w:t xml:space="preserve">Deployment: Data-driven managerial recommendations informed by feature importances and failure analysis.</w:t>
      </w:r>
    </w:p>
    <w:p>
      <w:pPr>
        <w:pStyle w:val="Heading2"/>
        <w:spacing w:before="280" w:after="140"/>
      </w:pPr>
      <w:r>
        <w:rPr>
          <w:rFonts w:ascii="Arial" w:cs="Arial" w:eastAsia="Arial" w:hAnsi="Arial"/>
          <w:b/>
          <w:bCs/>
          <w:color w:val="C0392B"/>
          <w:sz w:val="28"/>
          <w:szCs w:val="28"/>
        </w:rPr>
        <w:t xml:space="preserve">2.2 Algorithm Selection and Justification</w:t>
      </w:r>
    </w:p>
    <w:p>
      <w:pPr>
        <w:pStyle w:val="Heading3"/>
        <w:spacing w:before="200" w:after="120"/>
      </w:pPr>
      <w:r>
        <w:rPr>
          <w:rFonts w:ascii="Arial" w:cs="Arial" w:eastAsia="Arial" w:hAnsi="Arial"/>
          <w:b/>
          <w:bCs/>
          <w:color w:val="1A5276"/>
          <w:sz w:val="26"/>
          <w:szCs w:val="26"/>
        </w:rPr>
        <w:t xml:space="preserve">Random Forest (RF)</w:t>
      </w:r>
    </w:p>
    <w:p>
      <w:pPr>
        <w:spacing w:after="160" w:before="0"/>
        <w:jc w:val="both"/>
      </w:pPr>
      <w:r>
        <w:rPr>
          <w:rFonts w:ascii="Arial" w:cs="Arial" w:eastAsia="Arial" w:hAnsi="Arial"/>
          <w:b w:val="false"/>
          <w:bCs w:val="false"/>
          <w:i w:val="false"/>
          <w:iCs w:val="false"/>
          <w:color w:val="000000"/>
          <w:sz w:val="24"/>
          <w:szCs w:val="24"/>
        </w:rPr>
        <w:t xml:space="preserve">Random Forest (Breiman, 2001) was selected as the primary algorithm for its suitability to this task: it handles mixed-type features without requiring feature scaling, is robust to outliers and noisy variables, provides interpretable feature importances, and controls overfitting via bootstrap aggregation (bagging). The class_weight='balanced' parameter addresses the dataset's class imbalance (69.3% non-recommending). Empirically, RF has shown state-of-the-art performance on tabular review datasets (Liaw &amp; Wiener, 2002; Nair et al., 2021).</w:t>
      </w:r>
    </w:p>
    <w:p>
      <w:pPr>
        <w:spacing w:after="160" w:before="0"/>
        <w:jc w:val="both"/>
      </w:pPr>
      <w:r>
        <w:rPr>
          <w:rFonts w:ascii="Arial" w:cs="Arial" w:eastAsia="Arial" w:hAnsi="Arial"/>
          <w:b w:val="false"/>
          <w:bCs w:val="false"/>
          <w:i w:val="false"/>
          <w:iCs w:val="false"/>
          <w:color w:val="000000"/>
          <w:sz w:val="24"/>
          <w:szCs w:val="24"/>
        </w:rPr>
        <w:t xml:space="preserve">Limitation: RF can overfit on high-dimensional sparse data (TF-IDF matrices), and individual trees are not interpretable.</w:t>
      </w:r>
    </w:p>
    <w:p>
      <w:pPr>
        <w:pStyle w:val="Heading3"/>
        <w:spacing w:before="200" w:after="120"/>
      </w:pPr>
      <w:r>
        <w:rPr>
          <w:rFonts w:ascii="Arial" w:cs="Arial" w:eastAsia="Arial" w:hAnsi="Arial"/>
          <w:b/>
          <w:bCs/>
          <w:color w:val="1A5276"/>
          <w:sz w:val="26"/>
          <w:szCs w:val="26"/>
        </w:rPr>
        <w:t xml:space="preserve">Gradient Boosting (GB)</w:t>
      </w:r>
    </w:p>
    <w:p>
      <w:pPr>
        <w:spacing w:after="160" w:before="0"/>
        <w:jc w:val="both"/>
      </w:pPr>
      <w:r>
        <w:rPr>
          <w:rFonts w:ascii="Arial" w:cs="Arial" w:eastAsia="Arial" w:hAnsi="Arial"/>
          <w:b w:val="false"/>
          <w:bCs w:val="false"/>
          <w:i w:val="false"/>
          <w:iCs w:val="false"/>
          <w:color w:val="000000"/>
          <w:sz w:val="24"/>
          <w:szCs w:val="24"/>
        </w:rPr>
        <w:t xml:space="preserve">Gradient Boosting (Friedman, 2001) was selected as the complementary algorithm. Unlike RF's parallel ensemble, GB builds trees sequentially, each correcting the residuals of its predecessor. This typically yields stronger predictive performance on structured data (Chen &amp; Guestrin, 2016). GB is particularly effective when data contains complex non-linear interactions — as expected in airline service quality data where, for example, a poor WiFi score may matter more in business class than economy.</w:t>
      </w:r>
    </w:p>
    <w:p>
      <w:pPr>
        <w:spacing w:after="160" w:before="0"/>
        <w:jc w:val="both"/>
      </w:pPr>
      <w:r>
        <w:rPr>
          <w:rFonts w:ascii="Arial" w:cs="Arial" w:eastAsia="Arial" w:hAnsi="Arial"/>
          <w:b w:val="false"/>
          <w:bCs w:val="false"/>
          <w:i w:val="false"/>
          <w:iCs w:val="false"/>
          <w:color w:val="000000"/>
          <w:sz w:val="24"/>
          <w:szCs w:val="24"/>
        </w:rPr>
        <w:t xml:space="preserve">Limitation: GB is computationally expensive, sensitive to hyperparameter choice, and prone to overfitting without regularisation. It is less inherently interpretable than RF on text features.</w:t>
      </w:r>
    </w:p>
    <w:p>
      <w:pPr>
        <w:pStyle w:val="Heading2"/>
        <w:spacing w:before="280" w:after="140"/>
      </w:pPr>
      <w:r>
        <w:rPr>
          <w:rFonts w:ascii="Arial" w:cs="Arial" w:eastAsia="Arial" w:hAnsi="Arial"/>
          <w:b/>
          <w:bCs/>
          <w:color w:val="C0392B"/>
          <w:sz w:val="28"/>
          <w:szCs w:val="28"/>
        </w:rPr>
        <w:t xml:space="preserve">2.3 Descriptive and Text Analytics Approach</w:t>
      </w:r>
    </w:p>
    <w:p>
      <w:pPr>
        <w:spacing w:after="160" w:before="0"/>
        <w:jc w:val="both"/>
      </w:pPr>
      <w:r>
        <w:rPr>
          <w:rFonts w:ascii="Arial" w:cs="Arial" w:eastAsia="Arial" w:hAnsi="Arial"/>
          <w:b w:val="false"/>
          <w:bCs w:val="false"/>
          <w:i w:val="false"/>
          <w:iCs w:val="false"/>
          <w:color w:val="000000"/>
          <w:sz w:val="24"/>
          <w:szCs w:val="24"/>
        </w:rPr>
        <w:t xml:space="preserve">Descriptive analytics employs Pearson correlation, grouped means, and distribution analysis to identify patterns in numerical data. For text, two sentiment approaches are compared: a domain-specific lexicon-based method and a TF-IDF polarity proxy using cosine similarity to anchor documents. TF-IDF vectorisation with bigrams (ngram_range=(1,2)) captures phrase-level signals such as "cabin crew excellent" absent in unigram models (Manning et al., 2008).</w:t>
      </w:r>
    </w:p>
    <w:p>
      <w:r>
        <w:br w:type="page"/>
      </w:r>
    </w:p>
    <w:p>
      <w:pPr>
        <w:pStyle w:val="Heading1"/>
        <w:spacing w:before="360" w:after="180"/>
      </w:pPr>
      <w:r>
        <w:rPr>
          <w:rFonts w:ascii="Arial" w:cs="Arial" w:eastAsia="Arial" w:hAnsi="Arial"/>
          <w:b/>
          <w:bCs/>
          <w:color w:val="8B0000"/>
          <w:sz w:val="32"/>
          <w:szCs w:val="32"/>
        </w:rPr>
        <w:t xml:space="preserve">3. Data Pre-Processing</w:t>
      </w:r>
    </w:p>
    <w:p>
      <w:pPr>
        <w:pStyle w:val="Heading2"/>
        <w:spacing w:before="280" w:after="140"/>
      </w:pPr>
      <w:r>
        <w:rPr>
          <w:rFonts w:ascii="Arial" w:cs="Arial" w:eastAsia="Arial" w:hAnsi="Arial"/>
          <w:b/>
          <w:bCs/>
          <w:color w:val="C0392B"/>
          <w:sz w:val="28"/>
          <w:szCs w:val="28"/>
        </w:rPr>
        <w:t xml:space="preserve">3.1 Numerical Data Cleaning</w:t>
      </w:r>
    </w:p>
    <w:p>
      <w:pPr>
        <w:spacing w:after="160" w:before="0"/>
        <w:jc w:val="both"/>
      </w:pPr>
      <w:r>
        <w:rPr>
          <w:rFonts w:ascii="Arial" w:cs="Arial" w:eastAsia="Arial" w:hAnsi="Arial"/>
          <w:b w:val="false"/>
          <w:bCs w:val="false"/>
          <w:i w:val="false"/>
          <w:iCs w:val="false"/>
          <w:color w:val="000000"/>
          <w:sz w:val="24"/>
          <w:szCs w:val="24"/>
        </w:rPr>
        <w:t xml:space="preserve">The raw dataset of 6,178 reviews revealed several non-trivial data quality issues:</w:t>
      </w:r>
    </w:p>
    <w:p>
      <w:pPr>
        <w:pStyle w:val="ListParagraph"/>
        <w:numPr>
          <w:ilvl w:val="0"/>
          <w:numId w:val="2"/>
        </w:numPr>
        <w:spacing w:after="120"/>
      </w:pPr>
      <w:r>
        <w:rPr>
          <w:rFonts w:ascii="Arial" w:cs="Arial" w:eastAsia="Arial" w:hAnsi="Arial"/>
          <w:sz w:val="24"/>
          <w:szCs w:val="24"/>
        </w:rPr>
        <w:t xml:space="preserve">Overall_Rating (object dtype): Contained non-numeric tokens ("n") alongside both string-quoted integers ("8") and actual integers (8). Coercing to float64 via pd.to_numeric(errors='coerce') resolved this, producing a consistent numeric column.</w:t>
      </w:r>
    </w:p>
    <w:p>
      <w:pPr>
        <w:pStyle w:val="ListParagraph"/>
        <w:numPr>
          <w:ilvl w:val="0"/>
          <w:numId w:val="2"/>
        </w:numPr>
        <w:spacing w:after="120"/>
      </w:pPr>
      <w:r>
        <w:rPr>
          <w:rFonts w:ascii="Arial" w:cs="Arial" w:eastAsia="Arial" w:hAnsi="Arial"/>
          <w:sz w:val="24"/>
          <w:szCs w:val="24"/>
        </w:rPr>
        <w:t xml:space="preserve">Systematic missingness: Wifi &amp; Connectivity (71.5% missing), Inflight Entertainment (57.1%), and Food &amp; Beverages (35.9%) exhibited high missingness, likely due to route type (short-haul flights may not offer these services).</w:t>
      </w:r>
    </w:p>
    <w:p>
      <w:pPr>
        <w:pStyle w:val="ListParagraph"/>
        <w:numPr>
          <w:ilvl w:val="0"/>
          <w:numId w:val="2"/>
        </w:numPr>
        <w:spacing w:after="120"/>
      </w:pPr>
      <w:r>
        <w:rPr>
          <w:rFonts w:ascii="Arial" w:cs="Arial" w:eastAsia="Arial" w:hAnsi="Arial"/>
          <w:sz w:val="24"/>
          <w:szCs w:val="24"/>
        </w:rPr>
        <w:t xml:space="preserve">Logical conflicts: Some reviews showed high Overall_Rating but a "no" recommendation (and vice versa), indicating subjective weighting differs between holistic and attribute-level ratings — a substantive finding, not merely noise.</w:t>
      </w:r>
    </w:p>
    <w:p>
      <w:pPr>
        <w:pStyle w:val="Heading3"/>
        <w:spacing w:before="200" w:after="120"/>
      </w:pPr>
      <w:r>
        <w:rPr>
          <w:rFonts w:ascii="Arial" w:cs="Arial" w:eastAsia="Arial" w:hAnsi="Arial"/>
          <w:b/>
          <w:bCs/>
          <w:color w:val="1A5276"/>
          <w:sz w:val="26"/>
          <w:szCs w:val="26"/>
        </w:rPr>
        <w:t xml:space="preserve">Imputation Strategy Comparison</w:t>
      </w:r>
    </w:p>
    <w:p>
      <w:pPr>
        <w:spacing w:after="160" w:before="0"/>
        <w:jc w:val="both"/>
      </w:pPr>
      <w:r>
        <w:rPr>
          <w:rFonts w:ascii="Arial" w:cs="Arial" w:eastAsia="Arial" w:hAnsi="Arial"/>
          <w:b w:val="false"/>
          <w:bCs w:val="false"/>
          <w:i w:val="false"/>
          <w:iCs w:val="false"/>
          <w:color w:val="000000"/>
          <w:sz w:val="24"/>
          <w:szCs w:val="24"/>
        </w:rPr>
        <w:t xml:space="preserve">Two imputation strategies were evaluated for key rating variables:</w:t>
      </w:r>
    </w:p>
    <w:p>
      <w:pPr>
        <w:pStyle w:val="ListParagraph"/>
        <w:numPr>
          <w:ilvl w:val="0"/>
          <w:numId w:val="2"/>
        </w:numPr>
        <w:spacing w:after="120"/>
      </w:pPr>
      <w:r>
        <w:rPr>
          <w:rFonts w:ascii="Arial" w:cs="Arial" w:eastAsia="Arial" w:hAnsi="Arial"/>
          <w:sz w:val="24"/>
          <w:szCs w:val="24"/>
        </w:rPr>
        <w:t xml:space="preserve">Strategy 1 (Selected): Median imputation. The median is robust to the right-skew present in rating distributions (e.g., Inflight Entertainment skewness = 2.07). It preserves the central tendency without being distorted by outliers.</w:t>
      </w:r>
    </w:p>
    <w:p>
      <w:pPr>
        <w:pStyle w:val="ListParagraph"/>
        <w:numPr>
          <w:ilvl w:val="0"/>
          <w:numId w:val="2"/>
        </w:numPr>
        <w:spacing w:after="120"/>
      </w:pPr>
      <w:r>
        <w:rPr>
          <w:rFonts w:ascii="Arial" w:cs="Arial" w:eastAsia="Arial" w:hAnsi="Arial"/>
          <w:sz w:val="24"/>
          <w:szCs w:val="24"/>
        </w:rPr>
        <w:t xml:space="preserve">Strategy 2 (Alternative): Mean imputation. While simpler, the mean is sensitive to the heavy right-skew observed in WiFi and Entertainment ratings, potentially biasing imputed values upward.</w:t>
      </w:r>
    </w:p>
    <w:p>
      <w:pPr>
        <w:spacing w:after="160" w:before="0"/>
        <w:jc w:val="both"/>
      </w:pPr>
      <w:r>
        <w:rPr>
          <w:rFonts w:ascii="Arial" w:cs="Arial" w:eastAsia="Arial" w:hAnsi="Arial"/>
          <w:b w:val="false"/>
          <w:bCs w:val="false"/>
          <w:i w:val="false"/>
          <w:iCs w:val="false"/>
          <w:color w:val="000000"/>
          <w:sz w:val="24"/>
          <w:szCs w:val="24"/>
        </w:rPr>
        <w:t xml:space="preserve">Median imputation was selected because the majority of rating columns exhibit positive skew (as confirmed in Table 1). The pre- and post-cleaning comparison (Figure 2) confirms that the distribution shape is preserved.</w:t>
      </w:r>
    </w:p>
    <w:p>
      <w:pPr>
        <w:pStyle w:val="Heading3"/>
        <w:spacing w:before="200" w:after="120"/>
      </w:pPr>
      <w:r>
        <w:rPr>
          <w:rFonts w:ascii="Arial" w:cs="Arial" w:eastAsia="Arial" w:hAnsi="Arial"/>
          <w:b/>
          <w:bCs/>
          <w:color w:val="1A5276"/>
          <w:sz w:val="26"/>
          <w:szCs w:val="26"/>
        </w:rPr>
        <w:t xml:space="preserve">Table 1: Descriptive Statistics – Numerical Features (Post-Cleaning)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900"/>
        <w:gridCol w:w="900"/>
        <w:gridCol w:w="1130"/>
        <w:gridCol w:w="1230"/>
      </w:tblGrid>
      <w:tr>
        <w:trPr>
          <w:tblHeader/>
        </w:trPr>
        <w:tc>
          <w:tcPr>
            <w:tcW w:type="dxa" w:w="1337"/>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337"/>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Mean</w:t>
            </w:r>
          </w:p>
        </w:tc>
        <w:tc>
          <w:tcPr>
            <w:tcW w:type="dxa" w:w="1337"/>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Std Dev</w:t>
            </w:r>
          </w:p>
        </w:tc>
        <w:tc>
          <w:tcPr>
            <w:tcW w:type="dxa" w:w="1337"/>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Min</w:t>
            </w:r>
          </w:p>
        </w:tc>
        <w:tc>
          <w:tcPr>
            <w:tcW w:type="dxa" w:w="1337"/>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Max</w:t>
            </w:r>
          </w:p>
        </w:tc>
        <w:tc>
          <w:tcPr>
            <w:tcW w:type="dxa" w:w="1337"/>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Median</w:t>
            </w:r>
          </w:p>
        </w:tc>
        <w:tc>
          <w:tcPr>
            <w:tcW w:type="dxa" w:w="1337"/>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Skewness</w:t>
            </w:r>
          </w:p>
        </w:tc>
      </w:tr>
      <w:tr>
        <w:trPr>
          <w:tblHeader w:val="false"/>
        </w:trP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Overall Rating</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4.18</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2.77</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0.60</w:t>
            </w:r>
          </w:p>
        </w:tc>
      </w:tr>
      <w:tr>
        <w:trPr>
          <w:tblHeader w:val="false"/>
        </w:trP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Seat Comfort</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2.53</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0.44</w:t>
            </w:r>
          </w:p>
        </w:tc>
      </w:tr>
      <w:tr>
        <w:trPr>
          <w:tblHeader w:val="false"/>
        </w:trP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Cabin Staff Service</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2.85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1.54</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0.11</w:t>
            </w:r>
          </w:p>
        </w:tc>
      </w:tr>
      <w:tr>
        <w:trPr>
          <w:tblHeader w:val="false"/>
        </w:trP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Food &amp; Beverages</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2.36</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1.23</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0.91</w:t>
            </w:r>
          </w:p>
        </w:tc>
      </w:tr>
      <w:tr>
        <w:trPr>
          <w:tblHeader w:val="false"/>
        </w:trP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Inflight Entertainment</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2.07</w:t>
            </w:r>
          </w:p>
        </w:tc>
      </w:tr>
      <w:tr>
        <w:trPr>
          <w:tblHeader w:val="false"/>
        </w:trP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Ground Service</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0.67</w:t>
            </w:r>
          </w:p>
        </w:tc>
      </w:tr>
      <w:tr>
        <w:trPr>
          <w:tblHeader w:val="false"/>
        </w:trP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Wifi &amp; Connectivity</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0.85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3.56</w:t>
            </w:r>
          </w:p>
        </w:tc>
      </w:tr>
      <w:tr>
        <w:trPr>
          <w:tblHeader w:val="false"/>
        </w:trP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Value For Money</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1.59</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0.66</w:t>
            </w:r>
          </w:p>
        </w:tc>
      </w:tr>
    </w:tbl>
    <w:p>
      <w:pPr>
        <w:spacing w:after="280" w:before="60"/>
        <w:jc w:val="center"/>
      </w:pPr>
      <w:r>
        <w:rPr>
          <w:rFonts w:ascii="Arial" w:cs="Arial" w:eastAsia="Arial" w:hAnsi="Arial"/>
          <w:i/>
          <w:iCs/>
          <w:color w:val="555555"/>
          <w:sz w:val="20"/>
          <w:szCs w:val="20"/>
        </w:rPr>
        <w:t xml:space="preserve">Table 1: Key insight – Inflight Entertainment (mean=1.51) and Wifi &amp; Connectivity (mean=1.25) are systemically low-rated, suggesting industry-wide underperformance.</w:t>
      </w:r>
    </w:p>
    <w:p>
      <w:pPr>
        <w:pStyle w:val="Heading2"/>
        <w:spacing w:before="280" w:after="140"/>
      </w:pPr>
      <w:r>
        <w:rPr>
          <w:rFonts w:ascii="Arial" w:cs="Arial" w:eastAsia="Arial" w:hAnsi="Arial"/>
          <w:b/>
          <w:bCs/>
          <w:color w:val="C0392B"/>
          <w:sz w:val="28"/>
          <w:szCs w:val="28"/>
        </w:rPr>
        <w:t xml:space="preserve">3.2 Text Pre-Processing Pipeline</w:t>
      </w:r>
    </w:p>
    <w:p>
      <w:pPr>
        <w:spacing w:after="160" w:before="0"/>
        <w:jc w:val="both"/>
      </w:pPr>
      <w:r>
        <w:rPr>
          <w:rFonts w:ascii="Arial" w:cs="Arial" w:eastAsia="Arial" w:hAnsi="Arial"/>
          <w:b w:val="false"/>
          <w:bCs w:val="false"/>
          <w:i w:val="false"/>
          <w:iCs w:val="false"/>
          <w:color w:val="000000"/>
          <w:sz w:val="24"/>
          <w:szCs w:val="24"/>
        </w:rPr>
        <w:t xml:space="preserve">A six-step pipeline was designed specifically for airline review text:</w:t>
      </w:r>
    </w:p>
    <w:p>
      <w:pPr>
        <w:pStyle w:val="ListParagraph"/>
        <w:numPr>
          <w:ilvl w:val="0"/>
          <w:numId w:val="2"/>
        </w:numPr>
        <w:spacing w:after="120"/>
      </w:pPr>
      <w:r>
        <w:rPr>
          <w:rFonts w:ascii="Arial" w:cs="Arial" w:eastAsia="Arial" w:hAnsi="Arial"/>
          <w:sz w:val="24"/>
          <w:szCs w:val="24"/>
        </w:rPr>
        <w:t xml:space="preserve">Step 1 – Badge removal: Trip verification badges (✅Trip Verified|) are metadata, not opinion-bearing content, and were removed.</w:t>
      </w:r>
    </w:p>
    <w:p>
      <w:pPr>
        <w:pStyle w:val="ListParagraph"/>
        <w:numPr>
          <w:ilvl w:val="0"/>
          <w:numId w:val="2"/>
        </w:numPr>
        <w:spacing w:after="120"/>
      </w:pPr>
      <w:r>
        <w:rPr>
          <w:rFonts w:ascii="Arial" w:cs="Arial" w:eastAsia="Arial" w:hAnsi="Arial"/>
          <w:sz w:val="24"/>
          <w:szCs w:val="24"/>
        </w:rPr>
        <w:t xml:space="preserve">Step 2 – Lowercasing: Ensures lexical uniformity.</w:t>
      </w:r>
    </w:p>
    <w:p>
      <w:pPr>
        <w:pStyle w:val="ListParagraph"/>
        <w:numPr>
          <w:ilvl w:val="0"/>
          <w:numId w:val="2"/>
        </w:numPr>
        <w:spacing w:after="120"/>
      </w:pPr>
      <w:r>
        <w:rPr>
          <w:rFonts w:ascii="Arial" w:cs="Arial" w:eastAsia="Arial" w:hAnsi="Arial"/>
          <w:sz w:val="24"/>
          <w:szCs w:val="24"/>
        </w:rPr>
        <w:t xml:space="preserve">Step 3 – URL/email removal: Eliminates non-content tokens.</w:t>
      </w:r>
    </w:p>
    <w:p>
      <w:pPr>
        <w:pStyle w:val="ListParagraph"/>
        <w:numPr>
          <w:ilvl w:val="0"/>
          <w:numId w:val="2"/>
        </w:numPr>
        <w:spacing w:after="120"/>
      </w:pPr>
      <w:r>
        <w:rPr>
          <w:rFonts w:ascii="Arial" w:cs="Arial" w:eastAsia="Arial" w:hAnsi="Arial"/>
          <w:sz w:val="24"/>
          <w:szCs w:val="24"/>
        </w:rPr>
        <w:t xml:space="preserve">Step 4 – Punctuation removal: Preserves hyphens for compound terms (e.g., "check-in", "well-maintained").</w:t>
      </w:r>
    </w:p>
    <w:p>
      <w:pPr>
        <w:pStyle w:val="ListParagraph"/>
        <w:numPr>
          <w:ilvl w:val="0"/>
          <w:numId w:val="2"/>
        </w:numPr>
        <w:spacing w:after="120"/>
      </w:pPr>
      <w:r>
        <w:rPr>
          <w:rFonts w:ascii="Arial" w:cs="Arial" w:eastAsia="Arial" w:hAnsi="Arial"/>
          <w:sz w:val="24"/>
          <w:szCs w:val="24"/>
        </w:rPr>
        <w:t xml:space="preserve">Step 5 – Digit removal: Numeric sequences (flight numbers, seat codes) carry no sentiment signal.</w:t>
      </w:r>
    </w:p>
    <w:p>
      <w:pPr>
        <w:pStyle w:val="ListParagraph"/>
        <w:numPr>
          <w:ilvl w:val="0"/>
          <w:numId w:val="2"/>
        </w:numPr>
        <w:spacing w:after="120"/>
      </w:pPr>
      <w:r>
        <w:rPr>
          <w:rFonts w:ascii="Arial" w:cs="Arial" w:eastAsia="Arial" w:hAnsi="Arial"/>
          <w:sz w:val="24"/>
          <w:szCs w:val="24"/>
        </w:rPr>
        <w:t xml:space="preserve">Step 6 – Stop word filtering: A domain-specific stop word list of 50 tokens was constructed, supplementing standard English stop words with airline-specific high-frequency but uninformative terms ("flight", "airline", "seat", "class").</w:t>
      </w:r>
    </w:p>
    <w:p>
      <w:pPr>
        <w:spacing w:after="160" w:before="0"/>
        <w:jc w:val="both"/>
      </w:pPr>
      <w:r>
        <w:rPr>
          <w:rFonts w:ascii="Arial" w:cs="Arial" w:eastAsia="Arial" w:hAnsi="Arial"/>
          <w:b w:val="false"/>
          <w:bCs w:val="false"/>
          <w:i w:val="false"/>
          <w:iCs w:val="false"/>
          <w:color w:val="000000"/>
          <w:sz w:val="24"/>
          <w:szCs w:val="24"/>
        </w:rPr>
        <w:t xml:space="preserve">Critical Limitations: Removing punctuation collapses negation context ("not comfortable" → tokens "comfortable"), potentially reversing sentiment polarity. Sarcasm ("great for a budget airline") cannot be distinguished from genuine praise. These limitations are acknowledged and motivate the dual-sentiment approach in Section 4.b. Additionally, removing digits eliminates route codes that may carry route-quality signals.</w:t>
      </w:r>
    </w:p>
    <w:p>
      <w:pPr>
        <w:spacing w:before="160" w:after="60"/>
        <w:jc w:val="center"/>
      </w:pPr>
      <w:r>
        <w:drawing>
          <wp:inline distT="0" distB="0" distL="0" distR="0">
            <wp:extent cx="5143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143500" cy="2286000"/>
                    </a:xfrm>
                    <a:prstGeom prst="rect">
                      <a:avLst/>
                    </a:prstGeom>
                  </pic:spPr>
                </pic:pic>
              </a:graphicData>
            </a:graphic>
          </wp:inline>
        </w:drawing>
      </w:r>
    </w:p>
    <w:p>
      <w:pPr>
        <w:spacing w:after="280" w:before="60"/>
        <w:jc w:val="center"/>
      </w:pPr>
      <w:r>
        <w:rPr>
          <w:rFonts w:ascii="Arial" w:cs="Arial" w:eastAsia="Arial" w:hAnsi="Arial"/>
          <w:i/>
          <w:iCs/>
          <w:color w:val="555555"/>
          <w:sz w:val="20"/>
          <w:szCs w:val="20"/>
        </w:rPr>
        <w:t xml:space="preserve">Figure 1: Missing data profile. WiFi &amp; Connectivity and Inflight Entertainment show structural missingness, likely route-type dependent.</w:t>
      </w:r>
    </w:p>
    <w:p>
      <w:pPr>
        <w:spacing w:before="160" w:after="60"/>
        <w:jc w:val="center"/>
      </w:pPr>
      <w:r>
        <w:drawing>
          <wp:inline distT="0" distB="0" distL="0" distR="0">
            <wp:extent cx="5143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095500"/>
                    </a:xfrm>
                    <a:prstGeom prst="rect">
                      <a:avLst/>
                    </a:prstGeom>
                  </pic:spPr>
                </pic:pic>
              </a:graphicData>
            </a:graphic>
          </wp:inline>
        </w:drawing>
      </w:r>
    </w:p>
    <w:p>
      <w:pPr>
        <w:spacing w:after="280" w:before="60"/>
        <w:jc w:val="center"/>
      </w:pPr>
      <w:r>
        <w:rPr>
          <w:rFonts w:ascii="Arial" w:cs="Arial" w:eastAsia="Arial" w:hAnsi="Arial"/>
          <w:i/>
          <w:iCs/>
          <w:color w:val="555555"/>
          <w:sz w:val="20"/>
          <w:szCs w:val="20"/>
        </w:rPr>
        <w:t xml:space="preserve">Figure 2: Overall_Rating before and after cleaning. Non-numeric tokens were coerced to NaN; median imputation preserves distribution shape.</w:t>
      </w:r>
    </w:p>
    <w:p>
      <w:pPr>
        <w:spacing w:before="160" w:after="6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476500"/>
                    </a:xfrm>
                    <a:prstGeom prst="rect">
                      <a:avLst/>
                    </a:prstGeom>
                  </pic:spPr>
                </pic:pic>
              </a:graphicData>
            </a:graphic>
          </wp:inline>
        </w:drawing>
      </w:r>
    </w:p>
    <w:p>
      <w:pPr>
        <w:spacing w:after="280" w:before="60"/>
        <w:jc w:val="center"/>
      </w:pPr>
      <w:r>
        <w:rPr>
          <w:rFonts w:ascii="Arial" w:cs="Arial" w:eastAsia="Arial" w:hAnsi="Arial"/>
          <w:i/>
          <w:iCs/>
          <w:color w:val="555555"/>
          <w:sz w:val="20"/>
          <w:szCs w:val="20"/>
        </w:rPr>
        <w:t xml:space="preserve">Figure 3: Most frequent tokens by recommendation class. "comfortable", "friendly", "excellent" dominate recommended reviews; "terrible", "worst", "delayed" dominate not-recommended.</w:t>
      </w:r>
    </w:p>
    <w:p>
      <w:r>
        <w:br w:type="page"/>
      </w:r>
    </w:p>
    <w:p>
      <w:pPr>
        <w:pStyle w:val="Heading1"/>
        <w:spacing w:before="360" w:after="180"/>
      </w:pPr>
      <w:r>
        <w:rPr>
          <w:rFonts w:ascii="Arial" w:cs="Arial" w:eastAsia="Arial" w:hAnsi="Arial"/>
          <w:b/>
          <w:bCs/>
          <w:color w:val="8B0000"/>
          <w:sz w:val="32"/>
          <w:szCs w:val="32"/>
        </w:rPr>
        <w:t xml:space="preserve">4. Data Analytics</w:t>
      </w:r>
    </w:p>
    <w:p>
      <w:pPr>
        <w:pStyle w:val="Heading2"/>
        <w:spacing w:before="280" w:after="140"/>
      </w:pPr>
      <w:r>
        <w:rPr>
          <w:rFonts w:ascii="Arial" w:cs="Arial" w:eastAsia="Arial" w:hAnsi="Arial"/>
          <w:b/>
          <w:bCs/>
          <w:color w:val="C0392B"/>
          <w:sz w:val="28"/>
          <w:szCs w:val="28"/>
        </w:rPr>
        <w:t xml:space="preserve">4.a Descriptive and Predictive Analytics – Numerical Features</w:t>
      </w:r>
    </w:p>
    <w:p>
      <w:pPr>
        <w:pStyle w:val="Heading3"/>
        <w:spacing w:before="200" w:after="120"/>
      </w:pPr>
      <w:r>
        <w:rPr>
          <w:rFonts w:ascii="Arial" w:cs="Arial" w:eastAsia="Arial" w:hAnsi="Arial"/>
          <w:b/>
          <w:bCs/>
          <w:color w:val="1A5276"/>
          <w:sz w:val="26"/>
          <w:szCs w:val="26"/>
        </w:rPr>
        <w:t xml:space="preserve">4.a.1 Descriptive Analytics</w:t>
      </w:r>
    </w:p>
    <w:p>
      <w:pPr>
        <w:spacing w:after="160" w:before="0"/>
        <w:jc w:val="both"/>
      </w:pPr>
      <w:r>
        <w:rPr>
          <w:rFonts w:ascii="Arial" w:cs="Arial" w:eastAsia="Arial" w:hAnsi="Arial"/>
          <w:b w:val="false"/>
          <w:bCs w:val="false"/>
          <w:i w:val="false"/>
          <w:iCs w:val="false"/>
          <w:color w:val="000000"/>
          <w:sz w:val="24"/>
          <w:szCs w:val="24"/>
        </w:rPr>
        <w:t xml:space="preserve">Pearson correlation analysis (Figure 5) reveals two non-obvious patterns:</w:t>
      </w:r>
    </w:p>
    <w:p>
      <w:pPr>
        <w:pStyle w:val="ListParagraph"/>
        <w:numPr>
          <w:ilvl w:val="0"/>
          <w:numId w:val="2"/>
        </w:numPr>
        <w:spacing w:after="120"/>
      </w:pPr>
      <w:r>
        <w:rPr>
          <w:rFonts w:ascii="Arial" w:cs="Arial" w:eastAsia="Arial" w:hAnsi="Arial"/>
          <w:sz w:val="24"/>
          <w:szCs w:val="24"/>
        </w:rPr>
        <w:t xml:space="preserve">Counterintuitive Pattern 1 – Value For Money is the strongest predictor of recommendation (r=0.847), stronger than Overall Rating (r=0.573). This suggests passengers evaluate value holistically beyond price: a low-cost airline offering consistently honest value may receive higher recommendations than a premium carrier perceived as overpriced.</w:t>
      </w:r>
    </w:p>
    <w:p>
      <w:pPr>
        <w:pStyle w:val="ListParagraph"/>
        <w:numPr>
          <w:ilvl w:val="0"/>
          <w:numId w:val="2"/>
        </w:numPr>
        <w:spacing w:after="120"/>
      </w:pPr>
      <w:r>
        <w:rPr>
          <w:rFonts w:ascii="Arial" w:cs="Arial" w:eastAsia="Arial" w:hAnsi="Arial"/>
          <w:sz w:val="24"/>
          <w:szCs w:val="24"/>
        </w:rPr>
        <w:t xml:space="preserve">Counterintuitive Pattern 2 – Inflight Entertainment shows the weakest correlation with recommendation (r=0.377) among service attributes. Despite being a salient service feature, its low predictive relevance may reflect its systematic absence on short-haul routes — a structural artefact of the dataset rather than a genuine preference indicator.</w:t>
      </w:r>
    </w:p>
    <w:p>
      <w:pPr>
        <w:spacing w:after="160" w:before="0"/>
        <w:jc w:val="both"/>
      </w:pPr>
      <w:r>
        <w:rPr>
          <w:rFonts w:ascii="Arial" w:cs="Arial" w:eastAsia="Arial" w:hAnsi="Arial"/>
          <w:b w:val="false"/>
          <w:bCs w:val="false"/>
          <w:i w:val="false"/>
          <w:iCs w:val="false"/>
          <w:color w:val="000000"/>
          <w:sz w:val="24"/>
          <w:szCs w:val="24"/>
        </w:rPr>
        <w:t xml:space="preserve">Figure 6 demonstrates that recommended reviews score consistently higher across all attributes, with the largest divergence in Ground Service and Value For Money. Figure 7 (management radar chart) presents this intuitively for non-technical stakeholders.</w:t>
      </w:r>
    </w:p>
    <w:p>
      <w:pPr>
        <w:spacing w:before="160" w:after="6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spacing w:after="280" w:before="60"/>
        <w:jc w:val="center"/>
      </w:pPr>
      <w:r>
        <w:rPr>
          <w:rFonts w:ascii="Arial" w:cs="Arial" w:eastAsia="Arial" w:hAnsi="Arial"/>
          <w:i/>
          <w:iCs/>
          <w:color w:val="555555"/>
          <w:sz w:val="20"/>
          <w:szCs w:val="20"/>
        </w:rPr>
        <w:t xml:space="preserve">Figure 4: Rating distributions by recommendation class. Recommended reviews (blue) show rightward-shifted distributions across all service attributes.</w:t>
      </w:r>
    </w:p>
    <w:p>
      <w:pPr>
        <w:spacing w:before="160" w:after="60"/>
        <w:jc w:val="center"/>
      </w:pPr>
      <w:r>
        <w:drawing>
          <wp:inline distT="0" distB="0" distL="0" distR="0">
            <wp:extent cx="4381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619500"/>
                    </a:xfrm>
                    <a:prstGeom prst="rect">
                      <a:avLst/>
                    </a:prstGeom>
                  </pic:spPr>
                </pic:pic>
              </a:graphicData>
            </a:graphic>
          </wp:inline>
        </w:drawing>
      </w:r>
    </w:p>
    <w:p>
      <w:pPr>
        <w:spacing w:after="280" w:before="60"/>
        <w:jc w:val="center"/>
      </w:pPr>
      <w:r>
        <w:rPr>
          <w:rFonts w:ascii="Arial" w:cs="Arial" w:eastAsia="Arial" w:hAnsi="Arial"/>
          <w:i/>
          <w:iCs/>
          <w:color w:val="555555"/>
          <w:sz w:val="20"/>
          <w:szCs w:val="20"/>
        </w:rPr>
        <w:t xml:space="preserve">Figure 5: Correlation matrix. Value For Money (r=0.847) and Ground Service (r=0.813) are the strongest predictors of recommendation.</w:t>
      </w:r>
    </w:p>
    <w:p>
      <w:pPr>
        <w:spacing w:before="160" w:after="6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76500"/>
                    </a:xfrm>
                    <a:prstGeom prst="rect">
                      <a:avLst/>
                    </a:prstGeom>
                  </pic:spPr>
                </pic:pic>
              </a:graphicData>
            </a:graphic>
          </wp:inline>
        </w:drawing>
      </w:r>
    </w:p>
    <w:p>
      <w:pPr>
        <w:spacing w:after="280" w:before="60"/>
        <w:jc w:val="center"/>
      </w:pPr>
      <w:r>
        <w:rPr>
          <w:rFonts w:ascii="Arial" w:cs="Arial" w:eastAsia="Arial" w:hAnsi="Arial"/>
          <w:i/>
          <w:iCs/>
          <w:color w:val="555555"/>
          <w:sz w:val="20"/>
          <w:szCs w:val="20"/>
        </w:rPr>
        <w:t xml:space="preserve">Figure 6: Mean service ratings by recommendation outcome. Ground Service and Value For Money show the largest divergence between recommended and not-recommended groups.</w:t>
      </w:r>
    </w:p>
    <w:p>
      <w:pPr>
        <w:spacing w:before="160" w:after="60"/>
        <w:jc w:val="center"/>
      </w:pPr>
      <w:r>
        <w:drawing>
          <wp:inline distT="0" distB="0" distL="0" distR="0">
            <wp:extent cx="3810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619500"/>
                    </a:xfrm>
                    <a:prstGeom prst="rect">
                      <a:avLst/>
                    </a:prstGeom>
                  </pic:spPr>
                </pic:pic>
              </a:graphicData>
            </a:graphic>
          </wp:inline>
        </w:drawing>
      </w:r>
    </w:p>
    <w:p>
      <w:pPr>
        <w:spacing w:after="280" w:before="60"/>
        <w:jc w:val="center"/>
      </w:pPr>
      <w:r>
        <w:rPr>
          <w:rFonts w:ascii="Arial" w:cs="Arial" w:eastAsia="Arial" w:hAnsi="Arial"/>
          <w:i/>
          <w:iCs/>
          <w:color w:val="555555"/>
          <w:sz w:val="20"/>
          <w:szCs w:val="20"/>
        </w:rPr>
        <w:t xml:space="preserve">Figure 7: Management radar chart – service quality fingerprint. Recommended passengers rate all attributes substantially higher; the gap is widest for Value For Money and Cabin Staff.</w:t>
      </w:r>
    </w:p>
    <w:p>
      <w:pPr>
        <w:spacing w:before="160" w:after="6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286000"/>
                    </a:xfrm>
                    <a:prstGeom prst="rect">
                      <a:avLst/>
                    </a:prstGeom>
                  </pic:spPr>
                </pic:pic>
              </a:graphicData>
            </a:graphic>
          </wp:inline>
        </w:drawing>
      </w:r>
    </w:p>
    <w:p>
      <w:pPr>
        <w:spacing w:after="280" w:before="60"/>
        <w:jc w:val="center"/>
      </w:pPr>
      <w:r>
        <w:rPr>
          <w:rFonts w:ascii="Arial" w:cs="Arial" w:eastAsia="Arial" w:hAnsi="Arial"/>
          <w:i/>
          <w:iCs/>
          <w:color w:val="555555"/>
          <w:sz w:val="20"/>
          <w:szCs w:val="20"/>
        </w:rPr>
        <w:t xml:space="preserve">Figure 8: Recommendation rate by seat type. Business Class passengers recommend at higher rates, though Economy dominates the dataset (86.2% of reviews).</w:t>
      </w:r>
    </w:p>
    <w:p>
      <w:pPr>
        <w:spacing w:before="160" w:after="60"/>
        <w:jc w:val="center"/>
      </w:pPr>
      <w:r>
        <w:drawing>
          <wp:inline distT="0" distB="0" distL="0" distR="0">
            <wp:extent cx="4572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095500"/>
                    </a:xfrm>
                    <a:prstGeom prst="rect">
                      <a:avLst/>
                    </a:prstGeom>
                  </pic:spPr>
                </pic:pic>
              </a:graphicData>
            </a:graphic>
          </wp:inline>
        </w:drawing>
      </w:r>
    </w:p>
    <w:p>
      <w:pPr>
        <w:spacing w:after="280" w:before="60"/>
        <w:jc w:val="center"/>
      </w:pPr>
      <w:r>
        <w:rPr>
          <w:rFonts w:ascii="Arial" w:cs="Arial" w:eastAsia="Arial" w:hAnsi="Arial"/>
          <w:i/>
          <w:iCs/>
          <w:color w:val="555555"/>
          <w:sz w:val="20"/>
          <w:szCs w:val="20"/>
        </w:rPr>
        <w:t xml:space="preserve">Figure 9: Recommendation rate by traveller type. Solo Leisure travellers recommend most (35.6%); Family Leisure least (23.3%) – possibly reflecting sensitivity to disruption.</w:t>
      </w:r>
    </w:p>
    <w:p>
      <w:pPr>
        <w:pStyle w:val="Heading3"/>
        <w:spacing w:before="200" w:after="120"/>
      </w:pPr>
      <w:r>
        <w:rPr>
          <w:rFonts w:ascii="Arial" w:cs="Arial" w:eastAsia="Arial" w:hAnsi="Arial"/>
          <w:b/>
          <w:bCs/>
          <w:color w:val="1A5276"/>
          <w:sz w:val="26"/>
          <w:szCs w:val="26"/>
        </w:rPr>
        <w:t xml:space="preserve">4.a.2 Predictive Analytics – Numerical Features</w:t>
      </w:r>
    </w:p>
    <w:p>
      <w:pPr>
        <w:spacing w:after="160" w:before="0"/>
        <w:jc w:val="both"/>
      </w:pPr>
      <w:r>
        <w:rPr>
          <w:rFonts w:ascii="Arial" w:cs="Arial" w:eastAsia="Arial" w:hAnsi="Arial"/>
          <w:b w:val="false"/>
          <w:bCs w:val="false"/>
          <w:i w:val="false"/>
          <w:iCs w:val="false"/>
          <w:color w:val="000000"/>
          <w:sz w:val="24"/>
          <w:szCs w:val="24"/>
        </w:rPr>
        <w:t xml:space="preserve">Both models were trained on a stratified 80/20 split. Hyperparameter tuning via 5-fold GridSearchCV selected n_estimators=200, max_depth=None for RF, and n_estimators=200, learning_rate=0.1 for GB.</w:t>
      </w:r>
    </w:p>
    <w:p>
      <w:pPr>
        <w:spacing w:after="160" w:before="0"/>
        <w:jc w:val="both"/>
      </w:pPr>
      <w:r>
        <w:rPr>
          <w:rFonts w:ascii="Arial" w:cs="Arial" w:eastAsia="Arial" w:hAnsi="Arial"/>
          <w:b w:val="false"/>
          <w:bCs w:val="false"/>
          <w:i w:val="false"/>
          <w:iCs w:val="false"/>
          <w:color w:val="000000"/>
          <w:sz w:val="24"/>
          <w:szCs w:val="24"/>
        </w:rPr>
        <w:t xml:space="preserve">Results (Table 2): RF achieved Accuracy=96.3%, F1=93.9%, AUC=98.9%; GB achieved Accuracy=95.7%, F1=93.0%, AUC=98.7%. Both models demonstrate strong discriminative ability.</w:t>
      </w:r>
    </w:p>
    <w:p>
      <w:pPr>
        <w:spacing w:after="160" w:before="0"/>
        <w:jc w:val="both"/>
      </w:pPr>
      <w:r>
        <w:rPr>
          <w:rFonts w:ascii="Arial" w:cs="Arial" w:eastAsia="Arial" w:hAnsi="Arial"/>
          <w:b w:val="false"/>
          <w:bCs w:val="false"/>
          <w:i w:val="false"/>
          <w:iCs w:val="false"/>
          <w:color w:val="000000"/>
          <w:sz w:val="24"/>
          <w:szCs w:val="24"/>
        </w:rPr>
        <w:t xml:space="preserve">Temporal Robustness Test: Training RF on pre-2020 reviews (n=1,495) and testing on 2020+ reviews (n=4,681) yielded Accuracy=94.6% and F1=91.2%, a modest decline of ~2% in F1. This confirms reasonable temporal stability despite potential COVID-19-era behavioural shifts in passenger expectations.</w:t>
      </w:r>
    </w:p>
    <w:p>
      <w:pPr>
        <w:spacing w:after="160" w:before="0"/>
        <w:jc w:val="both"/>
      </w:pPr>
      <w:r>
        <w:rPr>
          <w:rFonts w:ascii="Arial" w:cs="Arial" w:eastAsia="Arial" w:hAnsi="Arial"/>
          <w:b w:val="false"/>
          <w:bCs w:val="false"/>
          <w:i w:val="false"/>
          <w:iCs w:val="false"/>
          <w:color w:val="000000"/>
          <w:sz w:val="24"/>
          <w:szCs w:val="24"/>
        </w:rPr>
        <w:t xml:space="preserve">Feature Importance (Figure 12): Value For Money dominates (33.7% importance), followed by Ground Service (20.6%), Cabin Staff Service (15.6%), and Seat Comfort (12.1%). This mirrors the correlation analysis and provides actionable guidance for service investment prioritisation.</w:t>
      </w:r>
    </w:p>
    <w:p>
      <w:pPr>
        <w:spacing w:before="160" w:after="60"/>
        <w:jc w:val="center"/>
      </w:pPr>
      <w:r>
        <w:drawing>
          <wp:inline distT="0" distB="0" distL="0" distR="0">
            <wp:extent cx="5334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286000"/>
                    </a:xfrm>
                    <a:prstGeom prst="rect">
                      <a:avLst/>
                    </a:prstGeom>
                  </pic:spPr>
                </pic:pic>
              </a:graphicData>
            </a:graphic>
          </wp:inline>
        </w:drawing>
      </w:r>
    </w:p>
    <w:p>
      <w:pPr>
        <w:spacing w:after="280" w:before="60"/>
        <w:jc w:val="center"/>
      </w:pPr>
      <w:r>
        <w:rPr>
          <w:rFonts w:ascii="Arial" w:cs="Arial" w:eastAsia="Arial" w:hAnsi="Arial"/>
          <w:i/>
          <w:iCs/>
          <w:color w:val="555555"/>
          <w:sz w:val="20"/>
          <w:szCs w:val="20"/>
        </w:rPr>
        <w:t xml:space="preserve">Figure 10: Normalised confusion matrices. Both models correctly classify ~97% of non-recommended and ~88% of recommended reviews.</w:t>
      </w:r>
    </w:p>
    <w:p>
      <w:pPr>
        <w:spacing w:before="160" w:after="60"/>
        <w:jc w:val="center"/>
      </w:pPr>
      <w:r>
        <w:drawing>
          <wp:inline distT="0" distB="0" distL="0" distR="0">
            <wp:extent cx="3429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2857500"/>
                    </a:xfrm>
                    <a:prstGeom prst="rect">
                      <a:avLst/>
                    </a:prstGeom>
                  </pic:spPr>
                </pic:pic>
              </a:graphicData>
            </a:graphic>
          </wp:inline>
        </w:drawing>
      </w:r>
    </w:p>
    <w:p>
      <w:pPr>
        <w:spacing w:after="280" w:before="60"/>
        <w:jc w:val="center"/>
      </w:pPr>
      <w:r>
        <w:rPr>
          <w:rFonts w:ascii="Arial" w:cs="Arial" w:eastAsia="Arial" w:hAnsi="Arial"/>
          <w:i/>
          <w:iCs/>
          <w:color w:val="555555"/>
          <w:sz w:val="20"/>
          <w:szCs w:val="20"/>
        </w:rPr>
        <w:t xml:space="preserve">Figure 11: ROC curves for numerical models. Both achieve AUC&gt;0.98, indicating excellent discriminative ability.</w:t>
      </w:r>
    </w:p>
    <w:p>
      <w:pPr>
        <w:spacing w:before="160" w:after="6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476500"/>
                    </a:xfrm>
                    <a:prstGeom prst="rect">
                      <a:avLst/>
                    </a:prstGeom>
                  </pic:spPr>
                </pic:pic>
              </a:graphicData>
            </a:graphic>
          </wp:inline>
        </w:drawing>
      </w:r>
    </w:p>
    <w:p>
      <w:pPr>
        <w:spacing w:after="280" w:before="60"/>
        <w:jc w:val="center"/>
      </w:pPr>
      <w:r>
        <w:rPr>
          <w:rFonts w:ascii="Arial" w:cs="Arial" w:eastAsia="Arial" w:hAnsi="Arial"/>
          <w:i/>
          <w:iCs/>
          <w:color w:val="555555"/>
          <w:sz w:val="20"/>
          <w:szCs w:val="20"/>
        </w:rPr>
        <w:t xml:space="preserve">Figure 12: Random Forest feature importances (numerical). Value For Money and Ground Service dominate, providing actionable service improvement targets.</w:t>
      </w:r>
    </w:p>
    <w:p>
      <w:r>
        <w:br w:type="page"/>
      </w:r>
    </w:p>
    <w:p>
      <w:pPr>
        <w:pStyle w:val="Heading2"/>
        <w:spacing w:before="280" w:after="140"/>
      </w:pPr>
      <w:r>
        <w:rPr>
          <w:rFonts w:ascii="Arial" w:cs="Arial" w:eastAsia="Arial" w:hAnsi="Arial"/>
          <w:b/>
          <w:bCs/>
          <w:color w:val="C0392B"/>
          <w:sz w:val="28"/>
          <w:szCs w:val="28"/>
        </w:rPr>
        <w:t xml:space="preserve">4.b Descriptive and Predictive Analytics – Text Features</w:t>
      </w:r>
    </w:p>
    <w:p>
      <w:pPr>
        <w:pStyle w:val="Heading3"/>
        <w:spacing w:before="200" w:after="120"/>
      </w:pPr>
      <w:r>
        <w:rPr>
          <w:rFonts w:ascii="Arial" w:cs="Arial" w:eastAsia="Arial" w:hAnsi="Arial"/>
          <w:b/>
          <w:bCs/>
          <w:color w:val="1A5276"/>
          <w:sz w:val="26"/>
          <w:szCs w:val="26"/>
        </w:rPr>
        <w:t xml:space="preserve">4.b.1 Sentiment Analysis: Two Approaches Compared</w:t>
      </w:r>
    </w:p>
    <w:p>
      <w:pPr>
        <w:spacing w:after="160" w:before="0"/>
        <w:jc w:val="both"/>
      </w:pPr>
      <w:r>
        <w:rPr>
          <w:rFonts w:ascii="Arial" w:cs="Arial" w:eastAsia="Arial" w:hAnsi="Arial"/>
          <w:b w:val="false"/>
          <w:bCs w:val="false"/>
          <w:i w:val="false"/>
          <w:iCs w:val="false"/>
          <w:color w:val="000000"/>
          <w:sz w:val="24"/>
          <w:szCs w:val="24"/>
        </w:rPr>
        <w:t xml:space="preserve">Two distinct sentiment extraction approaches were implemented and compared:</w:t>
      </w:r>
    </w:p>
    <w:p>
      <w:pPr>
        <w:pStyle w:val="ListParagraph"/>
        <w:numPr>
          <w:ilvl w:val="0"/>
          <w:numId w:val="2"/>
        </w:numPr>
        <w:spacing w:after="120"/>
      </w:pPr>
      <w:r>
        <w:rPr>
          <w:rFonts w:ascii="Arial" w:cs="Arial" w:eastAsia="Arial" w:hAnsi="Arial"/>
          <w:sz w:val="24"/>
          <w:szCs w:val="24"/>
        </w:rPr>
        <w:t xml:space="preserve">Approach 1 – Domain Lexicon: A curated list of 30 positive and 26 negative terms specific to airline reviews was used to compute a normalised polarity score per review. Mean scores: Recommended=0.0604, Not Recommended=-0.0216. This approach is highly interpretable and computationally trivial, but is limited by vocabulary coverage and cannot handle negation or context.</w:t>
      </w:r>
    </w:p>
    <w:p>
      <w:pPr>
        <w:pStyle w:val="ListParagraph"/>
        <w:numPr>
          <w:ilvl w:val="0"/>
          <w:numId w:val="2"/>
        </w:numPr>
        <w:spacing w:after="120"/>
      </w:pPr>
      <w:r>
        <w:rPr>
          <w:rFonts w:ascii="Arial" w:cs="Arial" w:eastAsia="Arial" w:hAnsi="Arial"/>
          <w:sz w:val="24"/>
          <w:szCs w:val="24"/>
        </w:rPr>
        <w:t xml:space="preserve">Approach 2 – TF-IDF Polarity Proxy: Reviews were vectorised using TF-IDF (5,000 features, bigrams) and their cosine similarity to manually crafted positive and negative anchor documents was computed as a directional sentiment score. Mean scores: Recommended=0.039, Not Recommended=-0.007. This approach is lexicon-agnostic and captures phrase-level signals but lacks the direct interpretability of the lexicon method.</w:t>
      </w:r>
    </w:p>
    <w:p>
      <w:pPr>
        <w:spacing w:after="160" w:before="0"/>
        <w:jc w:val="both"/>
      </w:pPr>
      <w:r>
        <w:rPr>
          <w:rFonts w:ascii="Arial" w:cs="Arial" w:eastAsia="Arial" w:hAnsi="Arial"/>
          <w:b w:val="false"/>
          <w:bCs w:val="false"/>
          <w:i w:val="false"/>
          <w:iCs w:val="false"/>
          <w:color w:val="000000"/>
          <w:sz w:val="24"/>
          <w:szCs w:val="24"/>
        </w:rPr>
        <w:t xml:space="preserve">Both approaches produce statistically distinct distributions between recommended and not-recommended groups (Figure 13), confirming sentiment is a meaningful signal. However, neither achieves the class separability of structured ratings, which aligns with the correlation analysis (Value For Money r=0.847 vs text sentiment r≈0.20).</w:t>
      </w:r>
    </w:p>
    <w:p>
      <w:pPr>
        <w:pStyle w:val="Heading3"/>
        <w:spacing w:before="200" w:after="120"/>
      </w:pPr>
      <w:r>
        <w:rPr>
          <w:rFonts w:ascii="Arial" w:cs="Arial" w:eastAsia="Arial" w:hAnsi="Arial"/>
          <w:b/>
          <w:bCs/>
          <w:color w:val="1A5276"/>
          <w:sz w:val="26"/>
          <w:szCs w:val="26"/>
        </w:rPr>
        <w:t xml:space="preserve">4.b.2 Manual Analysis of Ambiguous/Misclassified Reviews</w:t>
      </w:r>
    </w:p>
    <w:p>
      <w:pPr>
        <w:spacing w:after="160" w:before="0"/>
        <w:jc w:val="both"/>
      </w:pPr>
      <w:r>
        <w:rPr>
          <w:rFonts w:ascii="Arial" w:cs="Arial" w:eastAsia="Arial" w:hAnsi="Arial"/>
          <w:b w:val="false"/>
          <w:bCs w:val="false"/>
          <w:i w:val="false"/>
          <w:iCs w:val="false"/>
          <w:color w:val="000000"/>
          <w:sz w:val="24"/>
          <w:szCs w:val="24"/>
        </w:rPr>
        <w:t xml:space="preserve">Ten reviews near the lexicon sentiment score boundary (|score| &lt; 0.02) were manually examined to diagnose model limitations. Key observations:</w:t>
      </w:r>
    </w:p>
    <w:p>
      <w:pPr>
        <w:pStyle w:val="ListParagraph"/>
        <w:numPr>
          <w:ilvl w:val="0"/>
          <w:numId w:val="2"/>
        </w:numPr>
        <w:spacing w:after="120"/>
      </w:pPr>
      <w:r>
        <w:rPr>
          <w:rFonts w:ascii="Arial" w:cs="Arial" w:eastAsia="Arial" w:hAnsi="Arial"/>
          <w:sz w:val="24"/>
          <w:szCs w:val="24"/>
        </w:rPr>
        <w:t xml:space="preserve">Sarcasm and irony: Phrases such as "great for a budget carrier" or "what you expect from a low-cost airline" contain evaluative language that registers as positive to a bag-of-words model but conveys relative dissatisfaction. This reveals a fundamental limitation of lexicon-based sentiment for airline reviews.</w:t>
      </w:r>
    </w:p>
    <w:p>
      <w:pPr>
        <w:pStyle w:val="ListParagraph"/>
        <w:numPr>
          <w:ilvl w:val="0"/>
          <w:numId w:val="2"/>
        </w:numPr>
        <w:spacing w:after="120"/>
      </w:pPr>
      <w:r>
        <w:rPr>
          <w:rFonts w:ascii="Arial" w:cs="Arial" w:eastAsia="Arial" w:hAnsi="Arial"/>
          <w:sz w:val="24"/>
          <w:szCs w:val="24"/>
        </w:rPr>
        <w:t xml:space="preserve">Conditional satisfaction: Reviews stating "comfortable enough for a short flight" were rated positively by the model but received 2/5 for Seat Comfort. Conditional clauses are stripped by stop word removal.</w:t>
      </w:r>
    </w:p>
    <w:p>
      <w:pPr>
        <w:pStyle w:val="ListParagraph"/>
        <w:numPr>
          <w:ilvl w:val="0"/>
          <w:numId w:val="2"/>
        </w:numPr>
        <w:spacing w:after="120"/>
      </w:pPr>
      <w:r>
        <w:rPr>
          <w:rFonts w:ascii="Arial" w:cs="Arial" w:eastAsia="Arial" w:hAnsi="Arial"/>
          <w:sz w:val="24"/>
          <w:szCs w:val="24"/>
        </w:rPr>
        <w:t xml:space="preserve">Multilingual contamination: Some reviews contained non-English phrases or transliterated terms that were tokenised incorrectly, producing noise tokens.</w:t>
      </w:r>
    </w:p>
    <w:p>
      <w:pPr>
        <w:pStyle w:val="ListParagraph"/>
        <w:numPr>
          <w:ilvl w:val="0"/>
          <w:numId w:val="2"/>
        </w:numPr>
        <w:spacing w:after="120"/>
      </w:pPr>
      <w:r>
        <w:rPr>
          <w:rFonts w:ascii="Arial" w:cs="Arial" w:eastAsia="Arial" w:hAnsi="Arial"/>
          <w:sz w:val="24"/>
          <w:szCs w:val="24"/>
        </w:rPr>
        <w:t xml:space="preserve">Temporal framing: Reviews mentioning past good experiences ("used to be great") were rated positively despite conveying current dissatisfaction, highlighting the model's inability to parse tense.</w:t>
      </w:r>
    </w:p>
    <w:p>
      <w:pPr>
        <w:pStyle w:val="ListParagraph"/>
        <w:numPr>
          <w:ilvl w:val="0"/>
          <w:numId w:val="2"/>
        </w:numPr>
        <w:spacing w:after="120"/>
      </w:pPr>
      <w:r>
        <w:rPr>
          <w:rFonts w:ascii="Arial" w:cs="Arial" w:eastAsia="Arial" w:hAnsi="Arial"/>
          <w:sz w:val="24"/>
          <w:szCs w:val="24"/>
        </w:rPr>
        <w:t xml:space="preserve">Negation collapse: "Not a good airline" loses its negative polarity after punctuation removal, becoming "good airline" — a known limitation of preprocessing pipelines for sentiment.</w:t>
      </w:r>
    </w:p>
    <w:p>
      <w:pPr>
        <w:pStyle w:val="Heading3"/>
        <w:spacing w:before="200" w:after="120"/>
      </w:pPr>
      <w:r>
        <w:rPr>
          <w:rFonts w:ascii="Arial" w:cs="Arial" w:eastAsia="Arial" w:hAnsi="Arial"/>
          <w:b/>
          <w:bCs/>
          <w:color w:val="1A5276"/>
          <w:sz w:val="26"/>
          <w:szCs w:val="26"/>
        </w:rPr>
        <w:t xml:space="preserve">4.b.3 Contradiction Analysis</w:t>
      </w:r>
    </w:p>
    <w:p>
      <w:pPr>
        <w:spacing w:after="160" w:before="0"/>
        <w:jc w:val="both"/>
      </w:pPr>
      <w:r>
        <w:rPr>
          <w:rFonts w:ascii="Arial" w:cs="Arial" w:eastAsia="Arial" w:hAnsi="Arial"/>
          <w:b w:val="false"/>
          <w:bCs w:val="false"/>
          <w:i w:val="false"/>
          <w:iCs w:val="false"/>
          <w:color w:val="000000"/>
          <w:sz w:val="24"/>
          <w:szCs w:val="24"/>
        </w:rPr>
        <w:t xml:space="preserve">A notable contradiction was identified: 414 reviews (6.7% of the dataset) exhibited high lexicon sentiment (top quartile, score ≥ 0.06) yet low Overall_Rating (≤4/10). Within this group, 75.6% still recommended the airline — substantially higher than the overall recommendation rate of 30.7%. This reveals that emotional tone in reviews can decouple from factual ratings, particularly when passengers acknowledge constraints (e.g., "for a budget airline, it was fine"). This misalignment between text-derived sentiment and numerical ratings is a key analytical finding with implications for model reliability (Figure 14).</w:t>
      </w:r>
    </w:p>
    <w:p>
      <w:pPr>
        <w:spacing w:before="160" w:after="60"/>
        <w:jc w:val="center"/>
      </w:pPr>
      <w:r>
        <w:drawing>
          <wp:inline distT="0" distB="0" distL="0" distR="0">
            <wp:extent cx="5334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381250"/>
                    </a:xfrm>
                    <a:prstGeom prst="rect">
                      <a:avLst/>
                    </a:prstGeom>
                  </pic:spPr>
                </pic:pic>
              </a:graphicData>
            </a:graphic>
          </wp:inline>
        </w:drawing>
      </w:r>
    </w:p>
    <w:p>
      <w:pPr>
        <w:spacing w:after="280" w:before="60"/>
        <w:jc w:val="center"/>
      </w:pPr>
      <w:r>
        <w:rPr>
          <w:rFonts w:ascii="Arial" w:cs="Arial" w:eastAsia="Arial" w:hAnsi="Arial"/>
          <w:i/>
          <w:iCs/>
          <w:color w:val="555555"/>
          <w:sz w:val="20"/>
          <w:szCs w:val="20"/>
        </w:rPr>
        <w:t xml:space="preserve">Figure 13: Sentiment score distributions. Both approaches distinguish recommended from not-recommended reviews, though lexicon sentiment shows clearer separation.</w:t>
      </w:r>
    </w:p>
    <w:p>
      <w:pPr>
        <w:spacing w:before="160" w:after="6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476500"/>
                    </a:xfrm>
                    <a:prstGeom prst="rect">
                      <a:avLst/>
                    </a:prstGeom>
                  </pic:spPr>
                </pic:pic>
              </a:graphicData>
            </a:graphic>
          </wp:inline>
        </w:drawing>
      </w:r>
    </w:p>
    <w:p>
      <w:pPr>
        <w:spacing w:after="280" w:before="60"/>
        <w:jc w:val="center"/>
      </w:pPr>
      <w:r>
        <w:rPr>
          <w:rFonts w:ascii="Arial" w:cs="Arial" w:eastAsia="Arial" w:hAnsi="Arial"/>
          <w:i/>
          <w:iCs/>
          <w:color w:val="555555"/>
          <w:sz w:val="20"/>
          <w:szCs w:val="20"/>
        </w:rPr>
        <w:t xml:space="preserve">Figure 14: Contradiction analysis – high sentiment but low rating. Reviews in the upper-left zone reveal decoupling between emotional tone and factual ratings.</w:t>
      </w:r>
    </w:p>
    <w:p>
      <w:pPr>
        <w:pStyle w:val="Heading3"/>
        <w:spacing w:before="200" w:after="120"/>
      </w:pPr>
      <w:r>
        <w:rPr>
          <w:rFonts w:ascii="Arial" w:cs="Arial" w:eastAsia="Arial" w:hAnsi="Arial"/>
          <w:b/>
          <w:bCs/>
          <w:color w:val="1A5276"/>
          <w:sz w:val="26"/>
          <w:szCs w:val="26"/>
        </w:rPr>
        <w:t xml:space="preserve">4.b.4 Predictive Analytics – Text Features</w:t>
      </w:r>
    </w:p>
    <w:p>
      <w:pPr>
        <w:spacing w:after="160" w:before="0"/>
        <w:jc w:val="both"/>
      </w:pPr>
      <w:r>
        <w:rPr>
          <w:rFonts w:ascii="Arial" w:cs="Arial" w:eastAsia="Arial" w:hAnsi="Arial"/>
          <w:b w:val="false"/>
          <w:bCs w:val="false"/>
          <w:i w:val="false"/>
          <w:iCs w:val="false"/>
          <w:color w:val="000000"/>
          <w:sz w:val="24"/>
          <w:szCs w:val="24"/>
        </w:rPr>
        <w:t xml:space="preserve">RF on TF-IDF features achieved Accuracy=96.5%, F1=94.3%, AUC=99.3% — slightly outperforming the numerical RF on F1 and AUC. GB on text achieved only Accuracy=91.4%, F1=85.1%, AUC=97.4%, revealing that GB is less effective on high-dimensional sparse text data. Figure 15 identifies the most predictive TF-IDF terms: "good", "worst", "comfortable", "friendly", "never", "crew" — largely consistent with the lexicon analysis.</w:t>
      </w:r>
    </w:p>
    <w:p>
      <w:pPr>
        <w:spacing w:after="160" w:before="0"/>
        <w:jc w:val="both"/>
      </w:pPr>
      <w:r>
        <w:rPr>
          <w:rFonts w:ascii="Arial" w:cs="Arial" w:eastAsia="Arial" w:hAnsi="Arial"/>
          <w:b w:val="false"/>
          <w:bCs w:val="false"/>
          <w:i w:val="false"/>
          <w:iCs w:val="false"/>
          <w:color w:val="000000"/>
          <w:sz w:val="24"/>
          <w:szCs w:val="24"/>
        </w:rPr>
        <w:t xml:space="preserve">Managerial Usefulness: TF-IDF-based models offer limited direct managerial interpretability compared to structured feature models, as individual word importances cannot be directly translated into service interventions. However, top predictive terms ("crew", "comfortable", "delayed") confirm the primacy of staff interaction and reliability in driving recommendation decisions.</w:t>
      </w:r>
    </w:p>
    <w:p>
      <w:pPr>
        <w:spacing w:before="160" w:after="6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476500"/>
                    </a:xfrm>
                    <a:prstGeom prst="rect">
                      <a:avLst/>
                    </a:prstGeom>
                  </pic:spPr>
                </pic:pic>
              </a:graphicData>
            </a:graphic>
          </wp:inline>
        </w:drawing>
      </w:r>
    </w:p>
    <w:p>
      <w:pPr>
        <w:spacing w:after="280" w:before="60"/>
        <w:jc w:val="center"/>
      </w:pPr>
      <w:r>
        <w:rPr>
          <w:rFonts w:ascii="Arial" w:cs="Arial" w:eastAsia="Arial" w:hAnsi="Arial"/>
          <w:i/>
          <w:iCs/>
          <w:color w:val="555555"/>
          <w:sz w:val="20"/>
          <w:szCs w:val="20"/>
        </w:rPr>
        <w:t xml:space="preserve">Figure 15: Top 20 TF-IDF features by RF importance. Terms such as "crew", "comfortable", and "worst" are highly predictive of recommendation.</w:t>
      </w:r>
    </w:p>
    <w:p>
      <w:r>
        <w:br w:type="page"/>
      </w:r>
    </w:p>
    <w:p>
      <w:pPr>
        <w:pStyle w:val="Heading2"/>
        <w:spacing w:before="280" w:after="140"/>
      </w:pPr>
      <w:r>
        <w:rPr>
          <w:rFonts w:ascii="Arial" w:cs="Arial" w:eastAsia="Arial" w:hAnsi="Arial"/>
          <w:b/>
          <w:bCs/>
          <w:color w:val="C0392B"/>
          <w:sz w:val="28"/>
          <w:szCs w:val="28"/>
        </w:rPr>
        <w:t xml:space="preserve">4.c Predictive Analytics – Combined Numerical and Text Features</w:t>
      </w:r>
    </w:p>
    <w:p>
      <w:pPr>
        <w:pStyle w:val="Heading3"/>
        <w:spacing w:before="200" w:after="120"/>
      </w:pPr>
      <w:r>
        <w:rPr>
          <w:rFonts w:ascii="Arial" w:cs="Arial" w:eastAsia="Arial" w:hAnsi="Arial"/>
          <w:b/>
          <w:bCs/>
          <w:color w:val="1A5276"/>
          <w:sz w:val="26"/>
          <w:szCs w:val="26"/>
        </w:rPr>
        <w:t xml:space="preserve">Feature Integration Strategies</w:t>
      </w:r>
    </w:p>
    <w:p>
      <w:pPr>
        <w:spacing w:after="160" w:before="0"/>
        <w:jc w:val="both"/>
      </w:pPr>
      <w:r>
        <w:rPr>
          <w:rFonts w:ascii="Arial" w:cs="Arial" w:eastAsia="Arial" w:hAnsi="Arial"/>
          <w:b w:val="false"/>
          <w:bCs w:val="false"/>
          <w:i w:val="false"/>
          <w:iCs w:val="false"/>
          <w:color w:val="000000"/>
          <w:sz w:val="24"/>
          <w:szCs w:val="24"/>
        </w:rPr>
        <w:t xml:space="preserve">Two feature integration strategies were proposed and evaluated:</w:t>
      </w:r>
    </w:p>
    <w:p>
      <w:pPr>
        <w:pStyle w:val="ListParagraph"/>
        <w:numPr>
          <w:ilvl w:val="0"/>
          <w:numId w:val="2"/>
        </w:numPr>
        <w:spacing w:after="120"/>
      </w:pPr>
      <w:r>
        <w:rPr>
          <w:rFonts w:ascii="Arial" w:cs="Arial" w:eastAsia="Arial" w:hAnsi="Arial"/>
          <w:sz w:val="24"/>
          <w:szCs w:val="24"/>
        </w:rPr>
        <w:t xml:space="preserve">Strategy 1 (Implemented): Sparse matrix concatenation of TF-IDF features with numerical feature matrix using scipy.sparse.hstack. This preserves the full TF-IDF vocabulary (2,000 features) alongside structured ratings, creating a 2,011-feature combined matrix. Justified by its simplicity, losslessness, and direct compatibility with tree-based models.</w:t>
      </w:r>
    </w:p>
    <w:p>
      <w:pPr>
        <w:pStyle w:val="ListParagraph"/>
        <w:numPr>
          <w:ilvl w:val="0"/>
          <w:numId w:val="2"/>
        </w:numPr>
        <w:spacing w:after="120"/>
      </w:pPr>
      <w:r>
        <w:rPr>
          <w:rFonts w:ascii="Arial" w:cs="Arial" w:eastAsia="Arial" w:hAnsi="Arial"/>
          <w:sz w:val="24"/>
          <w:szCs w:val="24"/>
        </w:rPr>
        <w:t xml:space="preserve">Strategy 2 (Alternative): Dimension reduction via scalar sentiment scores. Lexicon and TF-IDF polarity scores were computed per review and appended to the numerical feature matrix (adding 2 features). This retains interpretability and computational efficiency at the cost of some information loss.</w:t>
      </w:r>
    </w:p>
    <w:p>
      <w:pPr>
        <w:spacing w:after="160" w:before="0"/>
        <w:jc w:val="both"/>
      </w:pPr>
      <w:r>
        <w:rPr>
          <w:rFonts w:ascii="Arial" w:cs="Arial" w:eastAsia="Arial" w:hAnsi="Arial"/>
          <w:b w:val="false"/>
          <w:bCs w:val="false"/>
          <w:i w:val="false"/>
          <w:iCs w:val="false"/>
          <w:color w:val="000000"/>
          <w:sz w:val="24"/>
          <w:szCs w:val="24"/>
        </w:rPr>
        <w:t xml:space="preserve">Results: Strategy 1 (RF Combined) achieved the best overall performance: Accuracy=98.1%, F1=96.8%, AUC=99.9% — a meaningful improvement over numerical-only (+2.8% F1) and text-only (+2.4% F1) models. Strategy 2 (RF Num+Sentiment) also outperformed numerical-only at Accuracy=97.5%, F1=95.9%, AUC=99.5%.</w:t>
      </w:r>
    </w:p>
    <w:p>
      <w:pPr>
        <w:spacing w:after="160" w:before="0"/>
        <w:jc w:val="both"/>
      </w:pPr>
      <w:r>
        <w:rPr>
          <w:rFonts w:ascii="Arial" w:cs="Arial" w:eastAsia="Arial" w:hAnsi="Arial"/>
          <w:b w:val="false"/>
          <w:bCs w:val="false"/>
          <w:i w:val="false"/>
          <w:iCs w:val="false"/>
          <w:color w:val="000000"/>
          <w:sz w:val="24"/>
          <w:szCs w:val="24"/>
        </w:rPr>
        <w:t xml:space="preserve">Feature Dominance: Feature importance analysis on Strategy 2 (Figure 17) confirms numerical features dominate predictions. Value For Money and Ground Service retain the top two positions, while lexicon sentiment adds marginal but non-trivial signal (~2% importance). This suggests textual features primarily reinforce numerical signals rather than adding orthogonal information — a finding consistent with Zhao et al. (2019).</w:t>
      </w:r>
    </w:p>
    <w:p>
      <w:pPr>
        <w:pStyle w:val="Heading3"/>
        <w:spacing w:before="200" w:after="120"/>
      </w:pPr>
      <w:r>
        <w:rPr>
          <w:rFonts w:ascii="Arial" w:cs="Arial" w:eastAsia="Arial" w:hAnsi="Arial"/>
          <w:b/>
          <w:bCs/>
          <w:color w:val="1A5276"/>
          <w:sz w:val="26"/>
          <w:szCs w:val="26"/>
        </w:rPr>
        <w:t xml:space="preserve">Failure Analysis</w:t>
      </w:r>
    </w:p>
    <w:p>
      <w:pPr>
        <w:spacing w:after="160" w:before="0"/>
        <w:jc w:val="both"/>
      </w:pPr>
      <w:r>
        <w:rPr>
          <w:rFonts w:ascii="Arial" w:cs="Arial" w:eastAsia="Arial" w:hAnsi="Arial"/>
          <w:b w:val="false"/>
          <w:bCs w:val="false"/>
          <w:i w:val="false"/>
          <w:iCs w:val="false"/>
          <w:color w:val="000000"/>
          <w:sz w:val="24"/>
          <w:szCs w:val="24"/>
        </w:rPr>
        <w:t xml:space="preserve">The combined RF model misclassified ~1.9% of test instances. False negatives (missed recommendations) were more frequent than false positives. Examination of misclassified cases revealed two patterns: (1) reviews with contradictory sentiment-rating combinations (high sentiment, low numerical ratings) that the model resolved inconsistently; and (2) reviews for airlines with very few observations, where the model lacked sufficient training signal. This failure mode underscores the risk of applying models trained on mainstream carriers to niche operators.</w:t>
      </w:r>
    </w:p>
    <w:p>
      <w:pPr>
        <w:spacing w:before="160" w:after="6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667000"/>
                    </a:xfrm>
                    <a:prstGeom prst="rect">
                      <a:avLst/>
                    </a:prstGeom>
                  </pic:spPr>
                </pic:pic>
              </a:graphicData>
            </a:graphic>
          </wp:inline>
        </w:drawing>
      </w:r>
    </w:p>
    <w:p>
      <w:pPr>
        <w:spacing w:after="280" w:before="60"/>
        <w:jc w:val="center"/>
      </w:pPr>
      <w:r>
        <w:rPr>
          <w:rFonts w:ascii="Arial" w:cs="Arial" w:eastAsia="Arial" w:hAnsi="Arial"/>
          <w:i/>
          <w:iCs/>
          <w:color w:val="555555"/>
          <w:sz w:val="20"/>
          <w:szCs w:val="20"/>
        </w:rPr>
        <w:t xml:space="preserve">Figure 16: Full model comparison across all feature sets. Combined RF achieves the best performance (Acc=98.1%, F1=96.8%, AUC=99.9%).</w:t>
      </w:r>
    </w:p>
    <w:p>
      <w:pPr>
        <w:spacing w:before="160" w:after="6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476500"/>
                    </a:xfrm>
                    <a:prstGeom prst="rect">
                      <a:avLst/>
                    </a:prstGeom>
                  </pic:spPr>
                </pic:pic>
              </a:graphicData>
            </a:graphic>
          </wp:inline>
        </w:drawing>
      </w:r>
    </w:p>
    <w:p>
      <w:pPr>
        <w:spacing w:after="280" w:before="60"/>
        <w:jc w:val="center"/>
      </w:pPr>
      <w:r>
        <w:rPr>
          <w:rFonts w:ascii="Arial" w:cs="Arial" w:eastAsia="Arial" w:hAnsi="Arial"/>
          <w:i/>
          <w:iCs/>
          <w:color w:val="555555"/>
          <w:sz w:val="20"/>
          <w:szCs w:val="20"/>
        </w:rPr>
        <w:t xml:space="preserve">Figure 17: Feature importance for combined model (Numerical + Sentiment Scores). Numerical ratings dominate; sentiment scores add ~2-4% incremental contribution.</w:t>
      </w:r>
    </w:p>
    <w:p>
      <w:r>
        <w:br w:type="page"/>
      </w:r>
    </w:p>
    <w:p>
      <w:pPr>
        <w:pStyle w:val="Heading1"/>
        <w:spacing w:before="360" w:after="180"/>
      </w:pPr>
      <w:r>
        <w:rPr>
          <w:rFonts w:ascii="Arial" w:cs="Arial" w:eastAsia="Arial" w:hAnsi="Arial"/>
          <w:b/>
          <w:bCs/>
          <w:color w:val="8B0000"/>
          <w:sz w:val="32"/>
          <w:szCs w:val="32"/>
        </w:rPr>
        <w:t xml:space="preserve">5. Results and Discussion</w:t>
      </w:r>
    </w:p>
    <w:p>
      <w:pPr>
        <w:pStyle w:val="Heading2"/>
        <w:spacing w:before="280" w:after="140"/>
      </w:pPr>
      <w:r>
        <w:rPr>
          <w:rFonts w:ascii="Arial" w:cs="Arial" w:eastAsia="Arial" w:hAnsi="Arial"/>
          <w:b/>
          <w:bCs/>
          <w:color w:val="C0392B"/>
          <w:sz w:val="28"/>
          <w:szCs w:val="28"/>
        </w:rPr>
        <w:t xml:space="preserve">5.1 Comparative Model Performance</w:t>
      </w:r>
    </w:p>
    <w:p>
      <w:pPr>
        <w:spacing w:after="160" w:before="0"/>
        <w:jc w:val="both"/>
      </w:pPr>
      <w:r>
        <w:rPr>
          <w:rFonts w:ascii="Arial" w:cs="Arial" w:eastAsia="Arial" w:hAnsi="Arial"/>
          <w:b w:val="false"/>
          <w:bCs w:val="false"/>
          <w:i w:val="false"/>
          <w:iCs w:val="false"/>
          <w:color w:val="000000"/>
          <w:sz w:val="24"/>
          <w:szCs w:val="24"/>
        </w:rPr>
        <w:t xml:space="preserve">Table 2 summarises all model results. The combined RF model achieves the strongest performance across all metrics, consistent with the hypothesis that multimodal feature integration yields superior predictive power (Zhao et al., 2019). Gradient Boosting underperforms RF specifically on text features, likely due to the high dimensionality of TF-IDF vectors violating GB's assumption of informative feature subsets.</w:t>
      </w:r>
    </w:p>
    <w:p>
      <w:pPr>
        <w:spacing w:after="120"/>
      </w:pPr>
      <w:r>
        <w:rPr>
          <w:rFonts w:ascii="Arial" w:cs="Arial" w:eastAsia="Arial" w:hAnsi="Arial"/>
          <w:b/>
          <w:bCs/>
          <w:i/>
          <w:iCs/>
          <w:sz w:val="22"/>
          <w:szCs w:val="22"/>
        </w:rPr>
        <w:t xml:space="preserve">Table 2: Comprehensive Model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500"/>
        <w:gridCol w:w="1500"/>
        <w:gridCol w:w="1660"/>
      </w:tblGrid>
      <w:tr>
        <w:trPr>
          <w:tblHeader/>
        </w:trPr>
        <w:tc>
          <w:tcPr>
            <w:tcW w:type="dxa" w:w="1872"/>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872"/>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Feature Set</w:t>
            </w:r>
          </w:p>
        </w:tc>
        <w:tc>
          <w:tcPr>
            <w:tcW w:type="dxa" w:w="1872"/>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1872"/>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F1-Score</w:t>
            </w:r>
          </w:p>
        </w:tc>
        <w:tc>
          <w:tcPr>
            <w:tcW w:type="dxa" w:w="1872"/>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ROC-AUC</w:t>
            </w:r>
          </w:p>
        </w:tc>
      </w:tr>
      <w:tr>
        <w:trPr>
          <w:tblHeader w:val="false"/>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Random Forest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Numerical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0.9628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0.9393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0.9892</w:t>
            </w:r>
          </w:p>
        </w:tc>
      </w:tr>
      <w:tr>
        <w:trPr>
          <w:tblHeader w:val="false"/>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Gradient Boosting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Numerical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0.9571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0.9296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0.9866</w:t>
            </w:r>
          </w:p>
        </w:tc>
      </w:tr>
      <w:tr>
        <w:trPr>
          <w:tblHeader w:val="false"/>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Random Forest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 (TF-IDF)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0.9652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0.9427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0.9933</w:t>
            </w:r>
          </w:p>
        </w:tc>
      </w:tr>
      <w:tr>
        <w:trPr>
          <w:tblHeader w:val="false"/>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Gradient Boosting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 (TF-IDF)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0.9142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0.8507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0.9744</w:t>
            </w:r>
          </w:p>
        </w:tc>
      </w:tr>
      <w:tr>
        <w:trPr>
          <w:tblHeader w:val="false"/>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Random Forest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Combined (TF-IDF + Numerical)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0.9806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0.9684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0.9985</w:t>
            </w:r>
          </w:p>
        </w:tc>
      </w:tr>
      <w:tr>
        <w:trPr>
          <w:tblHeader w:val="false"/>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Gradient Boosting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Combined (TF-IDF + Numerical)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0.9652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0.9429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0.9926</w:t>
            </w:r>
          </w:p>
        </w:tc>
      </w:tr>
      <w:tr>
        <w:trPr>
          <w:tblHeader w:val="false"/>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Random Forest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Numerical + Sentiment Scores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0.9749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0.9588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0.9948</w:t>
            </w:r>
          </w:p>
        </w:tc>
      </w:tr>
    </w:tbl>
    <w:p>
      <w:pPr>
        <w:spacing w:after="280" w:before="60"/>
        <w:jc w:val="center"/>
      </w:pPr>
      <w:r>
        <w:rPr>
          <w:rFonts w:ascii="Arial" w:cs="Arial" w:eastAsia="Arial" w:hAnsi="Arial"/>
          <w:i/>
          <w:iCs/>
          <w:color w:val="555555"/>
          <w:sz w:val="20"/>
          <w:szCs w:val="20"/>
        </w:rPr>
        <w:t xml:space="preserve">Table 2: Best model: Random Forest (Combined) with Acc=98.1%, F1=96.8%, AUC=99.9%.</w:t>
      </w:r>
    </w:p>
    <w:p>
      <w:pPr>
        <w:spacing w:after="160"/>
      </w:pPr>
    </w:p>
    <w:p>
      <w:pPr>
        <w:pStyle w:val="Heading2"/>
        <w:spacing w:before="280" w:after="140"/>
      </w:pPr>
      <w:r>
        <w:rPr>
          <w:rFonts w:ascii="Arial" w:cs="Arial" w:eastAsia="Arial" w:hAnsi="Arial"/>
          <w:b/>
          <w:bCs/>
          <w:color w:val="C0392B"/>
          <w:sz w:val="28"/>
          <w:szCs w:val="28"/>
        </w:rPr>
        <w:t xml:space="preserve">5.2 Limitations and Assumptions</w:t>
      </w:r>
    </w:p>
    <w:p>
      <w:pPr>
        <w:pStyle w:val="ListParagraph"/>
        <w:numPr>
          <w:ilvl w:val="0"/>
          <w:numId w:val="2"/>
        </w:numPr>
        <w:spacing w:after="120"/>
      </w:pPr>
      <w:r>
        <w:rPr>
          <w:rFonts w:ascii="Arial" w:cs="Arial" w:eastAsia="Arial" w:hAnsi="Arial"/>
          <w:sz w:val="24"/>
          <w:szCs w:val="24"/>
        </w:rPr>
        <w:t xml:space="preserve">Class imbalance: The dataset is heavily skewed toward non-recommendations (69.3% vs 30.7%). While class_weight='balanced' partially addresses this, models may underperform on the positive class in real deployments.</w:t>
      </w:r>
    </w:p>
    <w:p>
      <w:pPr>
        <w:pStyle w:val="ListParagraph"/>
        <w:numPr>
          <w:ilvl w:val="0"/>
          <w:numId w:val="2"/>
        </w:numPr>
        <w:spacing w:after="120"/>
      </w:pPr>
      <w:r>
        <w:rPr>
          <w:rFonts w:ascii="Arial" w:cs="Arial" w:eastAsia="Arial" w:hAnsi="Arial"/>
          <w:sz w:val="24"/>
          <w:szCs w:val="24"/>
        </w:rPr>
        <w:t xml:space="preserve">Temporal drift: The temporal robustness test revealed ~2% F1 decline when training on pre-2020 and testing on post-2020 data. COVID-19-era changes in passenger expectations (e.g., reduced tolerance for cancellations) may not be fully captured.</w:t>
      </w:r>
    </w:p>
    <w:p>
      <w:pPr>
        <w:pStyle w:val="ListParagraph"/>
        <w:numPr>
          <w:ilvl w:val="0"/>
          <w:numId w:val="2"/>
        </w:numPr>
        <w:spacing w:after="120"/>
      </w:pPr>
      <w:r>
        <w:rPr>
          <w:rFonts w:ascii="Arial" w:cs="Arial" w:eastAsia="Arial" w:hAnsi="Arial"/>
          <w:sz w:val="24"/>
          <w:szCs w:val="24"/>
        </w:rPr>
        <w:t xml:space="preserve">Imputation bias: Median imputation of high-missingness features (Wifi, Entertainment) may introduce systematic bias. Route-specific imputation would be more theoretically appropriate but was not implemented due to data sparsity.</w:t>
      </w:r>
    </w:p>
    <w:p>
      <w:pPr>
        <w:pStyle w:val="ListParagraph"/>
        <w:numPr>
          <w:ilvl w:val="0"/>
          <w:numId w:val="2"/>
        </w:numPr>
        <w:spacing w:after="120"/>
      </w:pPr>
      <w:r>
        <w:rPr>
          <w:rFonts w:ascii="Arial" w:cs="Arial" w:eastAsia="Arial" w:hAnsi="Arial"/>
          <w:sz w:val="24"/>
          <w:szCs w:val="24"/>
        </w:rPr>
        <w:t xml:space="preserve">Text preprocessing limitations: Negation collapse and inability to detect sarcasm remain unresolved. These could be addressed in future work using transformer-based models (e.g., BERT).</w:t>
      </w:r>
    </w:p>
    <w:p>
      <w:pPr>
        <w:pStyle w:val="ListParagraph"/>
        <w:numPr>
          <w:ilvl w:val="0"/>
          <w:numId w:val="2"/>
        </w:numPr>
        <w:spacing w:after="120"/>
      </w:pPr>
      <w:r>
        <w:rPr>
          <w:rFonts w:ascii="Arial" w:cs="Arial" w:eastAsia="Arial" w:hAnsi="Arial"/>
          <w:sz w:val="24"/>
          <w:szCs w:val="24"/>
        </w:rPr>
        <w:t xml:space="preserve">Review platform bias: Self-selected reviewers may not represent the full passenger population. Highly dissatisfied passengers are over-represented (Hu et al., 2009).</w:t>
      </w:r>
    </w:p>
    <w:p>
      <w:pPr>
        <w:pStyle w:val="Heading2"/>
        <w:spacing w:before="280" w:after="140"/>
      </w:pPr>
      <w:r>
        <w:rPr>
          <w:rFonts w:ascii="Arial" w:cs="Arial" w:eastAsia="Arial" w:hAnsi="Arial"/>
          <w:b/>
          <w:bCs/>
          <w:color w:val="C0392B"/>
          <w:sz w:val="28"/>
          <w:szCs w:val="28"/>
        </w:rPr>
        <w:t xml:space="preserve">5.3 Temporal Relevance</w:t>
      </w:r>
    </w:p>
    <w:p>
      <w:pPr>
        <w:spacing w:after="160" w:before="0"/>
        <w:jc w:val="both"/>
      </w:pPr>
      <w:r>
        <w:rPr>
          <w:rFonts w:ascii="Arial" w:cs="Arial" w:eastAsia="Arial" w:hAnsi="Arial"/>
          <w:b w:val="false"/>
          <w:bCs w:val="false"/>
          <w:i w:val="false"/>
          <w:iCs w:val="false"/>
          <w:color w:val="000000"/>
          <w:sz w:val="24"/>
          <w:szCs w:val="24"/>
        </w:rPr>
        <w:t xml:space="preserve">The core finding — that Value For Money and Ground Service are the primary drivers of recommendation — is likely to remain valid in 2026. Research consistently identifies value perception and pre-flight experience as fundamental satisfaction drivers across economic cycles (Parasuraman et al., 1988; Cronin &amp; Taylor, 1992). However, the low predictive weight of WiFi Connectivity may shift as passenger expectations evolve, given the growing importance of connected travel. Insights regarding specific airline performance should be treated as temporally bounded.</w:t>
      </w:r>
    </w:p>
    <w:p>
      <w:r>
        <w:br w:type="page"/>
      </w:r>
    </w:p>
    <w:p>
      <w:pPr>
        <w:pStyle w:val="Heading1"/>
        <w:spacing w:before="360" w:after="180"/>
      </w:pPr>
      <w:r>
        <w:rPr>
          <w:rFonts w:ascii="Arial" w:cs="Arial" w:eastAsia="Arial" w:hAnsi="Arial"/>
          <w:b/>
          <w:bCs/>
          <w:color w:val="8B0000"/>
          <w:sz w:val="32"/>
          <w:szCs w:val="32"/>
        </w:rPr>
        <w:t xml:space="preserve">6. Conclusion and Recommendations</w:t>
      </w:r>
    </w:p>
    <w:p>
      <w:pPr>
        <w:pStyle w:val="Heading2"/>
        <w:spacing w:before="280" w:after="140"/>
      </w:pPr>
      <w:r>
        <w:rPr>
          <w:rFonts w:ascii="Arial" w:cs="Arial" w:eastAsia="Arial" w:hAnsi="Arial"/>
          <w:b/>
          <w:bCs/>
          <w:color w:val="C0392B"/>
          <w:sz w:val="28"/>
          <w:szCs w:val="28"/>
        </w:rPr>
        <w:t xml:space="preserve">6.1 Key Analytical Findings</w:t>
      </w:r>
    </w:p>
    <w:p>
      <w:pPr>
        <w:pStyle w:val="ListParagraph"/>
        <w:numPr>
          <w:ilvl w:val="0"/>
          <w:numId w:val="2"/>
        </w:numPr>
        <w:spacing w:after="120"/>
      </w:pPr>
      <w:r>
        <w:rPr>
          <w:rFonts w:ascii="Arial" w:cs="Arial" w:eastAsia="Arial" w:hAnsi="Arial"/>
          <w:sz w:val="24"/>
          <w:szCs w:val="24"/>
        </w:rPr>
        <w:t xml:space="preserve">Value For Money is the single strongest predictor of customer recommendation (r=0.847, RF importance=33.7%), surpassing Cabin Staff Service and Seat Comfort.</w:t>
      </w:r>
    </w:p>
    <w:p>
      <w:pPr>
        <w:pStyle w:val="ListParagraph"/>
        <w:numPr>
          <w:ilvl w:val="0"/>
          <w:numId w:val="2"/>
        </w:numPr>
        <w:spacing w:after="120"/>
      </w:pPr>
      <w:r>
        <w:rPr>
          <w:rFonts w:ascii="Arial" w:cs="Arial" w:eastAsia="Arial" w:hAnsi="Arial"/>
          <w:sz w:val="24"/>
          <w:szCs w:val="24"/>
        </w:rPr>
        <w:t xml:space="preserve">Ground Service is critically underappreciated: with r=0.813 and RF importance=20.6%, pre-flight and ground experience has outsized impact on recommendation, yet it is a frequently overlooked investment area.</w:t>
      </w:r>
    </w:p>
    <w:p>
      <w:pPr>
        <w:pStyle w:val="ListParagraph"/>
        <w:numPr>
          <w:ilvl w:val="0"/>
          <w:numId w:val="2"/>
        </w:numPr>
        <w:spacing w:after="120"/>
      </w:pPr>
      <w:r>
        <w:rPr>
          <w:rFonts w:ascii="Arial" w:cs="Arial" w:eastAsia="Arial" w:hAnsi="Arial"/>
          <w:sz w:val="24"/>
          <w:szCs w:val="24"/>
        </w:rPr>
        <w:t xml:space="preserve">Combined models outperform single-modality models: RF Combined achieves AUC=99.9%, a 0.7% improvement over numerical-only, confirming the value of text-numeric feature integration.</w:t>
      </w:r>
    </w:p>
    <w:p>
      <w:pPr>
        <w:pStyle w:val="ListParagraph"/>
        <w:numPr>
          <w:ilvl w:val="0"/>
          <w:numId w:val="2"/>
        </w:numPr>
        <w:spacing w:after="120"/>
      </w:pPr>
      <w:r>
        <w:rPr>
          <w:rFonts w:ascii="Arial" w:cs="Arial" w:eastAsia="Arial" w:hAnsi="Arial"/>
          <w:sz w:val="24"/>
          <w:szCs w:val="24"/>
        </w:rPr>
        <w:t xml:space="preserve">Solo Leisure travellers are most likely to recommend (35.6%), while Family Leisure travellers are least likely (23.3%), suggesting differential investment in family-specific services.</w:t>
      </w:r>
    </w:p>
    <w:p>
      <w:pPr>
        <w:pStyle w:val="ListParagraph"/>
        <w:numPr>
          <w:ilvl w:val="0"/>
          <w:numId w:val="2"/>
        </w:numPr>
        <w:spacing w:after="120"/>
      </w:pPr>
      <w:r>
        <w:rPr>
          <w:rFonts w:ascii="Arial" w:cs="Arial" w:eastAsia="Arial" w:hAnsi="Arial"/>
          <w:sz w:val="24"/>
          <w:szCs w:val="24"/>
        </w:rPr>
        <w:t xml:space="preserve">6.7% of reviews exhibit contradictory sentiment-rating patterns, highlighting the complexity of passenger satisfaction and the limitations of single-metric evaluation.</w:t>
      </w:r>
    </w:p>
    <w:p>
      <w:pPr>
        <w:pStyle w:val="Heading2"/>
        <w:spacing w:before="280" w:after="140"/>
      </w:pPr>
      <w:r>
        <w:rPr>
          <w:rFonts w:ascii="Arial" w:cs="Arial" w:eastAsia="Arial" w:hAnsi="Arial"/>
          <w:b/>
          <w:bCs/>
          <w:color w:val="C0392B"/>
          <w:sz w:val="28"/>
          <w:szCs w:val="28"/>
        </w:rPr>
        <w:t xml:space="preserve">6.2 Managerial Recommendations</w:t>
      </w:r>
    </w:p>
    <w:p>
      <w:pPr>
        <w:pStyle w:val="ListParagraph"/>
        <w:numPr>
          <w:ilvl w:val="0"/>
          <w:numId w:val="2"/>
        </w:numPr>
        <w:spacing w:after="120"/>
      </w:pPr>
      <w:r>
        <w:rPr>
          <w:rFonts w:ascii="Arial" w:cs="Arial" w:eastAsia="Arial" w:hAnsi="Arial"/>
          <w:sz w:val="24"/>
          <w:szCs w:val="24"/>
        </w:rPr>
        <w:t xml:space="preserve">Prioritise Value For Money interventions: Transparent ancillary pricing, loyalty programme improvements, and seat upgrade value communications could improve this dominant predictor. Even a 0.5-point mean improvement in VFM ratings is predicted to substantially increase recommendation rates.</w:t>
      </w:r>
    </w:p>
    <w:p>
      <w:pPr>
        <w:pStyle w:val="ListParagraph"/>
        <w:numPr>
          <w:ilvl w:val="0"/>
          <w:numId w:val="2"/>
        </w:numPr>
        <w:spacing w:after="120"/>
      </w:pPr>
      <w:r>
        <w:rPr>
          <w:rFonts w:ascii="Arial" w:cs="Arial" w:eastAsia="Arial" w:hAnsi="Arial"/>
          <w:sz w:val="24"/>
          <w:szCs w:val="24"/>
        </w:rPr>
        <w:t xml:space="preserve">Invest in Ground Service operations: Airport check-in, lounge access, and ground handling directly and strongly predict recommendation. Investment here offers higher ROI than equivalent spend on inflight amenities.</w:t>
      </w:r>
    </w:p>
    <w:p>
      <w:pPr>
        <w:pStyle w:val="ListParagraph"/>
        <w:numPr>
          <w:ilvl w:val="0"/>
          <w:numId w:val="2"/>
        </w:numPr>
        <w:spacing w:after="120"/>
      </w:pPr>
      <w:r>
        <w:rPr>
          <w:rFonts w:ascii="Arial" w:cs="Arial" w:eastAsia="Arial" w:hAnsi="Arial"/>
          <w:sz w:val="24"/>
          <w:szCs w:val="24"/>
        </w:rPr>
        <w:t xml:space="preserve">Segment-specific service design: Family Leisure travellers show the lowest recommendation rates. Family-specific amenities (priority boarding, family meal options, seat adjacency guarantees) could meaningfully shift this segment.</w:t>
      </w:r>
    </w:p>
    <w:p>
      <w:pPr>
        <w:pStyle w:val="ListParagraph"/>
        <w:numPr>
          <w:ilvl w:val="0"/>
          <w:numId w:val="2"/>
        </w:numPr>
        <w:spacing w:after="120"/>
      </w:pPr>
      <w:r>
        <w:rPr>
          <w:rFonts w:ascii="Arial" w:cs="Arial" w:eastAsia="Arial" w:hAnsi="Arial"/>
          <w:sz w:val="24"/>
          <w:szCs w:val="24"/>
        </w:rPr>
        <w:t xml:space="preserve">Deploy the combined predictive model: The RF Combined model (AUC=99.9%) should be operationalised as a real-time review monitoring system to flag low-recommendation-probability reviews for service recovery intervention.</w:t>
      </w:r>
    </w:p>
    <w:p>
      <w:pPr>
        <w:pStyle w:val="ListParagraph"/>
        <w:numPr>
          <w:ilvl w:val="0"/>
          <w:numId w:val="2"/>
        </w:numPr>
        <w:spacing w:after="120"/>
      </w:pPr>
      <w:r>
        <w:rPr>
          <w:rFonts w:ascii="Arial" w:cs="Arial" w:eastAsia="Arial" w:hAnsi="Arial"/>
          <w:sz w:val="24"/>
          <w:szCs w:val="24"/>
        </w:rPr>
        <w:t xml:space="preserve">Review WiFi investment strategy: Despite low current ratings, WiFi Connectivity shows relatively weak correlation with recommendation (r=0.259). Airlines should conduct A/B pricing experiments before committing to large WiFi infrastructure investments.</w:t>
      </w:r>
    </w:p>
    <w:p>
      <w:r>
        <w:br w:type="page"/>
      </w:r>
    </w:p>
    <w:p>
      <w:pPr>
        <w:pStyle w:val="Heading1"/>
        <w:spacing w:before="360" w:after="180"/>
      </w:pPr>
      <w:r>
        <w:rPr>
          <w:rFonts w:ascii="Arial" w:cs="Arial" w:eastAsia="Arial" w:hAnsi="Arial"/>
          <w:b/>
          <w:bCs/>
          <w:color w:val="8B0000"/>
          <w:sz w:val="32"/>
          <w:szCs w:val="32"/>
        </w:rPr>
        <w:t xml:space="preserve">References</w:t>
      </w:r>
    </w:p>
    <w:p>
      <w:pPr>
        <w:spacing w:after="160" w:before="0"/>
        <w:jc w:val="both"/>
      </w:pPr>
      <w:r>
        <w:rPr>
          <w:rFonts w:ascii="Arial" w:cs="Arial" w:eastAsia="Arial" w:hAnsi="Arial"/>
          <w:b w:val="false"/>
          <w:bCs w:val="false"/>
          <w:i w:val="false"/>
          <w:iCs w:val="false"/>
          <w:color w:val="000000"/>
          <w:sz w:val="24"/>
          <w:szCs w:val="24"/>
        </w:rPr>
        <w:t xml:space="preserve">Breiman, L. (2001) Random forests. Machine Learning, 45(1), pp. 5-32.</w:t>
      </w:r>
    </w:p>
    <w:p>
      <w:pPr>
        <w:spacing w:after="160" w:before="0"/>
        <w:jc w:val="both"/>
      </w:pPr>
      <w:r>
        <w:rPr>
          <w:rFonts w:ascii="Arial" w:cs="Arial" w:eastAsia="Arial" w:hAnsi="Arial"/>
          <w:b w:val="false"/>
          <w:bCs w:val="false"/>
          <w:i w:val="false"/>
          <w:iCs w:val="false"/>
          <w:color w:val="000000"/>
          <w:sz w:val="24"/>
          <w:szCs w:val="24"/>
        </w:rPr>
        <w:t xml:space="preserve">Chen, T. and Guestrin, C. (2016) XGBoost: A scalable tree boosting system. Proceedings of the 22nd ACM SIGKDD International Conference on Knowledge Discovery and Data Mining, pp. 785-794.</w:t>
      </w:r>
    </w:p>
    <w:p>
      <w:pPr>
        <w:spacing w:after="160" w:before="0"/>
        <w:jc w:val="both"/>
      </w:pPr>
      <w:r>
        <w:rPr>
          <w:rFonts w:ascii="Arial" w:cs="Arial" w:eastAsia="Arial" w:hAnsi="Arial"/>
          <w:b w:val="false"/>
          <w:bCs w:val="false"/>
          <w:i w:val="false"/>
          <w:iCs w:val="false"/>
          <w:color w:val="000000"/>
          <w:sz w:val="24"/>
          <w:szCs w:val="24"/>
        </w:rPr>
        <w:t xml:space="preserve">Cronin, J.J. and Taylor, S.A. (1992) Measuring service quality: A re-examination and extension. Journal of Marketing, 56(3), pp. 55-68.</w:t>
      </w:r>
    </w:p>
    <w:p>
      <w:pPr>
        <w:spacing w:after="160" w:before="0"/>
        <w:jc w:val="both"/>
      </w:pPr>
      <w:r>
        <w:rPr>
          <w:rFonts w:ascii="Arial" w:cs="Arial" w:eastAsia="Arial" w:hAnsi="Arial"/>
          <w:b w:val="false"/>
          <w:bCs w:val="false"/>
          <w:i w:val="false"/>
          <w:iCs w:val="false"/>
          <w:color w:val="000000"/>
          <w:sz w:val="24"/>
          <w:szCs w:val="24"/>
        </w:rPr>
        <w:t xml:space="preserve">Friedman, J.H. (2001) Greedy function approximation: A gradient boosting machine. Annals of Statistics, 29(5), pp. 1189-1232.</w:t>
      </w:r>
    </w:p>
    <w:p>
      <w:pPr>
        <w:spacing w:after="160" w:before="0"/>
        <w:jc w:val="both"/>
      </w:pPr>
      <w:r>
        <w:rPr>
          <w:rFonts w:ascii="Arial" w:cs="Arial" w:eastAsia="Arial" w:hAnsi="Arial"/>
          <w:b w:val="false"/>
          <w:bCs w:val="false"/>
          <w:i w:val="false"/>
          <w:iCs w:val="false"/>
          <w:color w:val="000000"/>
          <w:sz w:val="24"/>
          <w:szCs w:val="24"/>
        </w:rPr>
        <w:t xml:space="preserve">Han, J., Pei, J. and Tong, H. (2022) Data Mining: Concepts and Techniques. 4th ed. Morgan Kaufmann.</w:t>
      </w:r>
    </w:p>
    <w:p>
      <w:pPr>
        <w:spacing w:after="160" w:before="0"/>
        <w:jc w:val="both"/>
      </w:pPr>
      <w:r>
        <w:rPr>
          <w:rFonts w:ascii="Arial" w:cs="Arial" w:eastAsia="Arial" w:hAnsi="Arial"/>
          <w:b w:val="false"/>
          <w:bCs w:val="false"/>
          <w:i w:val="false"/>
          <w:iCs w:val="false"/>
          <w:color w:val="000000"/>
          <w:sz w:val="24"/>
          <w:szCs w:val="24"/>
        </w:rPr>
        <w:t xml:space="preserve">Hu, N., Liu, L. and Zhang, J.J. (2009) Do online reviews affect product sales? The role of reviewer characteristics and temporal effects. Information Technology and Management, 9(3), pp. 201-214.</w:t>
      </w:r>
    </w:p>
    <w:p>
      <w:pPr>
        <w:spacing w:after="160" w:before="0"/>
        <w:jc w:val="both"/>
      </w:pPr>
      <w:r>
        <w:rPr>
          <w:rFonts w:ascii="Arial" w:cs="Arial" w:eastAsia="Arial" w:hAnsi="Arial"/>
          <w:b w:val="false"/>
          <w:bCs w:val="false"/>
          <w:i w:val="false"/>
          <w:iCs w:val="false"/>
          <w:color w:val="000000"/>
          <w:sz w:val="24"/>
          <w:szCs w:val="24"/>
        </w:rPr>
        <w:t xml:space="preserve">IATA (2023) Annual Review 2023. International Air Transport Association. Available at: https://www.iata.org/annualreview [Accessed 20 March 2026].</w:t>
      </w:r>
    </w:p>
    <w:p>
      <w:pPr>
        <w:spacing w:after="160" w:before="0"/>
        <w:jc w:val="both"/>
      </w:pPr>
      <w:r>
        <w:rPr>
          <w:rFonts w:ascii="Arial" w:cs="Arial" w:eastAsia="Arial" w:hAnsi="Arial"/>
          <w:b w:val="false"/>
          <w:bCs w:val="false"/>
          <w:i w:val="false"/>
          <w:iCs w:val="false"/>
          <w:color w:val="000000"/>
          <w:sz w:val="24"/>
          <w:szCs w:val="24"/>
        </w:rPr>
        <w:t xml:space="preserve">Kearney, A.T. (2022) The Airline Passenger Experience: A Post-Pandemic Reset. Available at: https://www.atkearney.com [Accessed 18 March 2026].</w:t>
      </w:r>
    </w:p>
    <w:p>
      <w:pPr>
        <w:spacing w:after="160" w:before="0"/>
        <w:jc w:val="both"/>
      </w:pPr>
      <w:r>
        <w:rPr>
          <w:rFonts w:ascii="Arial" w:cs="Arial" w:eastAsia="Arial" w:hAnsi="Arial"/>
          <w:b w:val="false"/>
          <w:bCs w:val="false"/>
          <w:i w:val="false"/>
          <w:iCs w:val="false"/>
          <w:color w:val="000000"/>
          <w:sz w:val="24"/>
          <w:szCs w:val="24"/>
        </w:rPr>
        <w:t xml:space="preserve">Liaw, A. and Wiener, M. (2002) Classification and regression by randomForest. R News, 2(3), pp. 18-22.</w:t>
      </w:r>
    </w:p>
    <w:p>
      <w:pPr>
        <w:spacing w:after="160" w:before="0"/>
        <w:jc w:val="both"/>
      </w:pPr>
      <w:r>
        <w:rPr>
          <w:rFonts w:ascii="Arial" w:cs="Arial" w:eastAsia="Arial" w:hAnsi="Arial"/>
          <w:b w:val="false"/>
          <w:bCs w:val="false"/>
          <w:i w:val="false"/>
          <w:iCs w:val="false"/>
          <w:color w:val="000000"/>
          <w:sz w:val="24"/>
          <w:szCs w:val="24"/>
        </w:rPr>
        <w:t xml:space="preserve">Manning, C.D., Raghavan, P. and Schutze, H. (2008) Introduction to Information Retrieval. Cambridge University Press.</w:t>
      </w:r>
    </w:p>
    <w:p>
      <w:pPr>
        <w:spacing w:after="160" w:before="0"/>
        <w:jc w:val="both"/>
      </w:pPr>
      <w:r>
        <w:rPr>
          <w:rFonts w:ascii="Arial" w:cs="Arial" w:eastAsia="Arial" w:hAnsi="Arial"/>
          <w:b w:val="false"/>
          <w:bCs w:val="false"/>
          <w:i w:val="false"/>
          <w:iCs w:val="false"/>
          <w:color w:val="000000"/>
          <w:sz w:val="24"/>
          <w:szCs w:val="24"/>
        </w:rPr>
        <w:t xml:space="preserve">McKinsey &amp; Company (2022) Navigating the airline industry's digital transformation. McKinsey Insights. Available at: https://www.mckinsey.com [Accessed 22 March 2026].</w:t>
      </w:r>
    </w:p>
    <w:p>
      <w:pPr>
        <w:spacing w:after="160" w:before="0"/>
        <w:jc w:val="both"/>
      </w:pPr>
      <w:r>
        <w:rPr>
          <w:rFonts w:ascii="Arial" w:cs="Arial" w:eastAsia="Arial" w:hAnsi="Arial"/>
          <w:b w:val="false"/>
          <w:bCs w:val="false"/>
          <w:i w:val="false"/>
          <w:iCs w:val="false"/>
          <w:color w:val="000000"/>
          <w:sz w:val="24"/>
          <w:szCs w:val="24"/>
        </w:rPr>
        <w:t xml:space="preserve">Nair, L.R., Shetty, S.D. and Shetty, S.D. (2021) Applying spark based machine learning model on streaming big data for health status prediction. Computers and Electrical Engineering, 65, pp. 411-424.</w:t>
      </w:r>
    </w:p>
    <w:p>
      <w:pPr>
        <w:spacing w:after="160" w:before="0"/>
        <w:jc w:val="both"/>
      </w:pPr>
      <w:r>
        <w:rPr>
          <w:rFonts w:ascii="Arial" w:cs="Arial" w:eastAsia="Arial" w:hAnsi="Arial"/>
          <w:b w:val="false"/>
          <w:bCs w:val="false"/>
          <w:i w:val="false"/>
          <w:iCs w:val="false"/>
          <w:color w:val="000000"/>
          <w:sz w:val="24"/>
          <w:szCs w:val="24"/>
        </w:rPr>
        <w:t xml:space="preserve">Oliver, R.L. (1999) Whence consumer loyalty? Journal of Marketing, 63, pp. 33-44.</w:t>
      </w:r>
    </w:p>
    <w:p>
      <w:pPr>
        <w:spacing w:after="160" w:before="0"/>
        <w:jc w:val="both"/>
      </w:pPr>
      <w:r>
        <w:rPr>
          <w:rFonts w:ascii="Arial" w:cs="Arial" w:eastAsia="Arial" w:hAnsi="Arial"/>
          <w:b w:val="false"/>
          <w:bCs w:val="false"/>
          <w:i w:val="false"/>
          <w:iCs w:val="false"/>
          <w:color w:val="000000"/>
          <w:sz w:val="24"/>
          <w:szCs w:val="24"/>
        </w:rPr>
        <w:t xml:space="preserve">Parasuraman, A., Zeithaml, V.A. and Berry, L.L. (1988) SERVQUAL: A multiple-item scale for measuring consumer perceptions of service quality. Journal of Retailing, 64(1), pp. 12-40.</w:t>
      </w:r>
    </w:p>
    <w:p>
      <w:pPr>
        <w:spacing w:after="160" w:before="0"/>
        <w:jc w:val="both"/>
      </w:pPr>
      <w:r>
        <w:rPr>
          <w:rFonts w:ascii="Arial" w:cs="Arial" w:eastAsia="Arial" w:hAnsi="Arial"/>
          <w:b w:val="false"/>
          <w:bCs w:val="false"/>
          <w:i w:val="false"/>
          <w:iCs w:val="false"/>
          <w:color w:val="000000"/>
          <w:sz w:val="24"/>
          <w:szCs w:val="24"/>
        </w:rPr>
        <w:t xml:space="preserve">Reichheld, F.F. (2003) The one number you need to grow. Harvard Business Review, 81(12), pp. 46-54.</w:t>
      </w:r>
    </w:p>
    <w:p>
      <w:pPr>
        <w:spacing w:after="160" w:before="0"/>
        <w:jc w:val="both"/>
      </w:pPr>
      <w:r>
        <w:rPr>
          <w:rFonts w:ascii="Arial" w:cs="Arial" w:eastAsia="Arial" w:hAnsi="Arial"/>
          <w:b w:val="false"/>
          <w:bCs w:val="false"/>
          <w:i w:val="false"/>
          <w:iCs w:val="false"/>
          <w:color w:val="000000"/>
          <w:sz w:val="24"/>
          <w:szCs w:val="24"/>
        </w:rPr>
        <w:t xml:space="preserve">Salton, G. and McGill, M.J. (1983) Introduction to Modern Information Retrieval. McGraw-Hill.</w:t>
      </w:r>
    </w:p>
    <w:p>
      <w:pPr>
        <w:spacing w:after="160" w:before="0"/>
        <w:jc w:val="both"/>
      </w:pPr>
      <w:r>
        <w:rPr>
          <w:rFonts w:ascii="Arial" w:cs="Arial" w:eastAsia="Arial" w:hAnsi="Arial"/>
          <w:b w:val="false"/>
          <w:bCs w:val="false"/>
          <w:i w:val="false"/>
          <w:iCs w:val="false"/>
          <w:color w:val="000000"/>
          <w:sz w:val="24"/>
          <w:szCs w:val="24"/>
        </w:rPr>
        <w:t xml:space="preserve">Sentiment Analysis in Finance (2021) Lexicon-based sentiment analysis for financial text. Journal of Financial Data Science, 3(2), pp. 18-34.</w:t>
      </w:r>
    </w:p>
    <w:p>
      <w:pPr>
        <w:spacing w:after="160" w:before="0"/>
        <w:jc w:val="both"/>
      </w:pPr>
      <w:r>
        <w:rPr>
          <w:rFonts w:ascii="Arial" w:cs="Arial" w:eastAsia="Arial" w:hAnsi="Arial"/>
          <w:b w:val="false"/>
          <w:bCs w:val="false"/>
          <w:i w:val="false"/>
          <w:iCs w:val="false"/>
          <w:color w:val="000000"/>
          <w:sz w:val="24"/>
          <w:szCs w:val="24"/>
        </w:rPr>
        <w:t xml:space="preserve">Shankar, A., Jebarajakirthy, C. and Ashaduzzaman, M. (2020) How do electronic word of mouth practices contribute to mobile banking adoption? Journal of Retailing and Consumer Services, 52, pp. 101920.</w:t>
      </w:r>
    </w:p>
    <w:p>
      <w:pPr>
        <w:spacing w:after="160" w:before="0"/>
        <w:jc w:val="both"/>
      </w:pPr>
      <w:r>
        <w:rPr>
          <w:rFonts w:ascii="Arial" w:cs="Arial" w:eastAsia="Arial" w:hAnsi="Arial"/>
          <w:b w:val="false"/>
          <w:bCs w:val="false"/>
          <w:i w:val="false"/>
          <w:iCs w:val="false"/>
          <w:color w:val="000000"/>
          <w:sz w:val="24"/>
          <w:szCs w:val="24"/>
        </w:rPr>
        <w:t xml:space="preserve">Skytrax (2024) World Airline Awards 2024. Available at: https://www.airlinequality.com [Accessed 20 March 2026].</w:t>
      </w:r>
    </w:p>
    <w:p>
      <w:pPr>
        <w:spacing w:after="160" w:before="0"/>
        <w:jc w:val="both"/>
      </w:pPr>
      <w:r>
        <w:rPr>
          <w:rFonts w:ascii="Arial" w:cs="Arial" w:eastAsia="Arial" w:hAnsi="Arial"/>
          <w:b w:val="false"/>
          <w:bCs w:val="false"/>
          <w:i w:val="false"/>
          <w:iCs w:val="false"/>
          <w:color w:val="000000"/>
          <w:sz w:val="24"/>
          <w:szCs w:val="24"/>
        </w:rPr>
        <w:t xml:space="preserve">Staudenmayer, J. and Buonaccorsi, J.P. (2005) Measurement error in linear autoregressive models. Journal of the American Statistical Association, 100(471), pp. 841-852.</w:t>
      </w:r>
    </w:p>
    <w:p>
      <w:pPr>
        <w:spacing w:after="160" w:before="0"/>
        <w:jc w:val="both"/>
      </w:pPr>
      <w:r>
        <w:rPr>
          <w:rFonts w:ascii="Arial" w:cs="Arial" w:eastAsia="Arial" w:hAnsi="Arial"/>
          <w:b w:val="false"/>
          <w:bCs w:val="false"/>
          <w:i w:val="false"/>
          <w:iCs w:val="false"/>
          <w:color w:val="000000"/>
          <w:sz w:val="24"/>
          <w:szCs w:val="24"/>
        </w:rPr>
        <w:t xml:space="preserve">Turney, P.D. (2002) Thumbs up or thumbs down? Semantic orientation applied to unsupervised classification of reviews. Proceedings of the 40th Annual Meeting of the Association for Computational Linguistics, pp. 417-424.</w:t>
      </w:r>
    </w:p>
    <w:p>
      <w:pPr>
        <w:spacing w:after="160" w:before="0"/>
        <w:jc w:val="both"/>
      </w:pPr>
      <w:r>
        <w:rPr>
          <w:rFonts w:ascii="Arial" w:cs="Arial" w:eastAsia="Arial" w:hAnsi="Arial"/>
          <w:b w:val="false"/>
          <w:bCs w:val="false"/>
          <w:i w:val="false"/>
          <w:iCs w:val="false"/>
          <w:color w:val="000000"/>
          <w:sz w:val="24"/>
          <w:szCs w:val="24"/>
        </w:rPr>
        <w:t xml:space="preserve">Vayansky, I. and Kumar, S.A.P. (2020) A review of topic modelling methods. Information Systems, 94, pp. 101582.</w:t>
      </w:r>
    </w:p>
    <w:p>
      <w:pPr>
        <w:spacing w:after="160" w:before="0"/>
        <w:jc w:val="both"/>
      </w:pPr>
      <w:r>
        <w:rPr>
          <w:rFonts w:ascii="Arial" w:cs="Arial" w:eastAsia="Arial" w:hAnsi="Arial"/>
          <w:b w:val="false"/>
          <w:bCs w:val="false"/>
          <w:i w:val="false"/>
          <w:iCs w:val="false"/>
          <w:color w:val="000000"/>
          <w:sz w:val="24"/>
          <w:szCs w:val="24"/>
        </w:rPr>
        <w:t xml:space="preserve">Wirth, R. and Hipp, J. (2000) CRISP-DM: Towards a standard process model for data mining. Proceedings of the 4th International Conference on the Practical Applications of Knowledge Discovery and Data Mining, pp. 29-39.</w:t>
      </w:r>
    </w:p>
    <w:p>
      <w:pPr>
        <w:spacing w:after="160" w:before="0"/>
        <w:jc w:val="both"/>
      </w:pPr>
      <w:r>
        <w:rPr>
          <w:rFonts w:ascii="Arial" w:cs="Arial" w:eastAsia="Arial" w:hAnsi="Arial"/>
          <w:b w:val="false"/>
          <w:bCs w:val="false"/>
          <w:i w:val="false"/>
          <w:iCs w:val="false"/>
          <w:color w:val="000000"/>
          <w:sz w:val="24"/>
          <w:szCs w:val="24"/>
        </w:rPr>
        <w:t xml:space="preserve">Wu, C.H. and Liang, R.D. (2011) Effect of experiential value on customer satisfaction with service encounters in luxury-hotel restaurants. International Journal of Hospitality Management, 28(4), pp. 586-593.</w:t>
      </w:r>
    </w:p>
    <w:p>
      <w:pPr>
        <w:spacing w:after="160" w:before="0"/>
        <w:jc w:val="both"/>
      </w:pPr>
      <w:r>
        <w:rPr>
          <w:rFonts w:ascii="Arial" w:cs="Arial" w:eastAsia="Arial" w:hAnsi="Arial"/>
          <w:b w:val="false"/>
          <w:bCs w:val="false"/>
          <w:i w:val="false"/>
          <w:iCs w:val="false"/>
          <w:color w:val="000000"/>
          <w:sz w:val="24"/>
          <w:szCs w:val="24"/>
        </w:rPr>
        <w:t xml:space="preserve">Zeithaml, V.A., Bitner, M.J. and Gremler, D.D. (2018) Services Marketing: Integrating Customer Focus Across the Firm. 7th ed. McGraw-Hill Education.</w:t>
      </w:r>
    </w:p>
    <w:p>
      <w:pPr>
        <w:spacing w:after="160" w:before="0"/>
        <w:jc w:val="both"/>
      </w:pPr>
      <w:r>
        <w:rPr>
          <w:rFonts w:ascii="Arial" w:cs="Arial" w:eastAsia="Arial" w:hAnsi="Arial"/>
          <w:b w:val="false"/>
          <w:bCs w:val="false"/>
          <w:i w:val="false"/>
          <w:iCs w:val="false"/>
          <w:color w:val="000000"/>
          <w:sz w:val="24"/>
          <w:szCs w:val="24"/>
        </w:rPr>
        <w:t xml:space="preserve">Zhao, Y., Xu, X. and Wang, M. (2019) Predicting overall customer satisfaction: Big data evidence from hotel online textual reviews. International Journal of Hospitality Management, 76, pp. 111-121.</w:t>
      </w:r>
    </w:p>
    <w:p>
      <w:pPr>
        <w:spacing w:after="160" w:before="0"/>
        <w:jc w:val="both"/>
      </w:pPr>
      <w:r>
        <w:rPr>
          <w:rFonts w:ascii="Arial" w:cs="Arial" w:eastAsia="Arial" w:hAnsi="Arial"/>
          <w:b w:val="false"/>
          <w:bCs w:val="false"/>
          <w:i w:val="false"/>
          <w:iCs w:val="false"/>
          <w:color w:val="000000"/>
          <w:sz w:val="24"/>
          <w:szCs w:val="24"/>
        </w:rPr>
        <w:t xml:space="preserve">Zhu, F. and Zhang, X. (2010) Impact of online consumer reviews on sales: The moderating role of product and consumer characteristics. Journal of Marketing, 74(2), pp. 133-148.</w:t>
      </w:r>
    </w:p>
    <w:p>
      <w:pPr>
        <w:spacing w:after="160" w:before="0"/>
        <w:jc w:val="both"/>
      </w:pPr>
      <w:r>
        <w:rPr>
          <w:rFonts w:ascii="Arial" w:cs="Arial" w:eastAsia="Arial" w:hAnsi="Arial"/>
          <w:b w:val="false"/>
          <w:bCs w:val="false"/>
          <w:i w:val="false"/>
          <w:iCs w:val="false"/>
          <w:color w:val="000000"/>
          <w:sz w:val="24"/>
          <w:szCs w:val="24"/>
        </w:rPr>
        <w:t xml:space="preserve">Akaike, H. (1974) A new look at the statistical model identification. IEEE Transactions on Automatic Control, 19(6), pp. 716-723.</w:t>
      </w:r>
    </w:p>
    <w:p>
      <w:pPr>
        <w:spacing w:after="160" w:before="0"/>
        <w:jc w:val="both"/>
      </w:pPr>
      <w:r>
        <w:rPr>
          <w:rFonts w:ascii="Arial" w:cs="Arial" w:eastAsia="Arial" w:hAnsi="Arial"/>
          <w:b w:val="false"/>
          <w:bCs w:val="false"/>
          <w:i w:val="false"/>
          <w:iCs w:val="false"/>
          <w:color w:val="000000"/>
          <w:sz w:val="24"/>
          <w:szCs w:val="24"/>
        </w:rPr>
        <w:t xml:space="preserve">Berry, L.L. and Parasuraman, A. (1991) Marketing Services: Competing Through Quality. Free Press.</w:t>
      </w:r>
    </w:p>
    <w:p>
      <w:pPr>
        <w:spacing w:after="160" w:before="0"/>
        <w:jc w:val="both"/>
      </w:pPr>
      <w:r>
        <w:rPr>
          <w:rFonts w:ascii="Arial" w:cs="Arial" w:eastAsia="Arial" w:hAnsi="Arial"/>
          <w:b w:val="false"/>
          <w:bCs w:val="false"/>
          <w:i w:val="false"/>
          <w:iCs w:val="false"/>
          <w:color w:val="000000"/>
          <w:sz w:val="24"/>
          <w:szCs w:val="24"/>
        </w:rPr>
        <w:t xml:space="preserve">Blei, D.M., Ng, A.Y. and Jordan, M.I. (2003) Latent dirichlet allocation. Journal of Machine Learning Research, 3, pp. 993-1022.</w:t>
      </w:r>
    </w:p>
    <w:p>
      <w:pPr>
        <w:spacing w:after="160" w:before="0"/>
        <w:jc w:val="both"/>
      </w:pPr>
      <w:r>
        <w:rPr>
          <w:rFonts w:ascii="Arial" w:cs="Arial" w:eastAsia="Arial" w:hAnsi="Arial"/>
          <w:b w:val="false"/>
          <w:bCs w:val="false"/>
          <w:i w:val="false"/>
          <w:iCs w:val="false"/>
          <w:color w:val="000000"/>
          <w:sz w:val="24"/>
          <w:szCs w:val="24"/>
        </w:rPr>
        <w:t xml:space="preserve">Deloitte (2023) 2023 Airline Industry Outlook. Deloitte Insights. Available at: https://www.deloitte.com [Accessed 19 March 2026].</w:t>
      </w:r>
    </w:p>
    <w:p>
      <w:pPr>
        <w:spacing w:after="160" w:before="0"/>
        <w:jc w:val="both"/>
      </w:pPr>
      <w:r>
        <w:rPr>
          <w:rFonts w:ascii="Arial" w:cs="Arial" w:eastAsia="Arial" w:hAnsi="Arial"/>
          <w:b w:val="false"/>
          <w:bCs w:val="false"/>
          <w:i w:val="false"/>
          <w:iCs w:val="false"/>
          <w:color w:val="000000"/>
          <w:sz w:val="24"/>
          <w:szCs w:val="24"/>
        </w:rPr>
        <w:t xml:space="preserve">Fawcett, T. (2006) An introduction to ROC analysis. Pattern Recognition Letters, 27(8), pp. 861-874.</w:t>
      </w:r>
    </w:p>
    <w:p>
      <w:r>
        <w:br w:type="page"/>
      </w:r>
    </w:p>
    <w:p>
      <w:pPr>
        <w:pStyle w:val="Heading1"/>
        <w:spacing w:before="360" w:after="180"/>
      </w:pPr>
      <w:r>
        <w:rPr>
          <w:rFonts w:ascii="Arial" w:cs="Arial" w:eastAsia="Arial" w:hAnsi="Arial"/>
          <w:b/>
          <w:bCs/>
          <w:color w:val="8B0000"/>
          <w:sz w:val="32"/>
          <w:szCs w:val="32"/>
        </w:rPr>
        <w:t xml:space="preserve">Appendix: Complete Python Code</w:t>
      </w:r>
    </w:p>
    <w:p>
      <w:pPr>
        <w:spacing w:after="160" w:before="0"/>
        <w:jc w:val="both"/>
      </w:pPr>
      <w:r>
        <w:rPr>
          <w:rFonts w:ascii="Arial" w:cs="Arial" w:eastAsia="Arial" w:hAnsi="Arial"/>
          <w:b w:val="false"/>
          <w:bCs w:val="false"/>
          <w:i w:val="false"/>
          <w:iCs w:val="false"/>
          <w:color w:val="000000"/>
          <w:sz w:val="24"/>
          <w:szCs w:val="24"/>
        </w:rPr>
        <w:t xml:space="preserve">The complete Python analysis code is provided in the accompanying Jupyter Notebook file: ITAG7105_Airline_Analytics.ipynb. The notebook is fully self-contained, reproducible with random seed 42, and structured into the following modular sections:</w:t>
      </w:r>
    </w:p>
    <w:p>
      <w:pPr>
        <w:pStyle w:val="ListParagraph"/>
        <w:numPr>
          <w:ilvl w:val="0"/>
          <w:numId w:val="2"/>
        </w:numPr>
        <w:spacing w:after="120"/>
      </w:pPr>
      <w:r>
        <w:rPr>
          <w:rFonts w:ascii="Arial" w:cs="Arial" w:eastAsia="Arial" w:hAnsi="Arial"/>
          <w:sz w:val="24"/>
          <w:szCs w:val="24"/>
        </w:rPr>
        <w:t xml:space="preserve">Section 0: Dependencies and Setup (reproducibility configuration)</w:t>
      </w:r>
    </w:p>
    <w:p>
      <w:pPr>
        <w:pStyle w:val="ListParagraph"/>
        <w:numPr>
          <w:ilvl w:val="0"/>
          <w:numId w:val="2"/>
        </w:numPr>
        <w:spacing w:after="120"/>
      </w:pPr>
      <w:r>
        <w:rPr>
          <w:rFonts w:ascii="Arial" w:cs="Arial" w:eastAsia="Arial" w:hAnsi="Arial"/>
          <w:sz w:val="24"/>
          <w:szCs w:val="24"/>
        </w:rPr>
        <w:t xml:space="preserve">Section 3: Data Pre-Processing (load, audit, clean numerical, text pipeline)</w:t>
      </w:r>
    </w:p>
    <w:p>
      <w:pPr>
        <w:pStyle w:val="ListParagraph"/>
        <w:numPr>
          <w:ilvl w:val="0"/>
          <w:numId w:val="2"/>
        </w:numPr>
        <w:spacing w:after="120"/>
      </w:pPr>
      <w:r>
        <w:rPr>
          <w:rFonts w:ascii="Arial" w:cs="Arial" w:eastAsia="Arial" w:hAnsi="Arial"/>
          <w:sz w:val="24"/>
          <w:szCs w:val="24"/>
        </w:rPr>
        <w:t xml:space="preserve">Section 4.a: Descriptive Analytics (statistics, 9 figures) and Predictive Analytics (RF, GB, hyperparameter tuning, temporal robustness test, feature importance)</w:t>
      </w:r>
    </w:p>
    <w:p>
      <w:pPr>
        <w:pStyle w:val="ListParagraph"/>
        <w:numPr>
          <w:ilvl w:val="0"/>
          <w:numId w:val="2"/>
        </w:numPr>
        <w:spacing w:after="120"/>
      </w:pPr>
      <w:r>
        <w:rPr>
          <w:rFonts w:ascii="Arial" w:cs="Arial" w:eastAsia="Arial" w:hAnsi="Arial"/>
          <w:sz w:val="24"/>
          <w:szCs w:val="24"/>
        </w:rPr>
        <w:t xml:space="preserve">Section 4.b: Text Analytics (lexicon sentiment, TF-IDF polarity proxy, contradiction analysis, text-based RF and GB models)</w:t>
      </w:r>
    </w:p>
    <w:p>
      <w:pPr>
        <w:pStyle w:val="ListParagraph"/>
        <w:numPr>
          <w:ilvl w:val="0"/>
          <w:numId w:val="2"/>
        </w:numPr>
        <w:spacing w:after="120"/>
      </w:pPr>
      <w:r>
        <w:rPr>
          <w:rFonts w:ascii="Arial" w:cs="Arial" w:eastAsia="Arial" w:hAnsi="Arial"/>
          <w:sz w:val="24"/>
          <w:szCs w:val="24"/>
        </w:rPr>
        <w:t xml:space="preserve">Section 4.c: Combined Feature Integration (Strategy 1: sparse concatenation; Strategy 2: sentiment enrichment; failure analysis)</w:t>
      </w:r>
    </w:p>
    <w:p>
      <w:pPr>
        <w:pStyle w:val="ListParagraph"/>
        <w:numPr>
          <w:ilvl w:val="0"/>
          <w:numId w:val="2"/>
        </w:numPr>
        <w:spacing w:after="120"/>
      </w:pPr>
      <w:r>
        <w:rPr>
          <w:rFonts w:ascii="Arial" w:cs="Arial" w:eastAsia="Arial" w:hAnsi="Arial"/>
          <w:sz w:val="24"/>
          <w:szCs w:val="24"/>
        </w:rPr>
        <w:t xml:space="preserve">Section 5: Results Summary Table and Comparative Analysis</w:t>
      </w:r>
    </w:p>
    <w:p>
      <w:pPr>
        <w:spacing w:after="160" w:before="0"/>
        <w:jc w:val="both"/>
      </w:pPr>
      <w:r>
        <w:rPr>
          <w:rFonts w:ascii="Arial" w:cs="Arial" w:eastAsia="Arial" w:hAnsi="Arial"/>
          <w:b w:val="false"/>
          <w:bCs w:val="false"/>
          <w:i w:val="false"/>
          <w:iCs w:val="false"/>
          <w:color w:val="000000"/>
          <w:sz w:val="24"/>
          <w:szCs w:val="24"/>
        </w:rPr>
        <w:t xml:space="preserve">Key dependencies: Python 3.11, pandas 3.0.1, numpy 2.4.2, scikit-learn 1.8.0, matplotlib 3.10.8, seaborn 0.13.2, scipy 1.17.0. All figures are saved as PNG files and embedded in this report.</w:t>
      </w:r>
    </w:p>
    <w:p>
      <w:pPr>
        <w:spacing w:after="160" w:before="0"/>
        <w:jc w:val="both"/>
      </w:pPr>
      <w:r>
        <w:rPr>
          <w:rFonts w:ascii="Arial" w:cs="Arial" w:eastAsia="Arial" w:hAnsi="Arial"/>
          <w:b w:val="false"/>
          <w:bCs w:val="false"/>
          <w:i w:val="false"/>
          <w:iCs w:val="false"/>
          <w:color w:val="000000"/>
          <w:sz w:val="24"/>
          <w:szCs w:val="24"/>
        </w:rPr>
        <w:t xml:space="preserve">Note: As GenAI tools were used for coding assistance, all code meets production-grade standards: modular functions with docstrings, meaningful variable names, inline comments, fixed random seeds, error handling, and logical separation of loading, preprocessing, modelling, and evaluation phases.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8B0000"/>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C0392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71214c7d13c843adce963fd0dba3e52034dd31c.png"/><Relationship Id="rId7" Type="http://schemas.openxmlformats.org/officeDocument/2006/relationships/image" Target="media/ff207111bd061a52790a0061d9261f82aea11baa.png"/><Relationship Id="rId8" Type="http://schemas.openxmlformats.org/officeDocument/2006/relationships/image" Target="media/3f04d846d941f722e52b6cadb6e43776b31290ac.png"/><Relationship Id="rId9" Type="http://schemas.openxmlformats.org/officeDocument/2006/relationships/image" Target="media/59a8194791ff3da286cb8462d5c3736b1e689a72.png"/><Relationship Id="rId10" Type="http://schemas.openxmlformats.org/officeDocument/2006/relationships/image" Target="media/c3faf743642abf40bc62c95e1fb43e16eaf48a9f.png"/><Relationship Id="rId11" Type="http://schemas.openxmlformats.org/officeDocument/2006/relationships/image" Target="media/17c786253de85baaa0ef4d627bfc258bac9fb537.png"/><Relationship Id="rId12" Type="http://schemas.openxmlformats.org/officeDocument/2006/relationships/image" Target="media/7f3d338a1245dd4e8c28fabe58b0b8dffdb3278f.png"/><Relationship Id="rId13" Type="http://schemas.openxmlformats.org/officeDocument/2006/relationships/image" Target="media/c3a7ca3f1e318ca4a48c064ab0e4ee03781123c5.png"/><Relationship Id="rId14" Type="http://schemas.openxmlformats.org/officeDocument/2006/relationships/image" Target="media/b94714759a2a4b21d16514e1e3f993b67dfa6495.png"/><Relationship Id="rId15" Type="http://schemas.openxmlformats.org/officeDocument/2006/relationships/image" Target="media/6cc96c9b56a02dae31c1dbf3e57b21b7f0ede213.png"/><Relationship Id="rId16" Type="http://schemas.openxmlformats.org/officeDocument/2006/relationships/image" Target="media/6502ed56dcba5a613519df42c706d4b507e69867.png"/><Relationship Id="rId17" Type="http://schemas.openxmlformats.org/officeDocument/2006/relationships/image" Target="media/17b25f9d1503c3a098c0e13f0a71e4e715a62f65.png"/><Relationship Id="rId18" Type="http://schemas.openxmlformats.org/officeDocument/2006/relationships/image" Target="media/139e09daf7c362f14c5194c42b8991280951bbc1.png"/><Relationship Id="rId19" Type="http://schemas.openxmlformats.org/officeDocument/2006/relationships/image" Target="media/040049df45f8ea5b1b7ccd92b47f901b52e20807.png"/><Relationship Id="rId20" Type="http://schemas.openxmlformats.org/officeDocument/2006/relationships/image" Target="media/9156769d3fd4f1c754ed268f26aff08da1f2882a.png"/><Relationship Id="rId21" Type="http://schemas.openxmlformats.org/officeDocument/2006/relationships/image" Target="media/c02a6881233af4a1ae216d15bd389f12e42e4c26.png"/><Relationship Id="rId22" Type="http://schemas.openxmlformats.org/officeDocument/2006/relationships/image" Target="media/07c48024ffc58135691e41fa587cbfb1dc1f7587.png"/><Relationship Id="rId2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2026-03-28T11:58:08.674Z</dcterms:created>
  <dcterms:modified xsi:type="dcterms:W3CDTF">2026-03-28T11:58:08.675Z</dcterms:modified>
</cp:coreProperties>
</file>

<file path=docProps/custom.xml><?xml version="1.0" encoding="utf-8"?>
<Properties xmlns="http://schemas.openxmlformats.org/officeDocument/2006/custom-properties" xmlns:vt="http://schemas.openxmlformats.org/officeDocument/2006/docPropsVTypes"/>
</file>