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72"/>
          <w:szCs w:val="72"/>
        </w:rPr>
        <w:t xml:space="preserve">Vectoris</w:t>
      </w:r>
    </w:p>
    <w:p>
      <w:pPr>
        <w:spacing w:after="100" w:before="200"/>
        <w:jc w:val="center"/>
      </w:pPr>
      <w:r>
        <w:rPr>
          <w:b/>
          <w:bCs/>
          <w:color w:val="2E74B5"/>
          <w:sz w:val="30"/>
          <w:szCs w:val="30"/>
        </w:rPr>
        <w:t xml:space="preserve">AI-Native Electrical Estimating &amp; Techno-Commercial Engineering</w:t>
      </w:r>
    </w:p>
    <w:p>
      <w:pPr>
        <w:spacing w:after="800" w:before="100"/>
        <w:jc w:val="center"/>
      </w:pPr>
      <w:r>
        <w:rPr>
          <w:i/>
          <w:iCs/>
          <w:color w:val="595959"/>
          <w:sz w:val="24"/>
          <w:szCs w:val="24"/>
        </w:rPr>
        <w:t xml:space="preserve">Whole-Project Explainer — Thesis, Discovery, Scope &amp; Evidence</w:t>
      </w:r>
    </w:p>
    <w:p>
      <w:pPr>
        <w:spacing w:before="3200"/>
        <w:jc w:val="center"/>
      </w:pPr>
      <w:r>
        <w:rPr>
          <w:color w:val="595959"/>
          <w:sz w:val="22"/>
          <w:szCs w:val="22"/>
        </w:rPr>
        <w:t xml:space="preserve">Status: Pre-product — Customer Discovery &amp; Technical Validation</w:t>
      </w:r>
    </w:p>
    <w:p>
      <w:pPr>
        <w:spacing w:before="100"/>
        <w:jc w:val="center"/>
      </w:pPr>
      <w:r>
        <w:rPr>
          <w:color w:val="595959"/>
          <w:sz w:val="22"/>
          <w:szCs w:val="22"/>
        </w:rPr>
        <w:t xml:space="preserve">Prepared: August 22, 2026</w:t>
      </w:r>
    </w:p>
    <w:p>
      <w:pPr>
        <w:spacing w:before="100"/>
        <w:jc w:val="center"/>
      </w:pPr>
      <w:r>
        <w:rPr>
          <w:i/>
          <w:iCs/>
          <w:color w:val="808080"/>
          <w:sz w:val="18"/>
          <w:szCs w:val="18"/>
        </w:rPr>
        <w:t xml:space="preserve">Source documents: README.md · SCOPE.md · DISCOVERY.md · THESIS.md · Call-Summary-Shubham-Singh.md</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line="276"/>
      </w:pPr>
      <w:r>
        <w:t xml:space="preserve">Vectoris is an early-stage, pre-product idea for an AI-native system that helps electrical and MEP (mechanical/electrical/plumbing) companies turn a project's requirements into an accurate, priced, submittable commercial proposal. Nothing has been built yet. The project is currently in the customer-discovery and evidence-gathering stage, and every document behind this explainer is deliberately written to separate what has actually been proven from what is still a hypothesis.</w:t>
      </w:r>
    </w:p>
    <w:p>
      <w:pPr>
        <w:spacing w:after="160" w:line="276"/>
      </w:pPr>
      <w:r>
        <w:t xml:space="preserve">The founder has decided that its two working hypotheses, H1 and H2, are merging into a single pipeline with two entry points — that decision is now settled, not up for debate. What remains open, and still guided by strict evidence discipline, is everything about the market: whether real customers feel this pain, which entry point matters more, and what to build next. No market claim is treated as validated until real customers confirm it, and every optimistic-sounding signal is graded honestly against how strong it actually is.</w:t>
      </w:r>
    </w:p>
    <w:p>
      <w:pPr>
        <w:pStyle w:val="Heading3"/>
        <w:spacing w:after="100" w:before="200"/>
      </w:pPr>
      <w:r>
        <w:t xml:space="preserve">The two hypotheses, in one line each</w:t>
      </w:r>
    </w:p>
    <w:p>
      <w:pPr>
        <w:pStyle w:val="ListParagraph"/>
        <w:numPr>
          <w:ilvl w:val="0"/>
          <w:numId w:val="1"/>
        </w:numPr>
        <w:spacing w:after="90" w:line="270"/>
      </w:pPr>
      <w:r>
        <w:t xml:space="preserve">H1 — Drawing Intelligence: turn an electrical drawing into an accurate, evidence-backed quantity takeoff ("how much stuff is there?").</w:t>
      </w:r>
    </w:p>
    <w:p>
      <w:pPr>
        <w:pStyle w:val="ListParagraph"/>
        <w:numPr>
          <w:ilvl w:val="0"/>
          <w:numId w:val="1"/>
        </w:numPr>
        <w:spacing w:after="90" w:line="270"/>
      </w:pPr>
      <w:r>
        <w:t xml:space="preserve">H2 — Engineering &amp; Commercial Intelligence: turn a customer requirement into a configured, priced, ready-to-send proposal ("what should we sell them, and how fast can we quote it?").</w:t>
      </w:r>
    </w:p>
    <w:p>
      <w:pPr>
        <w:pBdr>
          <w:left w:val="single" w:color="2E74B5" w:sz="18" w:space="8"/>
        </w:pBdr>
        <w:shd w:fill="DDEBF7" w:val="clear"/>
        <w:spacing w:after="200" w:before="100"/>
      </w:pPr>
      <w:r>
        <w:rPr>
          <w:b/>
          <w:bCs/>
          <w:i/>
          <w:iCs/>
          <w:color w:val="1F3864"/>
        </w:rPr>
        <w:t xml:space="preserve">Note: </w:t>
      </w:r>
      <w:r>
        <w:rPr>
          <w:i/>
          <w:iCs/>
          <w:color w:val="3B3B3B"/>
        </w:rPr>
        <w:t xml:space="preserve">Both hypotheses are unvalidated. H2 is newer, more exciting to the founder, and rests on much thinner evidence (one phone call) than H1. The project's documentation repeatedly and deliberately guards against letting excitement about H2 outrun the evidence for it.</w:t>
      </w:r>
    </w:p>
    <w:p>
      <w:pPr>
        <w:pStyle w:val="Heading3"/>
        <w:spacing w:after="100" w:before="200"/>
      </w:pPr>
      <w:r>
        <w:t xml:space="preserve">What has happened so far</w:t>
      </w:r>
    </w:p>
    <w:p>
      <w:pPr>
        <w:pStyle w:val="ListParagraph"/>
        <w:numPr>
          <w:ilvl w:val="0"/>
          <w:numId w:val="1"/>
        </w:numPr>
        <w:spacing w:after="90" w:line="270"/>
      </w:pPr>
      <w:r>
        <w:t xml:space="preserve">Secondary research into the market, the competitive landscape, and the labor shortage driving demand for automation.</w:t>
      </w:r>
    </w:p>
    <w:p>
      <w:pPr>
        <w:pStyle w:val="ListParagraph"/>
        <w:numPr>
          <w:ilvl w:val="0"/>
          <w:numId w:val="1"/>
        </w:numPr>
        <w:spacing w:after="90" w:line="270"/>
      </w:pPr>
      <w:r>
        <w:t xml:space="preserve">One structured discovery call with a Business Development Manager at Schneider Electric, which surfaced the H2 hypothesis.</w:t>
      </w:r>
    </w:p>
    <w:p>
      <w:pPr>
        <w:pStyle w:val="ListParagraph"/>
        <w:numPr>
          <w:ilvl w:val="0"/>
          <w:numId w:val="1"/>
        </w:numPr>
        <w:spacing w:after="90" w:line="270"/>
      </w:pPr>
      <w:r>
        <w:t xml:space="preserve">Review of two real historical Bills of Quantities (BOQs) — a data-center project and a precision-cooling (PAC/HVAC) project — used purely as workflow evidence, not customer validation.</w:t>
      </w:r>
    </w:p>
    <w:p>
      <w:pPr>
        <w:pStyle w:val="ListParagraph"/>
        <w:numPr>
          <w:ilvl w:val="0"/>
          <w:numId w:val="1"/>
        </w:numPr>
        <w:spacing w:after="90" w:line="270"/>
      </w:pPr>
      <w:r>
        <w:t xml:space="preserve">A full customer discovery script written for both hypotheses, not yet run against the primary target customers.</w:t>
      </w:r>
    </w:p>
    <w:p>
      <w:pPr>
        <w:spacing w:after="160" w:line="276"/>
      </w:pPr>
      <w:r>
        <w:t xml:space="preserve">The rest of this document walks through the problem, the product idea, the evidence gathered, the competitive landscape, the architecture, the business model, and exactly what has to be proven — in that order — before any of this becomes a company.</w:t>
      </w:r>
    </w:p>
    <w:p>
      <w:pPr>
        <w:pStyle w:val="Heading1"/>
        <w:spacing w:after="200" w:before="400"/>
      </w:pPr>
      <w:r>
        <w:t xml:space="preserve">2. What Is Vectoris?</w:t>
      </w:r>
    </w:p>
    <w:p>
      <w:pPr>
        <w:spacing w:after="160" w:line="276"/>
      </w:pPr>
      <w:r>
        <w:t xml:space="preserve">Vectoris is the working name for a proposed software product aimed at electrical and MEP contractors, OEMs, and system integrators. Its long-term ambition is to take a messy, real-world input — either a set of construction drawings or a plain-language customer requirement — and progressively turn it into a trustworthy, commercially viable technical proposal, without removing the human expert from the loop.</w:t>
      </w:r>
    </w:p>
    <w:p>
      <w:pPr>
        <w:pStyle w:val="Heading3"/>
        <w:spacing w:after="100" w:before="200"/>
      </w:pPr>
      <w:r>
        <w:t xml:space="preserve">The guiding principle</w:t>
      </w:r>
    </w:p>
    <w:p>
      <w:pPr>
        <w:pBdr>
          <w:left w:val="single" w:color="BFBFBF" w:sz="12" w:space="8"/>
        </w:pBdr>
        <w:spacing w:after="200" w:before="100"/>
        <w:ind w:left="400"/>
      </w:pPr>
      <w:r>
        <w:rPr>
          <w:i/>
          <w:iCs/>
        </w:rPr>
        <w:t xml:space="preserve">"AI proposes. The expert decides. The system remembers why."</w:t>
      </w:r>
    </w:p>
    <w:p>
      <w:pPr>
        <w:spacing w:after="160" w:line="276"/>
      </w:pPr>
      <w:r>
        <w:t xml:space="preserve">This principle shows up throughout every document in the project. AI is allowed to produce a first draft of a count, a configuration, or a price — but a human always reviews it, can override it, and every correction is recorded so the system can (eventually) learn from it. AI output is never treated as automatically authoritative.</w:t>
      </w:r>
    </w:p>
    <w:p>
      <w:pPr>
        <w:pStyle w:val="Heading3"/>
        <w:spacing w:after="100" w:before="200"/>
      </w:pPr>
      <w:r>
        <w:t xml:space="preserve">Why now?</w:t>
      </w:r>
    </w:p>
    <w:p>
      <w:pPr>
        <w:pStyle w:val="ListParagraph"/>
        <w:numPr>
          <w:ilvl w:val="0"/>
          <w:numId w:val="1"/>
        </w:numPr>
        <w:spacing w:after="90" w:line="270"/>
      </w:pPr>
      <w:r>
        <w:t xml:space="preserve">Structural labor shortage: the U.S. electrical trade needs roughly 80,000 new electricians a year, but retirements are outpacing new entrants — about 41% of the construction workforce is projected to retire by 2031.</w:t>
      </w:r>
    </w:p>
    <w:p>
      <w:pPr>
        <w:pStyle w:val="ListParagraph"/>
        <w:numPr>
          <w:ilvl w:val="0"/>
          <w:numId w:val="1"/>
        </w:numPr>
        <w:spacing w:after="90" w:line="270"/>
      </w:pPr>
      <w:r>
        <w:t xml:space="preserve">Estimating is still error-prone and slow: manual commercial estimates take an estimated 6–12 hours and secondary sources suggest around 38% contain a pricing error worth more than 5% of the job cost; software-assisted estimating cuts this to roughly 1–3 hours.</w:t>
      </w:r>
    </w:p>
    <w:p>
      <w:pPr>
        <w:pStyle w:val="ListParagraph"/>
        <w:numPr>
          <w:ilvl w:val="0"/>
          <w:numId w:val="1"/>
        </w:numPr>
        <w:spacing w:after="90" w:line="270"/>
      </w:pPr>
      <w:r>
        <w:t xml:space="preserve">AI vision and language models have matured enough that reading engineering drawings and configuring multi-product solutions are now realistic technical targets — but trust, not raw capability, is the primary barrier to adoption in a financially high-stakes field.</w:t>
      </w:r>
    </w:p>
    <w:p>
      <w:pPr>
        <w:pBdr>
          <w:left w:val="single" w:color="2E74B5" w:sz="18" w:space="8"/>
        </w:pBdr>
        <w:shd w:fill="DDEBF7" w:val="clear"/>
        <w:spacing w:after="200" w:before="100"/>
      </w:pPr>
      <w:r>
        <w:rPr>
          <w:b/>
          <w:bCs/>
          <w:i/>
          <w:iCs/>
          <w:color w:val="1F3864"/>
        </w:rPr>
        <w:t xml:space="preserve">Caution: </w:t>
      </w:r>
      <w:r>
        <w:rPr>
          <w:i/>
          <w:iCs/>
          <w:color w:val="3B3B3B"/>
        </w:rPr>
        <w:t xml:space="preserve">Both of the above bullet points about market size and error rates come from secondary industry research, not from Vectoris's own interviews. They are treated as directional context to justify further discovery, not as proven facts.</w:t>
      </w:r>
    </w:p>
    <w:p>
      <w:pPr>
        <w:pStyle w:val="Heading1"/>
        <w:spacing w:after="200" w:before="400"/>
      </w:pPr>
      <w:r>
        <w:t xml:space="preserve">3. The Problem This Project Is Trying to Solve</w:t>
      </w:r>
    </w:p>
    <w:p>
      <w:pPr>
        <w:spacing w:after="160" w:line="276"/>
      </w:pPr>
      <w:r>
        <w:t xml:space="preserve">Two different but related problems are in view, corresponding to the two hypotheses below.</w:t>
      </w:r>
    </w:p>
    <w:p>
      <w:pPr>
        <w:pStyle w:val="Heading2"/>
        <w:spacing w:after="150" w:before="300"/>
      </w:pPr>
      <w:r>
        <w:t xml:space="preserve">3.1 The H1 problem — quantity takeoff is slow and error-prone</w:t>
      </w:r>
    </w:p>
    <w:p>
      <w:pPr>
        <w:spacing w:after="160" w:line="276"/>
      </w:pPr>
      <w:r>
        <w:t xml:space="preserve">A typical electrical bid today looks like this:</w:t>
      </w:r>
    </w:p>
    <w:p>
      <w:pPr>
        <w:pStyle w:val="ListParagraph"/>
        <w:numPr>
          <w:ilvl w:val="0"/>
          <w:numId w:val="1"/>
        </w:numPr>
        <w:spacing w:after="90" w:line="270"/>
      </w:pPr>
      <w:r>
        <w:t xml:space="preserve">Receive a construction drawing package (PDF, CAD, or printed).</w:t>
      </w:r>
    </w:p>
    <w:p>
      <w:pPr>
        <w:pStyle w:val="ListParagraph"/>
        <w:numPr>
          <w:ilvl w:val="0"/>
          <w:numId w:val="1"/>
        </w:numPr>
        <w:spacing w:after="90" w:line="270"/>
      </w:pPr>
      <w:r>
        <w:t xml:space="preserve">Review floor plans, power plans, lighting plans, and single-line diagrams.</w:t>
      </w:r>
    </w:p>
    <w:p>
      <w:pPr>
        <w:pStyle w:val="ListParagraph"/>
        <w:numPr>
          <w:ilvl w:val="0"/>
          <w:numId w:val="1"/>
        </w:numPr>
        <w:spacing w:after="90" w:line="270"/>
      </w:pPr>
      <w:r>
        <w:t xml:space="preserve">Manually identify electrical symbols and components, and count or measure quantities by hand or with a pointer tool.</w:t>
      </w:r>
    </w:p>
    <w:p>
      <w:pPr>
        <w:pStyle w:val="ListParagraph"/>
        <w:numPr>
          <w:ilvl w:val="0"/>
          <w:numId w:val="1"/>
        </w:numPr>
        <w:spacing w:after="90" w:line="270"/>
      </w:pPr>
      <w:r>
        <w:t xml:space="preserve">Transcribe quantities into Excel or estimating software.</w:t>
      </w:r>
    </w:p>
    <w:p>
      <w:pPr>
        <w:pStyle w:val="ListParagraph"/>
        <w:numPr>
          <w:ilvl w:val="0"/>
          <w:numId w:val="1"/>
        </w:numPr>
        <w:spacing w:after="90" w:line="270"/>
      </w:pPr>
      <w:r>
        <w:t xml:space="preserve">Apply labor assumptions and material prices, recheck for errors, and submit the bid.</w:t>
      </w:r>
    </w:p>
    <w:p>
      <w:pPr>
        <w:spacing w:after="160" w:line="276"/>
      </w:pPr>
      <w:r>
        <w:t xml:space="preserve">Even at firms that already use dedicated estimating software, much of this still depends on manual review, spreadsheets, and individual judgment.</w:t>
      </w:r>
    </w:p>
    <w:p>
      <w:pPr>
        <w:pStyle w:val="Heading2"/>
        <w:spacing w:after="150" w:before="300"/>
      </w:pPr>
      <w:r>
        <w:t xml:space="preserve">3.2 The H2 problem — assembling a multi-vendor solution and quote is slow</w:t>
      </w:r>
    </w:p>
    <w:p>
      <w:pPr>
        <w:spacing w:after="160" w:line="276"/>
      </w:pPr>
      <w:r>
        <w:t xml:space="preserve">A discovery call with a Business Development Manager at Schneider Electric described a different, later-stage problem: once a customer requirement comes in, a company has to design a solution that spans multiple product lines (UPS, precision cooling, power distribution, racks, and more), get pricing from each internal team, and then negotiate down to a number the customer will accept.</w:t>
      </w:r>
    </w:p>
    <w:p>
      <w:pPr>
        <w:spacing w:after="160" w:line="276"/>
      </w:pPr>
      <w:r>
        <w:t xml:space="preserve">Two very different bottlenecks emerged from that call, and the project's documentation is emphatic that they must not be treated as the same problem: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3400"/>
      </w:tblGrid>
      <w:tr>
        <w:trPr>
          <w:tblHeader/>
        </w:trPr>
        <w:tc>
          <w:tcPr>
            <w:tcW w:type="dxa" w:w="4600"/>
            <w:shd w:fill="1F3864" w:val="clear"/>
            <w:tcMar>
              <w:top w:type="dxa" w:w="80"/>
              <w:left w:type="dxa" w:w="100"/>
              <w:bottom w:type="dxa" w:w="80"/>
              <w:right w:type="dxa" w:w="100"/>
            </w:tcMar>
          </w:tcPr>
          <w:p>
            <w:pPr>
              <w:jc w:val="left"/>
            </w:pPr>
            <w:r>
              <w:rPr>
                <w:b/>
                <w:bCs/>
                <w:color w:val="FFFFFF"/>
                <w:sz w:val="20"/>
                <w:szCs w:val="20"/>
              </w:rPr>
              <w:t xml:space="preserve">Step</w:t>
            </w:r>
          </w:p>
        </w:tc>
        <w:tc>
          <w:tcPr>
            <w:tcW w:type="dxa" w:w="2000"/>
            <w:shd w:fill="1F3864" w:val="clear"/>
            <w:tcMar>
              <w:top w:type="dxa" w:w="80"/>
              <w:left w:type="dxa" w:w="100"/>
              <w:bottom w:type="dxa" w:w="80"/>
              <w:right w:type="dxa" w:w="100"/>
            </w:tcMar>
          </w:tcPr>
          <w:p>
            <w:pPr>
              <w:jc w:val="left"/>
            </w:pPr>
            <w:r>
              <w:rPr>
                <w:b/>
                <w:bCs/>
                <w:color w:val="FFFFFF"/>
                <w:sz w:val="20"/>
                <w:szCs w:val="20"/>
              </w:rPr>
              <w:t xml:space="preserve">Time observed</w:t>
            </w:r>
          </w:p>
        </w:tc>
        <w:tc>
          <w:tcPr>
            <w:tcW w:type="dxa" w:w="3400"/>
            <w:shd w:fill="1F3864" w:val="clear"/>
            <w:tcMar>
              <w:top w:type="dxa" w:w="80"/>
              <w:left w:type="dxa" w:w="100"/>
              <w:bottom w:type="dxa" w:w="80"/>
              <w:right w:type="dxa" w:w="100"/>
            </w:tcMar>
          </w:tcPr>
          <w:p>
            <w:pPr>
              <w:jc w:val="left"/>
            </w:pPr>
            <w:r>
              <w:rPr>
                <w:b/>
                <w:bCs/>
                <w:color w:val="FFFFFF"/>
                <w:sz w:val="20"/>
                <w:szCs w:val="20"/>
              </w:rPr>
              <w:t xml:space="preserve">What is actually happening</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Solution assembly / pricing compilation</w:t>
            </w:r>
          </w:p>
        </w:tc>
        <w:tc>
          <w:tcPr>
            <w:tcW w:type="dxa" w:w="2000"/>
            <w:tcMar>
              <w:top w:type="dxa" w:w="80"/>
              <w:left w:type="dxa" w:w="100"/>
              <w:bottom w:type="dxa" w:w="80"/>
              <w:right w:type="dxa" w:w="100"/>
            </w:tcMar>
          </w:tcPr>
          <w:p>
            <w:pPr>
              <w:jc w:val="left"/>
            </w:pPr>
            <w:r>
              <w:rPr>
                <w:b w:val="false"/>
                <w:bCs w:val="false"/>
                <w:color w:val="000000"/>
                <w:sz w:val="20"/>
                <w:szCs w:val="20"/>
              </w:rPr>
              <w:t xml:space="preserve">2–3 days</w:t>
            </w:r>
          </w:p>
        </w:tc>
        <w:tc>
          <w:tcPr>
            <w:tcW w:type="dxa" w:w="3400"/>
            <w:tcMar>
              <w:top w:type="dxa" w:w="80"/>
              <w:left w:type="dxa" w:w="100"/>
              <w:bottom w:type="dxa" w:w="80"/>
              <w:right w:type="dxa" w:w="100"/>
            </w:tcMar>
          </w:tcPr>
          <w:p>
            <w:pPr>
              <w:jc w:val="left"/>
            </w:pPr>
            <w:r>
              <w:rPr>
                <w:b w:val="false"/>
                <w:bCs w:val="false"/>
                <w:color w:val="000000"/>
                <w:sz w:val="20"/>
                <w:szCs w:val="20"/>
              </w:rPr>
              <w:t xml:space="preserve">Assembling a multi-product-line solution and BOQ across several internal teams. A computation / configuration problem.</w:t>
            </w:r>
          </w:p>
        </w:tc>
      </w:tr>
      <w:tr>
        <w:tc>
          <w:tcPr>
            <w:tcW w:type="dxa" w:w="4600"/>
            <w:shd w:fill="F2F2F2" w:val="clear"/>
            <w:tcMar>
              <w:top w:type="dxa" w:w="80"/>
              <w:left w:type="dxa" w:w="100"/>
              <w:bottom w:type="dxa" w:w="80"/>
              <w:right w:type="dxa" w:w="100"/>
            </w:tcMar>
          </w:tcPr>
          <w:p>
            <w:pPr>
              <w:jc w:val="left"/>
            </w:pPr>
            <w:r>
              <w:rPr>
                <w:b w:val="false"/>
                <w:bCs w:val="false"/>
                <w:color w:val="000000"/>
                <w:sz w:val="20"/>
                <w:szCs w:val="20"/>
              </w:rPr>
              <w:t xml:space="preserve">Negotiation to customer's target price</w:t>
            </w:r>
          </w:p>
        </w:tc>
        <w:tc>
          <w:tcPr>
            <w:tcW w:type="dxa" w:w="2000"/>
            <w:shd w:fill="F2F2F2" w:val="clear"/>
            <w:tcMar>
              <w:top w:type="dxa" w:w="80"/>
              <w:left w:type="dxa" w:w="100"/>
              <w:bottom w:type="dxa" w:w="80"/>
              <w:right w:type="dxa" w:w="100"/>
            </w:tcMar>
          </w:tcPr>
          <w:p>
            <w:pPr>
              <w:jc w:val="left"/>
            </w:pPr>
            <w:r>
              <w:rPr>
                <w:b w:val="false"/>
                <w:bCs w:val="false"/>
                <w:color w:val="000000"/>
                <w:sz w:val="20"/>
                <w:szCs w:val="20"/>
              </w:rPr>
              <w:t xml:space="preserve">Up to ~1 week</w:t>
            </w:r>
          </w:p>
        </w:tc>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Not about calculating a price — the price already exists. It's an internal approval process to release margin, based on company P&amp;L flexibility.</w:t>
            </w:r>
          </w:p>
        </w:tc>
      </w:tr>
    </w:tbl>
    <w:p>
      <w:pPr>
        <w:spacing w:after="100"/>
      </w:pPr>
    </w:p>
    <w:p>
      <w:pPr>
        <w:pBdr>
          <w:left w:val="single" w:color="2E74B5" w:sz="18" w:space="8"/>
        </w:pBdr>
        <w:shd w:fill="DDEBF7" w:val="clear"/>
        <w:spacing w:after="200" w:before="100"/>
      </w:pPr>
      <w:r>
        <w:rPr>
          <w:b/>
          <w:bCs/>
          <w:i/>
          <w:iCs/>
          <w:color w:val="1F3864"/>
        </w:rPr>
        <w:t xml:space="preserve">Note: </w:t>
      </w:r>
      <w:r>
        <w:rPr>
          <w:i/>
          <w:iCs/>
          <w:color w:val="3B3B3B"/>
        </w:rPr>
        <w:t xml:space="preserve">The unit price itself is available "within a second" from an internal portal at this OEM — pricing lookup is not the bottleneck at all. This is a specific and important finding, not a general assumption about all companies.</w:t>
      </w:r>
    </w:p>
    <w:p>
      <w:pPr>
        <w:pStyle w:val="Heading1"/>
        <w:spacing w:after="200" w:before="400"/>
      </w:pPr>
      <w:r>
        <w:t xml:space="preserve">4. The Two Hypotheses — H1 and H2</w:t>
      </w:r>
    </w:p>
    <w:p>
      <w:pPr>
        <w:spacing w:after="160" w:line="276"/>
      </w:pPr>
      <w:r>
        <w:t xml:space="preserve">Vectoris is built around two entry points into one merged pipeline (the merge is a decided architecture — see Section 4.3), rather than betting everything on a single idea up front.</w:t>
      </w:r>
    </w:p>
    <w:p>
      <w:pPr>
        <w:pStyle w:val="Heading2"/>
        <w:spacing w:after="150" w:before="300"/>
      </w:pPr>
      <w:r>
        <w:t xml:space="preserve">4.1 H1 — Drawing Intelligence (formerly "AI Electrical Takeoff")</w:t>
      </w:r>
    </w:p>
    <w:p>
      <w:pPr>
        <w:pStyle w:val="ListParagraph"/>
        <w:numPr>
          <w:ilvl w:val="0"/>
          <w:numId w:val="1"/>
        </w:numPr>
        <w:spacing w:after="90" w:line="270"/>
      </w:pPr>
      <w:r>
        <w:t xml:space="preserve">Flow: Drawing → detected components → verified quantities → evidence-backed line items.</w:t>
      </w:r>
    </w:p>
    <w:p>
      <w:pPr>
        <w:pStyle w:val="ListParagraph"/>
        <w:numPr>
          <w:ilvl w:val="0"/>
          <w:numId w:val="1"/>
        </w:numPr>
        <w:spacing w:after="90" w:line="270"/>
      </w:pPr>
      <w:r>
        <w:t xml:space="preserve">The job it does: "How much stuff is there, and what is it?"</w:t>
      </w:r>
    </w:p>
    <w:p>
      <w:pPr>
        <w:pStyle w:val="ListParagraph"/>
        <w:numPr>
          <w:ilvl w:val="0"/>
          <w:numId w:val="1"/>
        </w:numPr>
        <w:spacing w:after="90" w:line="270"/>
      </w:pPr>
      <w:r>
        <w:t xml:space="preserve">Status: the original thesis, and the one with a full discovery script and MVP scope already defined.</w:t>
      </w:r>
    </w:p>
    <w:p>
      <w:pPr>
        <w:pStyle w:val="ListParagraph"/>
        <w:numPr>
          <w:ilvl w:val="0"/>
          <w:numId w:val="1"/>
        </w:numPr>
        <w:spacing w:after="90" w:line="270"/>
      </w:pPr>
      <w:r>
        <w:t xml:space="preserve">Competitive reality: crowded. Several funded competitors already ship "AI takeoff + human review" today (see Section 6).</w:t>
      </w:r>
    </w:p>
    <w:p>
      <w:pPr>
        <w:pStyle w:val="Heading2"/>
        <w:spacing w:after="150" w:before="300"/>
      </w:pPr>
      <w:r>
        <w:t xml:space="preserve">4.2 H2 — Engineering &amp; Commercial Intelligence (formerly "AI Solution / Quotation Engineer")</w:t>
      </w:r>
    </w:p>
    <w:p>
      <w:pPr>
        <w:pStyle w:val="ListParagraph"/>
        <w:numPr>
          <w:ilvl w:val="0"/>
          <w:numId w:val="1"/>
        </w:numPr>
        <w:spacing w:after="90" w:line="270"/>
      </w:pPr>
      <w:r>
        <w:t xml:space="preserve">Flow: Line items + project context + company data → application/where-used → product selection → BOQ → current pricing → cost/commercial output → techno-commercial proposal → human review.</w:t>
      </w:r>
    </w:p>
    <w:p>
      <w:pPr>
        <w:pStyle w:val="ListParagraph"/>
        <w:numPr>
          <w:ilvl w:val="0"/>
          <w:numId w:val="1"/>
        </w:numPr>
        <w:spacing w:after="90" w:line="270"/>
      </w:pPr>
      <w:r>
        <w:t xml:space="preserve">The job it does: "What should we actually sell the customer, and can we get them a proposal fast?"</w:t>
      </w:r>
    </w:p>
    <w:p>
      <w:pPr>
        <w:pStyle w:val="ListParagraph"/>
        <w:numPr>
          <w:ilvl w:val="0"/>
          <w:numId w:val="1"/>
        </w:numPr>
        <w:spacing w:after="90" w:line="270"/>
      </w:pPr>
      <w:r>
        <w:t xml:space="preserve">Why it's interesting: it sits closer to the revenue-generating decision than takeoff does, and the one discovery call so far suggests the underlying pain gets worse, not better, at smaller companies — they do the same job as a large OEM's whole department with one or two people.</w:t>
      </w:r>
    </w:p>
    <w:p>
      <w:pPr>
        <w:pStyle w:val="ListParagraph"/>
        <w:numPr>
          <w:ilvl w:val="0"/>
          <w:numId w:val="1"/>
        </w:numPr>
        <w:spacing w:after="90" w:line="270"/>
      </w:pPr>
      <w:r>
        <w:t xml:space="preserve">Why it's risky: this is not empty space. It closely matches an existing, mature enterprise software category called Configure-Price-Quote (CPQ), with deep incumbents already selling almost exactly this idea (see Section 6.2).</w:t>
      </w:r>
    </w:p>
    <w:p>
      <w:pPr>
        <w:pStyle w:val="Heading2"/>
        <w:spacing w:after="150" w:before="300"/>
      </w:pPr>
      <w:r>
        <w:t xml:space="preserve">4.3 How H1 and H2 relate to each other — decided: they are merging</w:t>
      </w:r>
    </w:p>
    <w:p>
      <w:pPr>
        <w:spacing w:after="160" w:line="276"/>
      </w:pPr>
      <w:r>
        <w:t xml:space="preserve">Originally, H1 and H2 were framed as two competing product bets — pick one. After reviewing two real historical BOQs (Section 5), the founder made a firm decision: H1 and H2 are merging into a single pipeline with two entry points, rather than remaining two alternative products to choose between. This is a settled architectural call, not a maybe.</w:t>
      </w:r>
    </w:p>
    <w:p>
      <w:pPr>
        <w:spacing w:after="160" w:line="276"/>
      </w:pPr>
      <w:r>
        <w:rPr>
          <w:i/>
          <w:iCs/>
        </w:rPr>
        <w:t xml:space="preserve">Project → understand scope → extract requirements/quantities → determine application/where used → map to products/materials → BOQ → current company pricing → cost/commercial output</w:t>
      </w:r>
    </w:p>
    <w:p>
      <w:pPr>
        <w:pBdr>
          <w:left w:val="single" w:color="2E74B5" w:sz="18" w:space="8"/>
        </w:pBdr>
        <w:shd w:fill="DDEBF7" w:val="clear"/>
        <w:spacing w:after="200" w:before="100"/>
      </w:pPr>
      <w:r>
        <w:rPr>
          <w:b/>
          <w:bCs/>
          <w:i/>
          <w:iCs/>
          <w:color w:val="1F3864"/>
        </w:rPr>
        <w:t xml:space="preserve">Note: </w:t>
      </w:r>
      <w:r>
        <w:rPr>
          <w:i/>
          <w:iCs/>
          <w:color w:val="3B3B3B"/>
        </w:rPr>
        <w:t xml:space="preserve">What is decided: the pipeline shape — that a drawing-derived line item (H1) and a requirement-derived line item (H2) converge on the same downstream structure. What is NOT decided by this: whether real customers feel this pain, which entry point they'd start from, whether they'd pay for it, or what gets built next. Those remain open questions for discovery, and the project's evidence discipline still applies to them in full. The merge does not change what's currently authorized to build — that is still H1's narrow takeoff-only MVP, now understood as stage one of the merged pipeline rather than one of two competing bets.</w:t>
      </w:r>
    </w:p>
    <w:p>
      <w:pPr>
        <w:pStyle w:val="Heading1"/>
        <w:spacing w:after="200" w:before="400"/>
      </w:pPr>
      <w:r>
        <w:t xml:space="preserve">5. Historical BOQ Evidence</w:t>
      </w:r>
    </w:p>
    <w:p>
      <w:pPr>
        <w:spacing w:after="160" w:line="276"/>
      </w:pPr>
      <w:r>
        <w:t xml:space="preserve">To ground the discussion in something more concrete than opinions, the team reviewed two real, completed Bills of Quantities (BOQs):</w:t>
      </w:r>
    </w:p>
    <w:p>
      <w:pPr>
        <w:pStyle w:val="ListParagraph"/>
        <w:numPr>
          <w:ilvl w:val="0"/>
          <w:numId w:val="1"/>
        </w:numPr>
        <w:spacing w:after="90" w:line="270"/>
      </w:pPr>
      <w:r>
        <w:t xml:space="preserve">GB 300 — a data-center electrical/infrastructure BOQ.</w:t>
      </w:r>
    </w:p>
    <w:p>
      <w:pPr>
        <w:pStyle w:val="ListParagraph"/>
        <w:numPr>
          <w:ilvl w:val="0"/>
          <w:numId w:val="1"/>
        </w:numPr>
        <w:spacing w:after="90" w:line="270"/>
      </w:pPr>
      <w:r>
        <w:t xml:space="preserve">Emerson Climate Technologies (Noida) — a PAC/HVAC precision-cooling infrastructure BOQ.</w:t>
      </w:r>
    </w:p>
    <w:p>
      <w:pPr>
        <w:pBdr>
          <w:left w:val="single" w:color="2E74B5" w:sz="18" w:space="8"/>
        </w:pBdr>
        <w:shd w:fill="DDEBF7" w:val="clear"/>
        <w:spacing w:after="200" w:before="100"/>
      </w:pPr>
      <w:r>
        <w:rPr>
          <w:b/>
          <w:bCs/>
          <w:i/>
          <w:iCs/>
          <w:color w:val="1F3864"/>
        </w:rPr>
        <w:t xml:space="preserve">Caution: </w:t>
      </w:r>
      <w:r>
        <w:rPr>
          <w:i/>
          <w:iCs/>
          <w:color w:val="3B3B3B"/>
        </w:rPr>
        <w:t xml:space="preserve">These two documents are evidence about workflow, structure, and terminology — not evidence about the market. Two documents cannot establish what customers need or would pay for. Every observation below is "this is what these two documents contain," not "this is what the market looks like."</w:t>
      </w:r>
    </w:p>
    <w:p>
      <w:pPr>
        <w:pStyle w:val="Heading3"/>
        <w:spacing w:after="100" w:before="200"/>
      </w:pPr>
      <w:r>
        <w:t xml:space="preserve">What the BOQs showed</w:t>
      </w:r>
    </w:p>
    <w:p>
      <w:pPr>
        <w:pStyle w:val="ListParagraph"/>
        <w:numPr>
          <w:ilvl w:val="0"/>
          <w:numId w:val="1"/>
        </w:numPr>
        <w:spacing w:after="90" w:line="270"/>
      </w:pPr>
      <w:r>
        <w:t xml:space="preserve">Real line items carry application context, not just a product name and a count — for example, a specific cable gauge described by its role, such as powering a PAC unit's indoor-to-outdoor connection.</w:t>
      </w:r>
    </w:p>
    <w:p>
      <w:pPr>
        <w:pStyle w:val="ListParagraph"/>
        <w:numPr>
          <w:ilvl w:val="0"/>
          <w:numId w:val="1"/>
        </w:numPr>
        <w:spacing w:after="90" w:line="270"/>
      </w:pPr>
      <w:r>
        <w:t xml:space="preserve">BOQs mix material, accessory, fabrication, and installation/testing/commissioning items in one structure.</w:t>
      </w:r>
    </w:p>
    <w:p>
      <w:pPr>
        <w:pStyle w:val="ListParagraph"/>
        <w:numPr>
          <w:ilvl w:val="0"/>
          <w:numId w:val="1"/>
        </w:numPr>
        <w:spacing w:after="90" w:line="270"/>
      </w:pPr>
      <w:r>
        <w:t xml:space="preserve">Categories observed: UPS/power distribution, panels and protection, cable and cable-tray systems, chiller/pump electrical work, precision cooling infrastructure, refrigerant piping, drainage, and humidifier-related utilities.</w:t>
      </w:r>
    </w:p>
    <w:p>
      <w:pPr>
        <w:pStyle w:val="Heading3"/>
        <w:spacing w:after="100" w:before="200"/>
      </w:pPr>
      <w:r>
        <w:t xml:space="preserve">A worked example, showing why a line item needs more than a count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3864" w:val="clear"/>
            <w:tcMar>
              <w:top w:type="dxa" w:w="80"/>
              <w:left w:type="dxa" w:w="100"/>
              <w:bottom w:type="dxa" w:w="80"/>
              <w:right w:type="dxa" w:w="100"/>
            </w:tcMar>
          </w:tcPr>
          <w:p>
            <w:pPr>
              <w:jc w:val="left"/>
            </w:pPr>
            <w:r>
              <w:rPr>
                <w:b/>
                <w:bCs/>
                <w:color w:val="FFFFFF"/>
                <w:sz w:val="20"/>
                <w:szCs w:val="20"/>
              </w:rPr>
              <w:t xml:space="preserve">Stage</w:t>
            </w:r>
          </w:p>
        </w:tc>
        <w:tc>
          <w:tcPr>
            <w:tcW w:type="dxa" w:w="7000"/>
            <w:shd w:fill="1F3864" w:val="clear"/>
            <w:tcMar>
              <w:top w:type="dxa" w:w="80"/>
              <w:left w:type="dxa" w:w="100"/>
              <w:bottom w:type="dxa" w:w="80"/>
              <w:right w:type="dxa" w:w="100"/>
            </w:tcMar>
          </w:tcPr>
          <w:p>
            <w:pPr>
              <w:jc w:val="left"/>
            </w:pPr>
            <w:r>
              <w:rPr>
                <w:b/>
                <w:bCs/>
                <w:color w:val="FFFFFF"/>
                <w:sz w:val="20"/>
                <w:szCs w:val="20"/>
              </w:rPr>
              <w:t xml:space="preserve">Example content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Raw Takeoff (what H1's MVP produces)</w:t>
            </w:r>
          </w:p>
        </w:tc>
        <w:tc>
          <w:tcPr>
            <w:tcW w:type="dxa" w:w="7000"/>
            <w:tcMar>
              <w:top w:type="dxa" w:w="80"/>
              <w:left w:type="dxa" w:w="100"/>
              <w:bottom w:type="dxa" w:w="80"/>
              <w:right w:type="dxa" w:w="100"/>
            </w:tcMar>
          </w:tcPr>
          <w:p>
            <w:pPr>
              <w:jc w:val="left"/>
            </w:pPr>
            <w:r>
              <w:rPr>
                <w:b w:val="false"/>
                <w:bCs w:val="false"/>
                <w:color w:val="000000"/>
                <w:sz w:val="20"/>
                <w:szCs w:val="20"/>
              </w:rPr>
              <w:t xml:space="preserve">Item: Power Cable · Spec: 4C x 16 sq.mm · Qty: 22.5 · UOM: MTR · Source: Drawing E-XXX</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Engineering Line Item (future enrichment)</w:t>
            </w:r>
          </w:p>
        </w:tc>
        <w:tc>
          <w:tcPr>
            <w:tcW w:type="dxa" w:w="7000"/>
            <w:shd w:fill="F2F2F2" w:val="clear"/>
            <w:tcMar>
              <w:top w:type="dxa" w:w="80"/>
              <w:left w:type="dxa" w:w="100"/>
              <w:bottom w:type="dxa" w:w="80"/>
              <w:right w:type="dxa" w:w="100"/>
            </w:tcMar>
          </w:tcPr>
          <w:p>
            <w:pPr>
              <w:jc w:val="left"/>
            </w:pPr>
            <w:r>
              <w:rPr>
                <w:b w:val="false"/>
                <w:bCs w:val="false"/>
                <w:color w:val="000000"/>
                <w:sz w:val="20"/>
                <w:szCs w:val="20"/>
              </w:rPr>
              <w:t xml:space="preserve">Application: PAC unit power supply · Where Used: Indoor → Outdoor connection · Project Type: Precision Cooling</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BOQ Line (future enrichment)</w:t>
            </w:r>
          </w:p>
        </w:tc>
        <w:tc>
          <w:tcPr>
            <w:tcW w:type="dxa" w:w="7000"/>
            <w:tcMar>
              <w:top w:type="dxa" w:w="80"/>
              <w:left w:type="dxa" w:w="100"/>
              <w:bottom w:type="dxa" w:w="80"/>
              <w:right w:type="dxa" w:w="100"/>
            </w:tcMar>
          </w:tcPr>
          <w:p>
            <w:pPr>
              <w:jc w:val="left"/>
            </w:pPr>
            <w:r>
              <w:rPr>
                <w:b w:val="false"/>
                <w:bCs w:val="false"/>
                <w:color w:val="000000"/>
                <w:sz w:val="20"/>
                <w:szCs w:val="20"/>
              </w:rPr>
              <w:t xml:space="preserve">Company Product: [matched SKU] · Quantity: 22.5 MTR · Current Unit Price: [retrieved] · Total: [calculated]</w:t>
            </w:r>
          </w:p>
        </w:tc>
      </w:tr>
    </w:tbl>
    <w:p>
      <w:pPr>
        <w:spacing w:after="100"/>
      </w:pPr>
    </w:p>
    <w:p>
      <w:pPr>
        <w:pBdr>
          <w:left w:val="single" w:color="2E74B5" w:sz="18" w:space="8"/>
        </w:pBdr>
        <w:shd w:fill="DDEBF7" w:val="clear"/>
        <w:spacing w:after="200" w:before="100"/>
      </w:pPr>
      <w:r>
        <w:rPr>
          <w:b/>
          <w:bCs/>
          <w:i/>
          <w:iCs/>
          <w:color w:val="1F3864"/>
        </w:rPr>
        <w:t xml:space="preserve">Note: </w:t>
      </w:r>
      <w:r>
        <w:rPr>
          <w:i/>
          <w:iCs/>
          <w:color w:val="3B3B3B"/>
        </w:rPr>
        <w:t xml:space="preserve">This chain is illustrative of a possible future pipeline. The current MVP only produces the first stage (Raw Takeoff). The enrichment stages are explicitly future scope.</w:t>
      </w:r>
    </w:p>
    <w:p>
      <w:pPr>
        <w:pStyle w:val="Heading3"/>
        <w:spacing w:after="100" w:before="200"/>
      </w:pPr>
      <w:r>
        <w:t xml:space="preserve">Project classification — a new concept this evidence introduced</w:t>
      </w:r>
    </w:p>
    <w:p>
      <w:pPr>
        <w:spacing w:after="160" w:line="276"/>
      </w:pPr>
      <w:r>
        <w:t xml:space="preserve">Reviewing the BOQs exposed a gap: the project previously had no explicit concept of "project type" as something the system should reason about. The evidence suggests project type shapes almost everything downstream — which systems are in scope, which engineering rules apply, and what categories of line items to expect.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3864" w:val="clear"/>
            <w:tcMar>
              <w:top w:type="dxa" w:w="80"/>
              <w:left w:type="dxa" w:w="100"/>
              <w:bottom w:type="dxa" w:w="80"/>
              <w:right w:type="dxa" w:w="100"/>
            </w:tcMar>
          </w:tcPr>
          <w:p>
            <w:pPr>
              <w:jc w:val="left"/>
            </w:pPr>
            <w:r>
              <w:rPr>
                <w:b/>
                <w:bCs/>
                <w:color w:val="FFFFFF"/>
                <w:sz w:val="20"/>
                <w:szCs w:val="20"/>
              </w:rPr>
              <w:t xml:space="preserve">Project class</w:t>
            </w:r>
          </w:p>
        </w:tc>
        <w:tc>
          <w:tcPr>
            <w:tcW w:type="dxa" w:w="5500"/>
            <w:shd w:fill="1F3864" w:val="clear"/>
            <w:tcMar>
              <w:top w:type="dxa" w:w="80"/>
              <w:left w:type="dxa" w:w="100"/>
              <w:bottom w:type="dxa" w:w="80"/>
              <w:right w:type="dxa" w:w="100"/>
            </w:tcMar>
          </w:tcPr>
          <w:p>
            <w:pPr>
              <w:jc w:val="left"/>
            </w:pPr>
            <w:r>
              <w:rPr>
                <w:b/>
                <w:bCs/>
                <w:color w:val="FFFFFF"/>
                <w:sz w:val="20"/>
                <w:szCs w:val="20"/>
              </w:rPr>
              <w:t xml:space="preserve">Evidence</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Data Center / Critical Infrastructure</w:t>
            </w:r>
          </w:p>
        </w:tc>
        <w:tc>
          <w:tcPr>
            <w:tcW w:type="dxa" w:w="5500"/>
            <w:tcMar>
              <w:top w:type="dxa" w:w="80"/>
              <w:left w:type="dxa" w:w="100"/>
              <w:bottom w:type="dxa" w:w="80"/>
              <w:right w:type="dxa" w:w="100"/>
            </w:tcMar>
          </w:tcPr>
          <w:p>
            <w:pPr>
              <w:jc w:val="left"/>
            </w:pPr>
            <w:r>
              <w:rPr>
                <w:b w:val="false"/>
                <w:bCs w:val="false"/>
                <w:color w:val="000000"/>
                <w:sz w:val="20"/>
                <w:szCs w:val="20"/>
              </w:rPr>
              <w:t xml:space="preserve">GB 300 BOQ</w:t>
            </w:r>
          </w:p>
        </w:tc>
      </w:tr>
      <w:tr>
        <w:tc>
          <w:tcPr>
            <w:tcW w:type="dxa" w:w="4500"/>
            <w:shd w:fill="F2F2F2" w:val="clear"/>
            <w:tcMar>
              <w:top w:type="dxa" w:w="80"/>
              <w:left w:type="dxa" w:w="100"/>
              <w:bottom w:type="dxa" w:w="80"/>
              <w:right w:type="dxa" w:w="100"/>
            </w:tcMar>
          </w:tcPr>
          <w:p>
            <w:pPr>
              <w:jc w:val="left"/>
            </w:pPr>
            <w:r>
              <w:rPr>
                <w:b w:val="false"/>
                <w:bCs w:val="false"/>
                <w:color w:val="000000"/>
                <w:sz w:val="20"/>
                <w:szCs w:val="20"/>
              </w:rPr>
              <w:t xml:space="preserve">PAC / Precision Cooling / HVAC infrastructure</w:t>
            </w:r>
          </w:p>
        </w:tc>
        <w:tc>
          <w:tcPr>
            <w:tcW w:type="dxa" w:w="5500"/>
            <w:shd w:fill="F2F2F2" w:val="clear"/>
            <w:tcMar>
              <w:top w:type="dxa" w:w="80"/>
              <w:left w:type="dxa" w:w="100"/>
              <w:bottom w:type="dxa" w:w="80"/>
              <w:right w:type="dxa" w:w="100"/>
            </w:tcMar>
          </w:tcPr>
          <w:p>
            <w:pPr>
              <w:jc w:val="left"/>
            </w:pPr>
            <w:r>
              <w:rPr>
                <w:b w:val="false"/>
                <w:bCs w:val="false"/>
                <w:color w:val="000000"/>
                <w:sz w:val="20"/>
                <w:szCs w:val="20"/>
              </w:rPr>
              <w:t xml:space="preserve">Emerson BOQ</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Electrical infrastructure</w:t>
            </w:r>
          </w:p>
        </w:tc>
        <w:tc>
          <w:tcPr>
            <w:tcW w:type="dxa" w:w="5500"/>
            <w:tcMar>
              <w:top w:type="dxa" w:w="80"/>
              <w:left w:type="dxa" w:w="100"/>
              <w:bottom w:type="dxa" w:w="80"/>
              <w:right w:type="dxa" w:w="100"/>
            </w:tcMar>
          </w:tcPr>
          <w:p>
            <w:pPr>
              <w:jc w:val="left"/>
            </w:pPr>
            <w:r>
              <w:rPr>
                <w:b w:val="false"/>
                <w:bCs w:val="false"/>
                <w:color w:val="000000"/>
                <w:sz w:val="20"/>
                <w:szCs w:val="20"/>
              </w:rPr>
              <w:t xml:space="preserve">Both</w:t>
            </w:r>
          </w:p>
        </w:tc>
      </w:tr>
      <w:tr>
        <w:tc>
          <w:tcPr>
            <w:tcW w:type="dxa" w:w="4500"/>
            <w:shd w:fill="F2F2F2" w:val="clear"/>
            <w:tcMar>
              <w:top w:type="dxa" w:w="80"/>
              <w:left w:type="dxa" w:w="100"/>
              <w:bottom w:type="dxa" w:w="80"/>
              <w:right w:type="dxa" w:w="100"/>
            </w:tcMar>
          </w:tcPr>
          <w:p>
            <w:pPr>
              <w:jc w:val="left"/>
            </w:pPr>
            <w:r>
              <w:rPr>
                <w:b w:val="false"/>
                <w:bCs w:val="false"/>
                <w:color w:val="000000"/>
                <w:sz w:val="20"/>
                <w:szCs w:val="20"/>
              </w:rPr>
              <w:t xml:space="preserve">Mechanical-electrical interface</w:t>
            </w:r>
          </w:p>
        </w:tc>
        <w:tc>
          <w:tcPr>
            <w:tcW w:type="dxa" w:w="5500"/>
            <w:shd w:fill="F2F2F2" w:val="clear"/>
            <w:tcMar>
              <w:top w:type="dxa" w:w="80"/>
              <w:left w:type="dxa" w:w="100"/>
              <w:bottom w:type="dxa" w:w="80"/>
              <w:right w:type="dxa" w:w="100"/>
            </w:tcMar>
          </w:tcPr>
          <w:p>
            <w:pPr>
              <w:jc w:val="left"/>
            </w:pPr>
            <w:r>
              <w:rPr>
                <w:b w:val="false"/>
                <w:bCs w:val="false"/>
                <w:color w:val="000000"/>
                <w:sz w:val="20"/>
                <w:szCs w:val="20"/>
              </w:rPr>
              <w:t xml:space="preserve">Both</w:t>
            </w:r>
          </w:p>
        </w:tc>
      </w:tr>
    </w:tbl>
    <w:p>
      <w:pPr>
        <w:spacing w:after="100"/>
      </w:pPr>
    </w:p>
    <w:p>
      <w:pPr>
        <w:pBdr>
          <w:left w:val="single" w:color="2E74B5" w:sz="18" w:space="8"/>
        </w:pBdr>
        <w:shd w:fill="DDEBF7" w:val="clear"/>
        <w:spacing w:after="200" w:before="100"/>
      </w:pPr>
      <w:r>
        <w:rPr>
          <w:b/>
          <w:bCs/>
          <w:i/>
          <w:iCs/>
          <w:color w:val="1F3864"/>
        </w:rPr>
        <w:t xml:space="preserve">Caution: </w:t>
      </w:r>
      <w:r>
        <w:rPr>
          <w:i/>
          <w:iCs/>
          <w:color w:val="3B3B3B"/>
        </w:rPr>
        <w:t xml:space="preserve">Label this table "observed in two historical BOQs," never "target market segments." It is only the two project types anyone has looked at so far.</w:t>
      </w:r>
    </w:p>
    <w:p>
      <w:pPr>
        <w:pStyle w:val="Heading1"/>
        <w:spacing w:after="200" w:before="400"/>
      </w:pPr>
      <w:r>
        <w:t xml:space="preserve">6. Competitive Landscape</w:t>
      </w:r>
    </w:p>
    <w:p>
      <w:pPr>
        <w:spacing w:after="160" w:line="276"/>
      </w:pPr>
      <w:r>
        <w:t xml:space="preserve">A recurring theme across every document in this project is honesty about competition. Neither H1 nor H2 is empty whitespace, and the documentation is explicit that this must shape how differentiation is framed.</w:t>
      </w:r>
    </w:p>
    <w:p>
      <w:pPr>
        <w:pStyle w:val="Heading2"/>
        <w:spacing w:after="150" w:before="300"/>
      </w:pPr>
      <w:r>
        <w:t xml:space="preserve">6.1 H1 competitors — AI takeoff</w:t>
      </w:r>
    </w:p>
    <w:p>
      <w:pPr>
        <w:spacing w:after="160" w:line="276"/>
      </w:pPr>
      <w:r>
        <w:t xml:space="preserve">"AI takeoff + human review" is now the industry baseline, not an emerging idea. Key competitors include: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Competitor</w:t>
            </w:r>
          </w:p>
        </w:tc>
        <w:tc>
          <w:tcPr>
            <w:tcW w:type="dxa" w:w="7400"/>
            <w:shd w:fill="1F3864" w:val="clear"/>
            <w:tcMar>
              <w:top w:type="dxa" w:w="80"/>
              <w:left w:type="dxa" w:w="100"/>
              <w:bottom w:type="dxa" w:w="80"/>
              <w:right w:type="dxa" w:w="100"/>
            </w:tcMar>
          </w:tcPr>
          <w:p>
            <w:pPr>
              <w:jc w:val="left"/>
            </w:pPr>
            <w:r>
              <w:rPr>
                <w:b/>
                <w:bCs/>
                <w:color w:val="FFFFFF"/>
                <w:sz w:val="20"/>
                <w:szCs w:val="20"/>
              </w:rPr>
              <w:t xml:space="preserve">Positioning</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Quotr.ai</w:t>
            </w:r>
          </w:p>
        </w:tc>
        <w:tc>
          <w:tcPr>
            <w:tcW w:type="dxa" w:w="7400"/>
            <w:tcMar>
              <w:top w:type="dxa" w:w="80"/>
              <w:left w:type="dxa" w:w="100"/>
              <w:bottom w:type="dxa" w:w="80"/>
              <w:right w:type="dxa" w:w="100"/>
            </w:tcMar>
          </w:tcPr>
          <w:p>
            <w:pPr>
              <w:jc w:val="left"/>
            </w:pPr>
            <w:r>
              <w:rPr>
                <w:b w:val="false"/>
                <w:bCs w:val="false"/>
                <w:color w:val="000000"/>
                <w:sz w:val="20"/>
                <w:szCs w:val="20"/>
              </w:rPr>
              <w:t xml:space="preserve">Electrical-specific symbology and confidence scoring; also pivoting toward a factory-direct procurement/marketplace angle.</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BuildVision AI</w:t>
            </w:r>
          </w:p>
        </w:tc>
        <w:tc>
          <w:tcPr>
            <w:tcW w:type="dxa" w:w="7400"/>
            <w:shd w:fill="F2F2F2" w:val="clear"/>
            <w:tcMar>
              <w:top w:type="dxa" w:w="80"/>
              <w:left w:type="dxa" w:w="100"/>
              <w:bottom w:type="dxa" w:w="80"/>
              <w:right w:type="dxa" w:w="100"/>
            </w:tcMar>
          </w:tcPr>
          <w:p>
            <w:pPr>
              <w:jc w:val="left"/>
            </w:pPr>
            <w:r>
              <w:rPr>
                <w:b w:val="false"/>
                <w:bCs w:val="false"/>
                <w:color w:val="000000"/>
                <w:sz w:val="20"/>
                <w:szCs w:val="20"/>
              </w:rPr>
              <w:t xml:space="preserve">Plan-linked AI takeoff, review workflow, and integrated pricing/quote generation.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Countfire</w:t>
            </w:r>
          </w:p>
        </w:tc>
        <w:tc>
          <w:tcPr>
            <w:tcW w:type="dxa" w:w="7400"/>
            <w:tcMar>
              <w:top w:type="dxa" w:w="80"/>
              <w:left w:type="dxa" w:w="100"/>
              <w:bottom w:type="dxa" w:w="80"/>
              <w:right w:type="dxa" w:w="100"/>
            </w:tcMar>
          </w:tcPr>
          <w:p>
            <w:pPr>
              <w:jc w:val="left"/>
            </w:pPr>
            <w:r>
              <w:rPr>
                <w:b w:val="false"/>
                <w:bCs w:val="false"/>
                <w:color w:val="000000"/>
                <w:sz w:val="20"/>
                <w:szCs w:val="20"/>
              </w:rPr>
              <w:t xml:space="preserve">Electrical-specialized takeoff with claimed contractor learning; acquired by Valsoft/TAG Software Group in June 2026 after ~10 years independent.</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Beam AI</w:t>
            </w:r>
          </w:p>
        </w:tc>
        <w:tc>
          <w:tcPr>
            <w:tcW w:type="dxa" w:w="7400"/>
            <w:shd w:fill="F2F2F2" w:val="clear"/>
            <w:tcMar>
              <w:top w:type="dxa" w:w="80"/>
              <w:left w:type="dxa" w:w="100"/>
              <w:bottom w:type="dxa" w:w="80"/>
              <w:right w:type="dxa" w:w="100"/>
            </w:tcMar>
          </w:tcPr>
          <w:p>
            <w:pPr>
              <w:jc w:val="left"/>
            </w:pPr>
            <w:r>
              <w:rPr>
                <w:b w:val="false"/>
                <w:bCs w:val="false"/>
                <w:color w:val="000000"/>
                <w:sz w:val="20"/>
                <w:szCs w:val="20"/>
              </w:rPr>
              <w:t xml:space="preserve">$48.5M raised; outsourced human review; now ships an automated "Addendum Variance Report" for revision/addenda comparison; actively expanding into estimating and bidding.</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Drawer.AI</w:t>
            </w:r>
          </w:p>
        </w:tc>
        <w:tc>
          <w:tcPr>
            <w:tcW w:type="dxa" w:w="7400"/>
            <w:tcMar>
              <w:top w:type="dxa" w:w="80"/>
              <w:left w:type="dxa" w:w="100"/>
              <w:bottom w:type="dxa" w:w="80"/>
              <w:right w:type="dxa" w:w="100"/>
            </w:tcMar>
          </w:tcPr>
          <w:p>
            <w:pPr>
              <w:jc w:val="left"/>
            </w:pPr>
            <w:r>
              <w:rPr>
                <w:b w:val="false"/>
                <w:bCs w:val="false"/>
                <w:color w:val="000000"/>
                <w:sz w:val="20"/>
                <w:szCs w:val="20"/>
              </w:rPr>
              <w:t xml:space="preserve">Newer, narrowly-focused (~$5M raised) competitor already shipping automated conduit routing, wire sizing, and voltage-drop calculations — a capability this project's own feasibility assessment rates as very hard.</w:t>
            </w:r>
          </w:p>
        </w:tc>
      </w:tr>
      <w:tr>
        <w:tc>
          <w:tcPr>
            <w:tcW w:type="dxa" w:w="2600"/>
            <w:shd w:fill="F2F2F2" w:val="clear"/>
            <w:tcMar>
              <w:top w:type="dxa" w:w="80"/>
              <w:left w:type="dxa" w:w="100"/>
              <w:bottom w:type="dxa" w:w="80"/>
              <w:right w:type="dxa" w:w="100"/>
            </w:tcMar>
          </w:tcPr>
          <w:p>
            <w:pPr>
              <w:jc w:val="left"/>
            </w:pPr>
            <w:r>
              <w:rPr>
                <w:b w:val="false"/>
                <w:bCs w:val="false"/>
                <w:color w:val="000000"/>
                <w:sz w:val="20"/>
                <w:szCs w:val="20"/>
              </w:rPr>
              <w:t xml:space="preserve">Togal.AI, STACK, Bobyard, ConEst, Autodesk Forma</w:t>
            </w:r>
          </w:p>
        </w:tc>
        <w:tc>
          <w:tcPr>
            <w:tcW w:type="dxa" w:w="7400"/>
            <w:shd w:fill="F2F2F2" w:val="clear"/>
            <w:tcMar>
              <w:top w:type="dxa" w:w="80"/>
              <w:left w:type="dxa" w:w="100"/>
              <w:bottom w:type="dxa" w:w="80"/>
              <w:right w:type="dxa" w:w="100"/>
            </w:tcMar>
          </w:tcPr>
          <w:p>
            <w:pPr>
              <w:jc w:val="left"/>
            </w:pPr>
            <w:r>
              <w:rPr>
                <w:b w:val="false"/>
                <w:bCs w:val="false"/>
                <w:color w:val="000000"/>
                <w:sz w:val="20"/>
                <w:szCs w:val="20"/>
              </w:rPr>
              <w:t xml:space="preserve">Additional multi-trade or incumbent players with varying degrees of electrical depth.</w:t>
            </w:r>
          </w:p>
        </w:tc>
      </w:tr>
    </w:tbl>
    <w:p>
      <w:pPr>
        <w:spacing w:after="100"/>
      </w:pPr>
    </w:p>
    <w:p>
      <w:pPr>
        <w:pBdr>
          <w:left w:val="single" w:color="2E74B5" w:sz="18" w:space="8"/>
        </w:pBdr>
        <w:shd w:fill="DDEBF7" w:val="clear"/>
        <w:spacing w:after="200" w:before="100"/>
      </w:pPr>
      <w:r>
        <w:rPr>
          <w:b/>
          <w:bCs/>
          <w:i/>
          <w:iCs/>
          <w:color w:val="1F3864"/>
        </w:rPr>
        <w:t xml:space="preserve">Note: </w:t>
      </w:r>
      <w:r>
        <w:rPr>
          <w:i/>
          <w:iCs/>
          <w:color w:val="3B3B3B"/>
        </w:rPr>
        <w:t xml:space="preserve">A live competitive research refresh on August 22, 2026 found that even the project's own previously-favored fallback idea — Revision &amp; Addenda Intelligence — is now contested, since Beam AI and Countfire both already ship structured revision-comparison features. The project's documents were updated the same day to reflect this honestly rather than keep an outdated "best bet" claim.</w:t>
      </w:r>
    </w:p>
    <w:p>
      <w:pPr>
        <w:pStyle w:val="Heading2"/>
        <w:spacing w:after="150" w:before="300"/>
      </w:pPr>
      <w:r>
        <w:t xml:space="preserve">6.2 H2 competitors — Configure-Price-Quote (CPQ)</w:t>
      </w:r>
    </w:p>
    <w:p>
      <w:pPr>
        <w:spacing w:after="160" w:line="276"/>
      </w:pPr>
      <w:r>
        <w:t xml:space="preserve">What H2 describes is, almost word for word, an existing enterprise software category called CPQ — a 20-plus-year-old, heavily-funded space.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3864" w:val="clear"/>
            <w:tcMar>
              <w:top w:type="dxa" w:w="80"/>
              <w:left w:type="dxa" w:w="100"/>
              <w:bottom w:type="dxa" w:w="80"/>
              <w:right w:type="dxa" w:w="100"/>
            </w:tcMar>
          </w:tcPr>
          <w:p>
            <w:pPr>
              <w:jc w:val="left"/>
            </w:pPr>
            <w:r>
              <w:rPr>
                <w:b/>
                <w:bCs/>
                <w:color w:val="FFFFFF"/>
                <w:sz w:val="20"/>
                <w:szCs w:val="20"/>
              </w:rPr>
              <w:t xml:space="preserve">Competitor</w:t>
            </w:r>
          </w:p>
        </w:tc>
        <w:tc>
          <w:tcPr>
            <w:tcW w:type="dxa" w:w="7000"/>
            <w:shd w:fill="1F3864" w:val="clear"/>
            <w:tcMar>
              <w:top w:type="dxa" w:w="80"/>
              <w:left w:type="dxa" w:w="100"/>
              <w:bottom w:type="dxa" w:w="80"/>
              <w:right w:type="dxa" w:w="100"/>
            </w:tcMar>
          </w:tcPr>
          <w:p>
            <w:pPr>
              <w:jc w:val="left"/>
            </w:pPr>
            <w:r>
              <w:rPr>
                <w:b/>
                <w:bCs/>
                <w:color w:val="FFFFFF"/>
                <w:sz w:val="20"/>
                <w:szCs w:val="20"/>
              </w:rPr>
              <w:t xml:space="preserve">Type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Salesforce CPQ / Revenue Cloud</w:t>
            </w:r>
          </w:p>
        </w:tc>
        <w:tc>
          <w:tcPr>
            <w:tcW w:type="dxa" w:w="7000"/>
            <w:tcMar>
              <w:top w:type="dxa" w:w="80"/>
              <w:left w:type="dxa" w:w="100"/>
              <w:bottom w:type="dxa" w:w="80"/>
              <w:right w:type="dxa" w:w="100"/>
            </w:tcMar>
          </w:tcPr>
          <w:p>
            <w:pPr>
              <w:jc w:val="left"/>
            </w:pPr>
            <w:r>
              <w:rPr>
                <w:b w:val="false"/>
                <w:bCs w:val="false"/>
                <w:color w:val="000000"/>
                <w:sz w:val="20"/>
                <w:szCs w:val="20"/>
              </w:rPr>
              <w:t xml:space="preserve">Enterprise incumbent, deep CRM lock-in</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SAP CPQ</w:t>
            </w:r>
          </w:p>
        </w:tc>
        <w:tc>
          <w:tcPr>
            <w:tcW w:type="dxa" w:w="7000"/>
            <w:shd w:fill="F2F2F2" w:val="clear"/>
            <w:tcMar>
              <w:top w:type="dxa" w:w="80"/>
              <w:left w:type="dxa" w:w="100"/>
              <w:bottom w:type="dxa" w:w="80"/>
              <w:right w:type="dxa" w:w="100"/>
            </w:tcMar>
          </w:tcPr>
          <w:p>
            <w:pPr>
              <w:jc w:val="left"/>
            </w:pPr>
            <w:r>
              <w:rPr>
                <w:b w:val="false"/>
                <w:bCs w:val="false"/>
                <w:color w:val="000000"/>
                <w:sz w:val="20"/>
                <w:szCs w:val="20"/>
              </w:rPr>
              <w:t xml:space="preserve">Enterprise incumbent, common inside SAP-run manufacturers/OEMs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Oracle CPQ Cloud</w:t>
            </w:r>
          </w:p>
        </w:tc>
        <w:tc>
          <w:tcPr>
            <w:tcW w:type="dxa" w:w="7000"/>
            <w:tcMar>
              <w:top w:type="dxa" w:w="80"/>
              <w:left w:type="dxa" w:w="100"/>
              <w:bottom w:type="dxa" w:w="80"/>
              <w:right w:type="dxa" w:w="100"/>
            </w:tcMar>
          </w:tcPr>
          <w:p>
            <w:pPr>
              <w:jc w:val="left"/>
            </w:pPr>
            <w:r>
              <w:rPr>
                <w:b w:val="false"/>
                <w:bCs w:val="false"/>
                <w:color w:val="000000"/>
                <w:sz w:val="20"/>
                <w:szCs w:val="20"/>
              </w:rPr>
              <w:t xml:space="preserve">Enterprise incumbent, different ERP ecosystem</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ServiceNow CPQ</w:t>
            </w:r>
          </w:p>
        </w:tc>
        <w:tc>
          <w:tcPr>
            <w:tcW w:type="dxa" w:w="7000"/>
            <w:shd w:fill="F2F2F2" w:val="clear"/>
            <w:tcMar>
              <w:top w:type="dxa" w:w="80"/>
              <w:left w:type="dxa" w:w="100"/>
              <w:bottom w:type="dxa" w:w="80"/>
              <w:right w:type="dxa" w:w="100"/>
            </w:tcMar>
          </w:tcPr>
          <w:p>
            <w:pPr>
              <w:jc w:val="left"/>
            </w:pPr>
            <w:r>
              <w:rPr>
                <w:b w:val="false"/>
                <w:bCs w:val="false"/>
                <w:color w:val="000000"/>
                <w:sz w:val="20"/>
                <w:szCs w:val="20"/>
              </w:rPr>
              <w:t xml:space="preserve">Newer, well-capitalized, explicitly AI-marketed</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Tacton</w:t>
            </w:r>
          </w:p>
        </w:tc>
        <w:tc>
          <w:tcPr>
            <w:tcW w:type="dxa" w:w="7000"/>
            <w:tcMar>
              <w:top w:type="dxa" w:w="80"/>
              <w:left w:type="dxa" w:w="100"/>
              <w:bottom w:type="dxa" w:w="80"/>
              <w:right w:type="dxa" w:w="100"/>
            </w:tcMar>
          </w:tcPr>
          <w:p>
            <w:pPr>
              <w:jc w:val="left"/>
            </w:pPr>
            <w:r>
              <w:rPr>
                <w:b w:val="false"/>
                <w:bCs w:val="false"/>
                <w:color w:val="000000"/>
                <w:sz w:val="20"/>
                <w:szCs w:val="20"/>
              </w:rPr>
              <w:t xml:space="preserve">~25-year vertical incumbent for manufacturers; closest analog to H2's "compliant configuration" framing</w:t>
            </w:r>
          </w:p>
        </w:tc>
      </w:tr>
      <w:tr>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Infor / Epicor CPQ</w:t>
            </w:r>
          </w:p>
        </w:tc>
        <w:tc>
          <w:tcPr>
            <w:tcW w:type="dxa" w:w="7000"/>
            <w:shd w:fill="F2F2F2" w:val="clear"/>
            <w:tcMar>
              <w:top w:type="dxa" w:w="80"/>
              <w:left w:type="dxa" w:w="100"/>
              <w:bottom w:type="dxa" w:w="80"/>
              <w:right w:type="dxa" w:w="100"/>
            </w:tcMar>
          </w:tcPr>
          <w:p>
            <w:pPr>
              <w:jc w:val="left"/>
            </w:pPr>
            <w:r>
              <w:rPr>
                <w:b w:val="false"/>
                <w:bCs w:val="false"/>
                <w:color w:val="000000"/>
                <w:sz w:val="20"/>
                <w:szCs w:val="20"/>
              </w:rPr>
              <w:t xml:space="preserve">Already generates BOMs/BOQs from configuration — functionally close to H2's MVP idea</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servicepath ("AI-native CPQ")</w:t>
            </w:r>
          </w:p>
        </w:tc>
        <w:tc>
          <w:tcPr>
            <w:tcW w:type="dxa" w:w="7000"/>
            <w:tcMar>
              <w:top w:type="dxa" w:w="80"/>
              <w:left w:type="dxa" w:w="100"/>
              <w:bottom w:type="dxa" w:w="80"/>
              <w:right w:type="dxa" w:w="100"/>
            </w:tcMar>
          </w:tcPr>
          <w:p>
            <w:pPr>
              <w:jc w:val="left"/>
            </w:pPr>
            <w:r>
              <w:rPr>
                <w:b w:val="false"/>
                <w:bCs w:val="false"/>
                <w:color w:val="000000"/>
                <w:sz w:val="20"/>
                <w:szCs w:val="20"/>
              </w:rPr>
              <w:t xml:space="preserve">Startup doing almost exactly what H2 describes; named Gartner's "Sole Visionary" in the 2026 CPQ Magic Quadrant</w:t>
            </w:r>
          </w:p>
        </w:tc>
      </w:tr>
    </w:tbl>
    <w:p>
      <w:pPr>
        <w:spacing w:after="100"/>
      </w:pPr>
    </w:p>
    <w:p>
      <w:pPr>
        <w:spacing w:after="160" w:line="276"/>
      </w:pPr>
      <w:r>
        <w:t xml:space="preserve">The honest conclusion in the project's own documents is that general-purpose CPQ is not whitespace, and may in fact be harder to break into than the H1 takeoff space, because of deep CRM/ERP lock-in. The one plausible gap identified is narrower than "AI CPQ": vertical AI-configuration specifically for electrical/MEP system integrators, handling cross-OEM catalog reconciliation and engineering compliance rules (redundancy, cooling capacity, panel ratings) that general CPQ tools don't appear to specialize in.</w:t>
      </w:r>
    </w:p>
    <w:p>
      <w:pPr>
        <w:pStyle w:val="Heading1"/>
        <w:spacing w:after="200" w:before="400"/>
      </w:pPr>
      <w:r>
        <w:t xml:space="preserve">7. Who This Is For</w:t>
      </w:r>
    </w:p>
    <w:p>
      <w:pPr>
        <w:pStyle w:val="Heading2"/>
        <w:spacing w:after="150" w:before="300"/>
      </w:pPr>
      <w:r>
        <w:t xml:space="preserve">7.1 H1 target customer (hypothesis)</w:t>
      </w:r>
    </w:p>
    <w:p>
      <w:pPr>
        <w:spacing w:after="160" w:line="276"/>
      </w:pPr>
      <w:r>
        <w:t xml:space="preserve">Small and mid-sized electrical contractors who regularly prepare commercial or industrial bids — roughly 10–200 employees, currently using Excel, Bluebeam, or basic takeoff software, estimating more than 4–6 projects per month. The selection criterion for the eventual segment is the strongest combination of pain, estimating volume, willingness to adopt, and access to usable feedback data — discovery decides this, not assumption.</w:t>
      </w:r>
    </w:p>
    <w:p>
      <w:pPr>
        <w:pStyle w:val="Heading2"/>
        <w:spacing w:after="150" w:before="300"/>
      </w:pPr>
      <w:r>
        <w:t xml:space="preserve">7.2 H2 target customer (hypothesis, single-source)</w:t>
      </w:r>
    </w:p>
    <w:p>
      <w:pPr>
        <w:spacing w:after="160" w:line="276"/>
      </w:pPr>
      <w:r>
        <w:t xml:space="preserve">The Schneider Electric interviewee explicitly redirected the team away from large OEMs like his own employer, and toward system integrators — smaller companies that combine multiple vendors' products into one customer-facing offer, and who do the whole solution-assembly job with only one or two people rather than Schneider's specialized departments.</w:t>
      </w:r>
    </w:p>
    <w:p>
      <w:pPr>
        <w:pBdr>
          <w:left w:val="single" w:color="2E74B5" w:sz="18" w:space="8"/>
        </w:pBdr>
        <w:shd w:fill="DDEBF7" w:val="clear"/>
        <w:spacing w:after="200" w:before="100"/>
      </w:pPr>
      <w:r>
        <w:rPr>
          <w:b/>
          <w:bCs/>
          <w:i/>
          <w:iCs/>
          <w:color w:val="1F3864"/>
        </w:rPr>
        <w:t xml:space="preserve">Caution: </w:t>
      </w:r>
      <w:r>
        <w:rPr>
          <w:i/>
          <w:iCs/>
          <w:color w:val="3B3B3B"/>
        </w:rPr>
        <w:t xml:space="preserve">This customer profile comes from a single OEM-side employee's opinion about a market segment he does not belong to. It is a hypothesis to test directly with system integrators, not a validated target.</w:t>
      </w:r>
    </w:p>
    <w:p>
      <w:pPr>
        <w:pStyle w:val="Heading2"/>
        <w:spacing w:after="150" w:before="300"/>
      </w:pPr>
      <w:r>
        <w:t xml:space="preserve">7.3 User vs. economic 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1F3864" w:val="clear"/>
            <w:tcMar>
              <w:top w:type="dxa" w:w="80"/>
              <w:left w:type="dxa" w:w="100"/>
              <w:bottom w:type="dxa" w:w="80"/>
              <w:right w:type="dxa" w:w="100"/>
            </w:tcMar>
          </w:tcPr>
          <w:p>
            <w:pPr>
              <w:jc w:val="left"/>
            </w:pPr>
            <w:r>
              <w:rPr>
                <w:b/>
                <w:bCs/>
                <w:color w:val="FFFFFF"/>
                <w:sz w:val="20"/>
                <w:szCs w:val="20"/>
              </w:rPr>
              <w:t xml:space="preserve">Role</w:t>
            </w:r>
          </w:p>
        </w:tc>
        <w:tc>
          <w:tcPr>
            <w:tcW w:type="dxa" w:w="7500"/>
            <w:shd w:fill="1F3864"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User</w:t>
            </w:r>
          </w:p>
        </w:tc>
        <w:tc>
          <w:tcPr>
            <w:tcW w:type="dxa" w:w="7500"/>
            <w:tcMar>
              <w:top w:type="dxa" w:w="80"/>
              <w:left w:type="dxa" w:w="100"/>
              <w:bottom w:type="dxa" w:w="80"/>
              <w:right w:type="dxa" w:w="100"/>
            </w:tcMar>
          </w:tcPr>
          <w:p>
            <w:pPr>
              <w:jc w:val="left"/>
            </w:pPr>
            <w:r>
              <w:rPr>
                <w:b w:val="false"/>
                <w:bCs w:val="false"/>
                <w:color w:val="000000"/>
                <w:sz w:val="20"/>
                <w:szCs w:val="20"/>
              </w:rPr>
              <w:t xml:space="preserve">The estimator or project estimator performing the daily takeoff/configuration work.</w:t>
            </w:r>
          </w:p>
        </w:tc>
      </w:tr>
      <w:tr>
        <w:tc>
          <w:tcPr>
            <w:tcW w:type="dxa" w:w="2500"/>
            <w:shd w:fill="F2F2F2" w:val="clear"/>
            <w:tcMar>
              <w:top w:type="dxa" w:w="80"/>
              <w:left w:type="dxa" w:w="100"/>
              <w:bottom w:type="dxa" w:w="80"/>
              <w:right w:type="dxa" w:w="100"/>
            </w:tcMar>
          </w:tcPr>
          <w:p>
            <w:pPr>
              <w:jc w:val="left"/>
            </w:pPr>
            <w:r>
              <w:rPr>
                <w:b w:val="false"/>
                <w:bCs w:val="false"/>
                <w:color w:val="000000"/>
                <w:sz w:val="20"/>
                <w:szCs w:val="20"/>
              </w:rPr>
              <w:t xml:space="preserve">Economic buyer</w:t>
            </w:r>
          </w:p>
        </w:tc>
        <w:tc>
          <w:tcPr>
            <w:tcW w:type="dxa" w:w="7500"/>
            <w:shd w:fill="F2F2F2" w:val="clear"/>
            <w:tcMar>
              <w:top w:type="dxa" w:w="80"/>
              <w:left w:type="dxa" w:w="100"/>
              <w:bottom w:type="dxa" w:w="80"/>
              <w:right w:type="dxa" w:w="100"/>
            </w:tcMar>
          </w:tcPr>
          <w:p>
            <w:pPr>
              <w:jc w:val="left"/>
            </w:pPr>
            <w:r>
              <w:rPr>
                <w:b w:val="false"/>
                <w:bCs w:val="false"/>
                <w:color w:val="000000"/>
                <w:sz w:val="20"/>
                <w:szCs w:val="20"/>
              </w:rPr>
              <w:t xml:space="preserve">The contractor owner, estimating manager, or operations manager who approves software spend.</w:t>
            </w:r>
          </w:p>
        </w:tc>
      </w:tr>
    </w:tbl>
    <w:p>
      <w:pPr>
        <w:pStyle w:val="Heading1"/>
        <w:spacing w:after="200" w:before="400"/>
      </w:pPr>
      <w:r>
        <w:t xml:space="preserve">8. The Product and Its Architecture</w:t>
      </w:r>
    </w:p>
    <w:p>
      <w:pPr>
        <w:pStyle w:val="Heading2"/>
        <w:spacing w:after="150" w:before="300"/>
      </w:pPr>
      <w:r>
        <w:t xml:space="preserve">8.1 What the MVP actually does (H1 only)</w:t>
      </w:r>
    </w:p>
    <w:p>
      <w:pPr>
        <w:spacing w:after="160" w:line="276"/>
      </w:pPr>
      <w:r>
        <w:t xml:space="preserve">The first product is deliberately narrow: electrical quantity takeoff, and nothing more. A contractor uploads a drawing package; the system produces a first-pass quantity takeoff with every detected item linked back to its exact location in the source drawing; the estimator reviews, corrects, and approves; every correction is captured as structured data for later use.</w:t>
      </w:r>
    </w:p>
    <w:p>
      <w:pPr>
        <w:pStyle w:val="Heading3"/>
        <w:spacing w:after="100" w:before="200"/>
      </w:pPr>
      <w:r>
        <w:t xml:space="preserve">In scope for the MVP</w:t>
      </w:r>
    </w:p>
    <w:p>
      <w:pPr>
        <w:pStyle w:val="ListParagraph"/>
        <w:numPr>
          <w:ilvl w:val="0"/>
          <w:numId w:val="1"/>
        </w:numPr>
        <w:spacing w:after="90" w:line="270"/>
      </w:pPr>
      <w:r>
        <w:t xml:space="preserve">PDF and drawing ingestion, sheet classification and splitting</w:t>
      </w:r>
    </w:p>
    <w:p>
      <w:pPr>
        <w:pStyle w:val="ListParagraph"/>
        <w:numPr>
          <w:ilvl w:val="0"/>
          <w:numId w:val="1"/>
        </w:numPr>
        <w:spacing w:after="90" w:line="270"/>
      </w:pPr>
      <w:r>
        <w:t xml:space="preserve">Electrical symbol/component detection with source evidence (bounding boxes)</w:t>
      </w:r>
    </w:p>
    <w:p>
      <w:pPr>
        <w:pStyle w:val="ListParagraph"/>
        <w:numPr>
          <w:ilvl w:val="0"/>
          <w:numId w:val="1"/>
        </w:numPr>
        <w:spacing w:after="90" w:line="270"/>
      </w:pPr>
      <w:r>
        <w:t xml:space="preserve">Side-by-side drawing and takeoff review interface</w:t>
      </w:r>
    </w:p>
    <w:p>
      <w:pPr>
        <w:pStyle w:val="ListParagraph"/>
        <w:numPr>
          <w:ilvl w:val="0"/>
          <w:numId w:val="1"/>
        </w:numPr>
        <w:spacing w:after="90" w:line="270"/>
      </w:pPr>
      <w:r>
        <w:t xml:space="preserve">Human correction and approval workflow, with structured correction data capture</w:t>
      </w:r>
    </w:p>
    <w:p>
      <w:pPr>
        <w:pStyle w:val="ListParagraph"/>
        <w:numPr>
          <w:ilvl w:val="0"/>
          <w:numId w:val="1"/>
        </w:numPr>
        <w:spacing w:after="90" w:line="270"/>
      </w:pPr>
      <w:r>
        <w:t xml:space="preserve">Basic export to Excel/CSV</w:t>
      </w:r>
    </w:p>
    <w:p>
      <w:pPr>
        <w:pStyle w:val="Heading3"/>
        <w:spacing w:after="100" w:before="200"/>
      </w:pPr>
      <w:r>
        <w:t xml:space="preserve">Explicitly out of scope for now</w:t>
      </w:r>
    </w:p>
    <w:p>
      <w:pPr>
        <w:pStyle w:val="ListParagraph"/>
        <w:numPr>
          <w:ilvl w:val="0"/>
          <w:numId w:val="1"/>
        </w:numPr>
        <w:spacing w:after="90" w:line="270"/>
      </w:pPr>
      <w:r>
        <w:t xml:space="preserve">Full material and labor estimating, pricing, or assembly intelligence</w:t>
      </w:r>
    </w:p>
    <w:p>
      <w:pPr>
        <w:pStyle w:val="ListParagraph"/>
        <w:numPr>
          <w:ilvl w:val="0"/>
          <w:numId w:val="1"/>
        </w:numPr>
        <w:spacing w:after="90" w:line="270"/>
      </w:pPr>
      <w:r>
        <w:t xml:space="preserve">HVAC/plumbing takeoff or a full MEP platform</w:t>
      </w:r>
    </w:p>
    <w:p>
      <w:pPr>
        <w:pStyle w:val="ListParagraph"/>
        <w:numPr>
          <w:ilvl w:val="0"/>
          <w:numId w:val="1"/>
        </w:numPr>
        <w:spacing w:after="90" w:line="270"/>
      </w:pPr>
      <w:r>
        <w:t xml:space="preserve">Project management, CRM, accounting, procurement, or ERP integration</w:t>
      </w:r>
    </w:p>
    <w:p>
      <w:pPr>
        <w:pStyle w:val="ListParagraph"/>
        <w:numPr>
          <w:ilvl w:val="0"/>
          <w:numId w:val="1"/>
        </w:numPr>
        <w:spacing w:after="90" w:line="270"/>
      </w:pPr>
      <w:r>
        <w:t xml:space="preserve">Anything from the H2 workflow (solution configuration, CPQ, negotiation tooling)</w:t>
      </w:r>
    </w:p>
    <w:p>
      <w:pPr>
        <w:pStyle w:val="Heading2"/>
        <w:spacing w:after="150" w:before="300"/>
      </w:pPr>
      <w:r>
        <w:t xml:space="preserve">8.2 The Four Memory Layers</w:t>
      </w:r>
    </w:p>
    <w:p>
      <w:pPr>
        <w:spacing w:after="160" w:line="276"/>
      </w:pPr>
      <w:r>
        <w:t xml:space="preserve">A core architectural rule running through every document: different kinds of information change at different speeds, and mixing them up is treated as a serious design error — especially baking volatile pricing into a trained model.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3000"/>
      </w:tblGrid>
      <w:tr>
        <w:trPr>
          <w:tblHeader/>
        </w:trPr>
        <w:tc>
          <w:tcPr>
            <w:tcW w:type="dxa" w:w="2400"/>
            <w:shd w:fill="1F3864" w:val="clear"/>
            <w:tcMar>
              <w:top w:type="dxa" w:w="80"/>
              <w:left w:type="dxa" w:w="100"/>
              <w:bottom w:type="dxa" w:w="80"/>
              <w:right w:type="dxa" w:w="100"/>
            </w:tcMar>
          </w:tcPr>
          <w:p>
            <w:pPr>
              <w:jc w:val="left"/>
            </w:pPr>
            <w:r>
              <w:rPr>
                <w:b/>
                <w:bCs/>
                <w:color w:val="FFFFFF"/>
                <w:sz w:val="20"/>
                <w:szCs w:val="20"/>
              </w:rPr>
              <w:t xml:space="preserve">Layer</w:t>
            </w:r>
          </w:p>
        </w:tc>
        <w:tc>
          <w:tcPr>
            <w:tcW w:type="dxa" w:w="4600"/>
            <w:shd w:fill="1F3864" w:val="clear"/>
            <w:tcMar>
              <w:top w:type="dxa" w:w="80"/>
              <w:left w:type="dxa" w:w="100"/>
              <w:bottom w:type="dxa" w:w="80"/>
              <w:right w:type="dxa" w:w="100"/>
            </w:tcMar>
          </w:tcPr>
          <w:p>
            <w:pPr>
              <w:jc w:val="left"/>
            </w:pPr>
            <w:r>
              <w:rPr>
                <w:b/>
                <w:bCs/>
                <w:color w:val="FFFFFF"/>
                <w:sz w:val="20"/>
                <w:szCs w:val="20"/>
              </w:rPr>
              <w:t xml:space="preserve">Contains</w:t>
            </w:r>
          </w:p>
        </w:tc>
        <w:tc>
          <w:tcPr>
            <w:tcW w:type="dxa" w:w="3000"/>
            <w:shd w:fill="1F3864" w:val="clear"/>
            <w:tcMar>
              <w:top w:type="dxa" w:w="80"/>
              <w:left w:type="dxa" w:w="100"/>
              <w:bottom w:type="dxa" w:w="80"/>
              <w:right w:type="dxa" w:w="100"/>
            </w:tcMar>
          </w:tcPr>
          <w:p>
            <w:pPr>
              <w:jc w:val="left"/>
            </w:pPr>
            <w:r>
              <w:rPr>
                <w:b/>
                <w:bCs/>
                <w:color w:val="FFFFFF"/>
                <w:sz w:val="20"/>
                <w:szCs w:val="20"/>
              </w:rPr>
              <w:t xml:space="preserve">Volatility</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Model memory</w:t>
            </w:r>
          </w:p>
        </w:tc>
        <w:tc>
          <w:tcPr>
            <w:tcW w:type="dxa" w:w="4600"/>
            <w:tcMar>
              <w:top w:type="dxa" w:w="80"/>
              <w:left w:type="dxa" w:w="100"/>
              <w:bottom w:type="dxa" w:w="80"/>
              <w:right w:type="dxa" w:w="100"/>
            </w:tcMar>
          </w:tcPr>
          <w:p>
            <w:pPr>
              <w:jc w:val="left"/>
            </w:pPr>
            <w:r>
              <w:rPr>
                <w:b w:val="false"/>
                <w:bCs w:val="false"/>
                <w:color w:val="000000"/>
                <w:sz w:val="20"/>
                <w:szCs w:val="20"/>
              </w:rPr>
              <w:t xml:space="preserve">Drawing interpretation — symbol classification, context understanding</w:t>
            </w:r>
          </w:p>
        </w:tc>
        <w:tc>
          <w:tcPr>
            <w:tcW w:type="dxa" w:w="3000"/>
            <w:tcMar>
              <w:top w:type="dxa" w:w="80"/>
              <w:left w:type="dxa" w:w="100"/>
              <w:bottom w:type="dxa" w:w="80"/>
              <w:right w:type="dxa" w:w="100"/>
            </w:tcMar>
          </w:tcPr>
          <w:p>
            <w:pPr>
              <w:jc w:val="left"/>
            </w:pPr>
            <w:r>
              <w:rPr>
                <w:b w:val="false"/>
                <w:bCs w:val="false"/>
                <w:color w:val="000000"/>
                <w:sz w:val="20"/>
                <w:szCs w:val="20"/>
              </w:rPr>
              <w:t xml:space="preserve">Low — trained and versioned</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Retrieval knowledge</w:t>
            </w:r>
          </w:p>
        </w:tc>
        <w:tc>
          <w:tcPr>
            <w:tcW w:type="dxa" w:w="4600"/>
            <w:shd w:fill="F2F2F2" w:val="clear"/>
            <w:tcMar>
              <w:top w:type="dxa" w:w="80"/>
              <w:left w:type="dxa" w:w="100"/>
              <w:bottom w:type="dxa" w:w="80"/>
              <w:right w:type="dxa" w:w="100"/>
            </w:tcMar>
          </w:tcPr>
          <w:p>
            <w:pPr>
              <w:jc w:val="left"/>
            </w:pPr>
            <w:r>
              <w:rPr>
                <w:b w:val="false"/>
                <w:bCs w:val="false"/>
                <w:color w:val="000000"/>
                <w:sz w:val="20"/>
                <w:szCs w:val="20"/>
              </w:rPr>
              <w:t xml:space="preserve">Current prices, vendor catalogs, material specs, labor tables</w:t>
            </w:r>
          </w:p>
        </w:tc>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High — changes daily/weekly</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Contractor memory</w:t>
            </w:r>
          </w:p>
        </w:tc>
        <w:tc>
          <w:tcPr>
            <w:tcW w:type="dxa" w:w="4600"/>
            <w:tcMar>
              <w:top w:type="dxa" w:w="80"/>
              <w:left w:type="dxa" w:w="100"/>
              <w:bottom w:type="dxa" w:w="80"/>
              <w:right w:type="dxa" w:w="100"/>
            </w:tcMar>
          </w:tcPr>
          <w:p>
            <w:pPr>
              <w:jc w:val="left"/>
            </w:pPr>
            <w:r>
              <w:rPr>
                <w:b w:val="false"/>
                <w:bCs w:val="false"/>
                <w:color w:val="000000"/>
                <w:sz w:val="20"/>
                <w:szCs w:val="20"/>
              </w:rPr>
              <w:t xml:space="preserve">How a specific company estimates — preferred materials, naming, assumptions</w:t>
            </w:r>
          </w:p>
        </w:tc>
        <w:tc>
          <w:tcPr>
            <w:tcW w:type="dxa" w:w="3000"/>
            <w:tcMar>
              <w:top w:type="dxa" w:w="80"/>
              <w:left w:type="dxa" w:w="100"/>
              <w:bottom w:type="dxa" w:w="80"/>
              <w:right w:type="dxa" w:w="100"/>
            </w:tcMar>
          </w:tcPr>
          <w:p>
            <w:pPr>
              <w:jc w:val="left"/>
            </w:pPr>
            <w:r>
              <w:rPr>
                <w:b w:val="false"/>
                <w:bCs w:val="false"/>
                <w:color w:val="000000"/>
                <w:sz w:val="20"/>
                <w:szCs w:val="20"/>
              </w:rPr>
              <w:t xml:space="preserve">Medium — evolves per project</w:t>
            </w:r>
          </w:p>
        </w:tc>
      </w:tr>
      <w:tr>
        <w:tc>
          <w:tcPr>
            <w:tcW w:type="dxa" w:w="2400"/>
            <w:shd w:fill="F2F2F2" w:val="clear"/>
            <w:tcMar>
              <w:top w:type="dxa" w:w="80"/>
              <w:left w:type="dxa" w:w="100"/>
              <w:bottom w:type="dxa" w:w="80"/>
              <w:right w:type="dxa" w:w="100"/>
            </w:tcMar>
          </w:tcPr>
          <w:p>
            <w:pPr>
              <w:jc w:val="left"/>
            </w:pPr>
            <w:r>
              <w:rPr>
                <w:b w:val="false"/>
                <w:bCs w:val="false"/>
                <w:color w:val="000000"/>
                <w:sz w:val="20"/>
                <w:szCs w:val="20"/>
              </w:rPr>
              <w:t xml:space="preserve">Project memory</w:t>
            </w:r>
          </w:p>
        </w:tc>
        <w:tc>
          <w:tcPr>
            <w:tcW w:type="dxa" w:w="4600"/>
            <w:shd w:fill="F2F2F2" w:val="clear"/>
            <w:tcMar>
              <w:top w:type="dxa" w:w="80"/>
              <w:left w:type="dxa" w:w="100"/>
              <w:bottom w:type="dxa" w:w="80"/>
              <w:right w:type="dxa" w:w="100"/>
            </w:tcMar>
          </w:tcPr>
          <w:p>
            <w:pPr>
              <w:jc w:val="left"/>
            </w:pPr>
            <w:r>
              <w:rPr>
                <w:b w:val="false"/>
                <w:bCs w:val="false"/>
                <w:color w:val="000000"/>
                <w:sz w:val="20"/>
                <w:szCs w:val="20"/>
              </w:rPr>
              <w:t xml:space="preserve">What happened in a specific drawing set/revision — detections, corrections, approvals</w:t>
            </w:r>
          </w:p>
        </w:tc>
        <w:tc>
          <w:tcPr>
            <w:tcW w:type="dxa" w:w="3000"/>
            <w:shd w:fill="F2F2F2" w:val="clear"/>
            <w:tcMar>
              <w:top w:type="dxa" w:w="80"/>
              <w:left w:type="dxa" w:w="100"/>
              <w:bottom w:type="dxa" w:w="80"/>
              <w:right w:type="dxa" w:w="100"/>
            </w:tcMar>
          </w:tcPr>
          <w:p>
            <w:pPr>
              <w:jc w:val="left"/>
            </w:pPr>
            <w:r>
              <w:rPr>
                <w:b w:val="false"/>
                <w:bCs w:val="false"/>
                <w:color w:val="000000"/>
                <w:sz w:val="20"/>
                <w:szCs w:val="20"/>
              </w:rPr>
              <w:t xml:space="preserve">Immutable once finalized</w:t>
            </w:r>
          </w:p>
        </w:tc>
      </w:tr>
    </w:tbl>
    <w:p>
      <w:pPr>
        <w:spacing w:after="100"/>
      </w:pPr>
    </w:p>
    <w:p>
      <w:pPr>
        <w:pStyle w:val="Heading2"/>
        <w:spacing w:after="150" w:before="300"/>
      </w:pPr>
      <w:r>
        <w:t xml:space="preserve">8.3 Transparency and auditability</w:t>
      </w:r>
    </w:p>
    <w:p>
      <w:pPr>
        <w:spacing w:after="160" w:line="276"/>
      </w:pPr>
      <w:r>
        <w:t xml:space="preserve">Every AI-generated quantity or suggestion is treated as a proposal, never a fact. Every detection is linked to its source location, labelled clearly as AI-generated with a confidence score, and can be overridden unconditionally by a human. The full audit trail — AI prediction, human edits, final approved value, assumptions — is recorded. The documents are explicit that this is table stakes for this category, not a differentiator, since competitors already offer similar transparency.</w:t>
      </w:r>
    </w:p>
    <w:p>
      <w:pPr>
        <w:pStyle w:val="Heading2"/>
        <w:spacing w:after="150" w:before="300"/>
      </w:pPr>
      <w:r>
        <w:t xml:space="preserve">8.4 The learning system (long-term hypothesis, not current product)</w:t>
      </w:r>
    </w:p>
    <w:p>
      <w:pPr>
        <w:spacing w:after="160" w:line="276"/>
      </w:pPr>
      <w:r>
        <w:t xml:space="preserve">The long-term bet is that every verified correction makes future estimates faster and more accurate for that specific contractor, creating a compounding advantage competitors can't easily copy. This is explicitly not something to assume works: a correction only becomes usable training data after it is attributed (what kind of correction is this?) and validated (is it really a model error, or just a business preference?). The documents point to Countfire — a real competitor that ran a similar "learns how you work" pitch for about ten years before being acquired by a software consolidator rather than becoming a runaway standalone success — as genuinely ambiguous evidence on whether this kind of moat actually works.</w:t>
      </w:r>
    </w:p>
    <w:p>
      <w:pPr>
        <w:pStyle w:val="Heading2"/>
        <w:spacing w:after="150" w:before="300"/>
      </w:pPr>
      <w:r>
        <w:t xml:space="preserve">8.5 The 15-workstream long-term system map</w:t>
      </w:r>
    </w:p>
    <w:p>
      <w:pPr>
        <w:spacing w:after="160" w:line="276"/>
      </w:pPr>
      <w:r>
        <w:t xml:space="preserve">Beyond H1 and H2, a separate scoping document lays out the full, much larger system Vectoris could eventually grow into — customer discovery, workflow mapping, drawing intelligence, engineering/solution intelligence, cross-OEM product intelligence, product catalog intelligence, BOQ/BOM generation, pricing intelligence, cost estimation, ideal bid pricing, commercial intelligence, proposal generation, human-in-the-loop control, and company memory.</w:t>
      </w:r>
    </w:p>
    <w:p>
      <w:pPr>
        <w:pBdr>
          <w:left w:val="single" w:color="2E74B5" w:sz="18" w:space="8"/>
        </w:pBdr>
        <w:shd w:fill="DDEBF7" w:val="clear"/>
        <w:spacing w:after="200" w:before="100"/>
      </w:pPr>
      <w:r>
        <w:rPr>
          <w:b/>
          <w:bCs/>
          <w:i/>
          <w:iCs/>
          <w:color w:val="1F3864"/>
        </w:rPr>
        <w:t xml:space="preserve">Caution: </w:t>
      </w:r>
      <w:r>
        <w:rPr>
          <w:i/>
          <w:iCs/>
          <w:color w:val="3B3B3B"/>
        </w:rPr>
        <w:t xml:space="preserve">This map exists to keep long-term thinking coherent — it explicitly does not authorize building any of it yet. Its own guiding line: "the end state is large, the first product must be small."</w:t>
      </w:r>
    </w:p>
    <w:p>
      <w:pPr>
        <w:pStyle w:val="Heading1"/>
        <w:spacing w:after="200" w:before="400"/>
      </w:pPr>
      <w:r>
        <w:t xml:space="preserve">9. Business Model (Hypothesis)</w:t>
      </w:r>
    </w:p>
    <w:p>
      <w:pPr>
        <w:spacing w:after="160" w:line="276"/>
      </w:pPr>
      <w:r>
        <w:t xml:space="preserve">No pricing model is locked in. The documents insist on testing what customers already pay to solve this problem today, rather than assuming a SaaS subscription is the right shape.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1F3864" w:val="clear"/>
            <w:tcMar>
              <w:top w:type="dxa" w:w="80"/>
              <w:left w:type="dxa" w:w="100"/>
              <w:bottom w:type="dxa" w:w="80"/>
              <w:right w:type="dxa" w:w="100"/>
            </w:tcMar>
          </w:tcPr>
          <w:p>
            <w:pPr>
              <w:jc w:val="left"/>
            </w:pPr>
            <w:r>
              <w:rPr>
                <w:b/>
                <w:bCs/>
                <w:color w:val="FFFFFF"/>
                <w:sz w:val="20"/>
                <w:szCs w:val="20"/>
              </w:rPr>
              <w:t xml:space="preserve">Model</w:t>
            </w:r>
          </w:p>
        </w:tc>
        <w:tc>
          <w:tcPr>
            <w:tcW w:type="dxa" w:w="6800"/>
            <w:shd w:fill="1F3864" w:val="clear"/>
            <w:tcMar>
              <w:top w:type="dxa" w:w="80"/>
              <w:left w:type="dxa" w:w="100"/>
              <w:bottom w:type="dxa" w:w="80"/>
              <w:right w:type="dxa" w:w="100"/>
            </w:tcMar>
          </w:tcPr>
          <w:p>
            <w:pPr>
              <w:jc w:val="left"/>
            </w:pPr>
            <w:r>
              <w:rPr>
                <w:b/>
                <w:bCs/>
                <w:color w:val="FFFFFF"/>
                <w:sz w:val="20"/>
                <w:szCs w:val="20"/>
              </w:rPr>
              <w:t xml:space="preserve">Fits when</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Per-seat SaaS</w:t>
            </w:r>
          </w:p>
        </w:tc>
        <w:tc>
          <w:tcPr>
            <w:tcW w:type="dxa" w:w="6800"/>
            <w:tcMar>
              <w:top w:type="dxa" w:w="80"/>
              <w:left w:type="dxa" w:w="100"/>
              <w:bottom w:type="dxa" w:w="80"/>
              <w:right w:type="dxa" w:w="100"/>
            </w:tcMar>
          </w:tcPr>
          <w:p>
            <w:pPr>
              <w:jc w:val="left"/>
            </w:pPr>
            <w:r>
              <w:rPr>
                <w:b w:val="false"/>
                <w:bCs w:val="false"/>
                <w:color w:val="000000"/>
                <w:sz w:val="20"/>
                <w:szCs w:val="20"/>
              </w:rPr>
              <w:t xml:space="preserve">Regular, high-volume estimating teams</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Per-project</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Sporadic estimating usage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Usage-based</w:t>
            </w:r>
          </w:p>
        </w:tc>
        <w:tc>
          <w:tcPr>
            <w:tcW w:type="dxa" w:w="6800"/>
            <w:tcMar>
              <w:top w:type="dxa" w:w="80"/>
              <w:left w:type="dxa" w:w="100"/>
              <w:bottom w:type="dxa" w:w="80"/>
              <w:right w:type="dxa" w:w="100"/>
            </w:tcMar>
          </w:tcPr>
          <w:p>
            <w:pPr>
              <w:jc w:val="left"/>
            </w:pPr>
            <w:r>
              <w:rPr>
                <w:b w:val="false"/>
                <w:bCs w:val="false"/>
                <w:color w:val="000000"/>
                <w:sz w:val="20"/>
                <w:szCs w:val="20"/>
              </w:rPr>
              <w:t xml:space="preserve">Variable team size</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Enterprise annual</w:t>
            </w:r>
          </w:p>
        </w:tc>
        <w:tc>
          <w:tcPr>
            <w:tcW w:type="dxa" w:w="6800"/>
            <w:shd w:fill="F2F2F2" w:val="clear"/>
            <w:tcMar>
              <w:top w:type="dxa" w:w="80"/>
              <w:left w:type="dxa" w:w="100"/>
              <w:bottom w:type="dxa" w:w="80"/>
              <w:right w:type="dxa" w:w="100"/>
            </w:tcMar>
          </w:tcPr>
          <w:p>
            <w:pPr>
              <w:jc w:val="left"/>
            </w:pPr>
            <w:r>
              <w:rPr>
                <w:b w:val="false"/>
                <w:bCs w:val="false"/>
                <w:color w:val="000000"/>
                <w:sz w:val="20"/>
                <w:szCs w:val="20"/>
              </w:rPr>
              <w:t xml:space="preserve">Large teams with a procurement process</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Hybrid (base + overage)</w:t>
            </w:r>
          </w:p>
        </w:tc>
        <w:tc>
          <w:tcPr>
            <w:tcW w:type="dxa" w:w="6800"/>
            <w:tcMar>
              <w:top w:type="dxa" w:w="80"/>
              <w:left w:type="dxa" w:w="100"/>
              <w:bottom w:type="dxa" w:w="80"/>
              <w:right w:type="dxa" w:w="100"/>
            </w:tcMar>
          </w:tcPr>
          <w:p>
            <w:pPr>
              <w:jc w:val="left"/>
            </w:pPr>
            <w:r>
              <w:rPr>
                <w:b w:val="false"/>
                <w:bCs w:val="false"/>
                <w:color w:val="000000"/>
                <w:sz w:val="20"/>
                <w:szCs w:val="20"/>
              </w:rPr>
              <w:t xml:space="preserve">Mixed team compositions</w:t>
            </w:r>
          </w:p>
        </w:tc>
      </w:tr>
    </w:tbl>
    <w:p>
      <w:pPr>
        <w:spacing w:after="100"/>
      </w:pPr>
    </w:p>
    <w:p>
      <w:pPr>
        <w:spacing w:after="160" w:line="276"/>
      </w:pPr>
      <w:r>
        <w:t xml:space="preserve">Market comps suggest a plausible range of $100–400 per user per month for H1-style tools, based on competitor pricing (Quotr.ai around $300–500/mo, BuildVision AI similar, Togal.AI $199–299/user/mo, Countfire $3,000–5,000+/yr, Bobyard from $35/mo).</w:t>
      </w:r>
    </w:p>
    <w:p>
      <w:pPr>
        <w:pBdr>
          <w:left w:val="single" w:color="2E74B5" w:sz="18" w:space="8"/>
        </w:pBdr>
        <w:shd w:fill="DDEBF7" w:val="clear"/>
        <w:spacing w:after="200" w:before="100"/>
      </w:pPr>
      <w:r>
        <w:rPr>
          <w:b/>
          <w:bCs/>
          <w:i/>
          <w:iCs/>
          <w:color w:val="1F3864"/>
        </w:rPr>
        <w:t xml:space="preserve">Note: </w:t>
      </w:r>
      <w:r>
        <w:rPr>
          <w:i/>
          <w:iCs/>
          <w:color w:val="3B3B3B"/>
        </w:rPr>
        <w:t xml:space="preserve">H2's likely business model looks completely different — CPQ-style products are typically long-cycle, enterprise, and customized to each customer's own product catalog, closer to implementation services than self-serve SaaS. The project's documents explicitly warn against reusing H1's pricing assumptions for H2.</w:t>
      </w:r>
    </w:p>
    <w:p>
      <w:pPr>
        <w:pStyle w:val="Heading1"/>
        <w:spacing w:after="200" w:before="400"/>
      </w:pPr>
      <w:r>
        <w:t xml:space="preserve">10. How Success Is Being Measured — the Six Gates</w:t>
      </w:r>
    </w:p>
    <w:p>
      <w:pPr>
        <w:spacing w:after="160" w:line="276"/>
      </w:pPr>
      <w:r>
        <w:t xml:space="preserve">Rather than deciding up front what to build, the project uses a staged "gate" system: each gate must be passed with real evidence before the next one becomes the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00"/>
      </w:tblGrid>
      <w:tr>
        <w:trPr>
          <w:tblHeader/>
        </w:trPr>
        <w:tc>
          <w:tcPr>
            <w:tcW w:type="dxa" w:w="1400"/>
            <w:shd w:fill="1F3864" w:val="clear"/>
            <w:tcMar>
              <w:top w:type="dxa" w:w="80"/>
              <w:left w:type="dxa" w:w="100"/>
              <w:bottom w:type="dxa" w:w="80"/>
              <w:right w:type="dxa" w:w="100"/>
            </w:tcMar>
          </w:tcPr>
          <w:p>
            <w:pPr>
              <w:jc w:val="left"/>
            </w:pPr>
            <w:r>
              <w:rPr>
                <w:b/>
                <w:bCs/>
                <w:color w:val="FFFFFF"/>
                <w:sz w:val="20"/>
                <w:szCs w:val="20"/>
              </w:rPr>
              <w:t xml:space="preserve">Gate</w:t>
            </w:r>
          </w:p>
        </w:tc>
        <w:tc>
          <w:tcPr>
            <w:tcW w:type="dxa" w:w="3800"/>
            <w:shd w:fill="1F3864" w:val="clear"/>
            <w:tcMar>
              <w:top w:type="dxa" w:w="80"/>
              <w:left w:type="dxa" w:w="100"/>
              <w:bottom w:type="dxa" w:w="80"/>
              <w:right w:type="dxa" w:w="100"/>
            </w:tcMar>
          </w:tcPr>
          <w:p>
            <w:pPr>
              <w:jc w:val="left"/>
            </w:pPr>
            <w:r>
              <w:rPr>
                <w:b/>
                <w:bCs/>
                <w:color w:val="FFFFFF"/>
                <w:sz w:val="20"/>
                <w:szCs w:val="20"/>
              </w:rPr>
              <w:t xml:space="preserve">Core question</w:t>
            </w:r>
          </w:p>
        </w:tc>
        <w:tc>
          <w:tcPr>
            <w:tcW w:type="dxa" w:w="3800"/>
            <w:shd w:fill="1F3864" w:val="clear"/>
            <w:tcMar>
              <w:top w:type="dxa" w:w="80"/>
              <w:left w:type="dxa" w:w="100"/>
              <w:bottom w:type="dxa" w:w="80"/>
              <w:right w:type="dxa" w:w="100"/>
            </w:tcMar>
          </w:tcPr>
          <w:p>
            <w:pPr>
              <w:jc w:val="left"/>
            </w:pPr>
            <w:r>
              <w:rPr>
                <w:b/>
                <w:bCs/>
                <w:color w:val="FFFFFF"/>
                <w:sz w:val="20"/>
                <w:szCs w:val="20"/>
              </w:rPr>
              <w:t xml:space="preserve">What would pass it</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1 — Pain</w:t>
            </w:r>
          </w:p>
        </w:tc>
        <w:tc>
          <w:tcPr>
            <w:tcW w:type="dxa" w:w="3800"/>
            <w:tcMar>
              <w:top w:type="dxa" w:w="80"/>
              <w:left w:type="dxa" w:w="100"/>
              <w:bottom w:type="dxa" w:w="80"/>
              <w:right w:type="dxa" w:w="100"/>
            </w:tcMar>
          </w:tcPr>
          <w:p>
            <w:pPr>
              <w:jc w:val="left"/>
            </w:pPr>
            <w:r>
              <w:rPr>
                <w:b w:val="false"/>
                <w:bCs w:val="false"/>
                <w:color w:val="000000"/>
                <w:sz w:val="20"/>
                <w:szCs w:val="20"/>
              </w:rPr>
              <w:t xml:space="preserve">Is the problem meaningful and economically significant?</w:t>
            </w:r>
          </w:p>
        </w:tc>
        <w:tc>
          <w:tcPr>
            <w:tcW w:type="dxa" w:w="3800"/>
            <w:tcMar>
              <w:top w:type="dxa" w:w="80"/>
              <w:left w:type="dxa" w:w="100"/>
              <w:bottom w:type="dxa" w:w="80"/>
              <w:right w:type="dxa" w:w="100"/>
            </w:tcMar>
          </w:tcPr>
          <w:p>
            <w:pPr>
              <w:jc w:val="left"/>
            </w:pPr>
            <w:r>
              <w:rPr>
                <w:b w:val="false"/>
                <w:bCs w:val="false"/>
                <w:color w:val="000000"/>
                <w:sz w:val="20"/>
                <w:szCs w:val="20"/>
              </w:rPr>
              <w:t xml:space="preserve">7+ of 10 estimators describe real, unresolved friction current tools don't fix</w:t>
            </w:r>
          </w:p>
        </w:tc>
      </w:tr>
      <w:tr>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2 — Workflow</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Where exactly is the bottleneck?</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A clear, evidence-based map of where time actually goes</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3 — Technical</w:t>
            </w:r>
          </w:p>
        </w:tc>
        <w:tc>
          <w:tcPr>
            <w:tcW w:type="dxa" w:w="3800"/>
            <w:tcMar>
              <w:top w:type="dxa" w:w="80"/>
              <w:left w:type="dxa" w:w="100"/>
              <w:bottom w:type="dxa" w:w="80"/>
              <w:right w:type="dxa" w:w="100"/>
            </w:tcMar>
          </w:tcPr>
          <w:p>
            <w:pPr>
              <w:jc w:val="left"/>
            </w:pPr>
            <w:r>
              <w:rPr>
                <w:b w:val="false"/>
                <w:bCs w:val="false"/>
                <w:color w:val="000000"/>
                <w:sz w:val="20"/>
                <w:szCs w:val="20"/>
              </w:rPr>
              <w:t xml:space="preserve">Can AI produce a useful first-pass result on real drawings?</w:t>
            </w:r>
          </w:p>
        </w:tc>
        <w:tc>
          <w:tcPr>
            <w:tcW w:type="dxa" w:w="3800"/>
            <w:tcMar>
              <w:top w:type="dxa" w:w="80"/>
              <w:left w:type="dxa" w:w="100"/>
              <w:bottom w:type="dxa" w:w="80"/>
              <w:right w:type="dxa" w:w="100"/>
            </w:tcMar>
          </w:tcPr>
          <w:p>
            <w:pPr>
              <w:jc w:val="left"/>
            </w:pPr>
            <w:r>
              <w:rPr>
                <w:b w:val="false"/>
                <w:bCs w:val="false"/>
                <w:color w:val="000000"/>
                <w:sz w:val="20"/>
                <w:szCs w:val="20"/>
              </w:rPr>
              <w:t xml:space="preserve">&gt;70% true positive rate on common components</w:t>
            </w:r>
          </w:p>
        </w:tc>
      </w:tr>
      <w:tr>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4 — Adoption</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Will estimators actually use this voluntarily?</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&gt;30% time reduction, plus an estimator asking to use it on a real bid</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5 — Economics</w:t>
            </w:r>
          </w:p>
        </w:tc>
        <w:tc>
          <w:tcPr>
            <w:tcW w:type="dxa" w:w="3800"/>
            <w:tcMar>
              <w:top w:type="dxa" w:w="80"/>
              <w:left w:type="dxa" w:w="100"/>
              <w:bottom w:type="dxa" w:w="80"/>
              <w:right w:type="dxa" w:w="100"/>
            </w:tcMar>
          </w:tcPr>
          <w:p>
            <w:pPr>
              <w:jc w:val="left"/>
            </w:pPr>
            <w:r>
              <w:rPr>
                <w:b w:val="false"/>
                <w:bCs w:val="false"/>
                <w:color w:val="000000"/>
                <w:sz w:val="20"/>
                <w:szCs w:val="20"/>
              </w:rPr>
              <w:t xml:space="preserve">Will anyone pay for this?</w:t>
            </w:r>
          </w:p>
        </w:tc>
        <w:tc>
          <w:tcPr>
            <w:tcW w:type="dxa" w:w="3800"/>
            <w:tcMar>
              <w:top w:type="dxa" w:w="80"/>
              <w:left w:type="dxa" w:w="100"/>
              <w:bottom w:type="dxa" w:w="80"/>
              <w:right w:type="dxa" w:w="100"/>
            </w:tcMar>
          </w:tcPr>
          <w:p>
            <w:pPr>
              <w:jc w:val="left"/>
            </w:pPr>
            <w:r>
              <w:rPr>
                <w:b w:val="false"/>
                <w:bCs w:val="false"/>
                <w:color w:val="000000"/>
                <w:sz w:val="20"/>
                <w:szCs w:val="20"/>
              </w:rPr>
              <w:t xml:space="preserve">Any contractor commits to pay before the full product is built</w:t>
            </w:r>
          </w:p>
        </w:tc>
      </w:tr>
      <w:tr>
        <w:tc>
          <w:tcPr>
            <w:tcW w:type="dxa" w:w="1400"/>
            <w:shd w:fill="F2F2F2" w:val="clear"/>
            <w:tcMar>
              <w:top w:type="dxa" w:w="80"/>
              <w:left w:type="dxa" w:w="100"/>
              <w:bottom w:type="dxa" w:w="80"/>
              <w:right w:type="dxa" w:w="100"/>
            </w:tcMar>
          </w:tcPr>
          <w:p>
            <w:pPr>
              <w:jc w:val="left"/>
            </w:pPr>
            <w:r>
              <w:rPr>
                <w:b w:val="false"/>
                <w:bCs w:val="false"/>
                <w:color w:val="000000"/>
                <w:sz w:val="20"/>
                <w:szCs w:val="20"/>
              </w:rPr>
              <w:t xml:space="preserve">6 — Learning</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Does repeated use measurably improve the system?</w:t>
            </w:r>
          </w:p>
        </w:tc>
        <w:tc>
          <w:tcPr>
            <w:tcW w:type="dxa" w:w="3800"/>
            <w:shd w:fill="F2F2F2" w:val="clear"/>
            <w:tcMar>
              <w:top w:type="dxa" w:w="80"/>
              <w:left w:type="dxa" w:w="100"/>
              <w:bottom w:type="dxa" w:w="80"/>
              <w:right w:type="dxa" w:w="100"/>
            </w:tcMar>
          </w:tcPr>
          <w:p>
            <w:pPr>
              <w:jc w:val="left"/>
            </w:pPr>
            <w:r>
              <w:rPr>
                <w:b w:val="false"/>
                <w:bCs w:val="false"/>
                <w:color w:val="000000"/>
                <w:sz w:val="20"/>
                <w:szCs w:val="20"/>
              </w:rPr>
              <w:t xml:space="preserve">Statistically significant improvement in blind evaluation</w:t>
            </w:r>
          </w:p>
        </w:tc>
      </w:tr>
    </w:tbl>
    <w:p>
      <w:pPr>
        <w:spacing w:after="100"/>
      </w:pPr>
    </w:p>
    <w:p>
      <w:pPr>
        <w:spacing w:after="160" w:line="276"/>
      </w:pPr>
      <w:r>
        <w:t xml:space="preserve">H2 has its own parallel set of four gates (H2-1 through H2-4), covering: pain beyond one source, separating the "assembly" bottleneck from the "negotiation" bottleneck, a direct CPQ competitive reality check, and — only after the first three pass — a technical feasibility spike.</w:t>
      </w:r>
    </w:p>
    <w:p>
      <w:pPr>
        <w:pStyle w:val="Heading1"/>
        <w:spacing w:after="200" w:before="400"/>
      </w:pPr>
      <w:r>
        <w:t xml:space="preserve">11. Key Risks</w:t>
      </w:r>
    </w:p>
    <w:p>
      <w:pPr>
        <w:spacing w:after="160" w:line="276"/>
      </w:pPr>
      <w:r>
        <w:t xml:space="preserve">The project keeps an explicit, honestly-scored risk matrix. Some of the most significant risks:</w:t>
      </w:r>
    </w:p>
    <w:p>
      <w:pPr>
        <w:pStyle w:val="ListParagraph"/>
        <w:numPr>
          <w:ilvl w:val="0"/>
          <w:numId w:val="1"/>
        </w:numPr>
        <w:spacing w:after="90" w:line="270"/>
      </w:pPr>
      <w:r>
        <w:t xml:space="preserve">Drawing variability: real, messy contractor scans may degrade AI accuracy well below clean demo conditions.</w:t>
      </w:r>
    </w:p>
    <w:p>
      <w:pPr>
        <w:pStyle w:val="ListParagraph"/>
        <w:numPr>
          <w:ilvl w:val="0"/>
          <w:numId w:val="1"/>
        </w:numPr>
        <w:spacing w:after="90" w:line="270"/>
      </w:pPr>
      <w:r>
        <w:t xml:space="preserve">Well-funded competitor overlap: Beam AI ($48.5M raised, 1,100+ customers) is explicitly expanding into the same later-stage estimating and bidding roadmap Vectoris has planned.</w:t>
      </w:r>
    </w:p>
    <w:p>
      <w:pPr>
        <w:pStyle w:val="ListParagraph"/>
        <w:numPr>
          <w:ilvl w:val="0"/>
          <w:numId w:val="1"/>
        </w:numPr>
        <w:spacing w:after="90" w:line="270"/>
      </w:pPr>
      <w:r>
        <w:t xml:space="preserve">Single-source validation risk (H2): the entire H2 hypothesis currently rests on one phone call with one person at one company.</w:t>
      </w:r>
    </w:p>
    <w:p>
      <w:pPr>
        <w:pStyle w:val="ListParagraph"/>
        <w:numPr>
          <w:ilvl w:val="0"/>
          <w:numId w:val="1"/>
        </w:numPr>
        <w:spacing w:after="90" w:line="270"/>
      </w:pPr>
      <w:r>
        <w:t xml:space="preserve">Conflating two different H2 bottlenecks: "solution assembly" (a computation problem) and "negotiation/approval" (an internal authority problem) likely need different solutions — building one feature assuming it fixes both is a named risk.</w:t>
      </w:r>
    </w:p>
    <w:p>
      <w:pPr>
        <w:pStyle w:val="ListParagraph"/>
        <w:numPr>
          <w:ilvl w:val="0"/>
          <w:numId w:val="1"/>
        </w:numPr>
        <w:spacing w:after="90" w:line="270"/>
      </w:pPr>
      <w:r>
        <w:t xml:space="preserve">CPQ incumbent lock-in (H2): Salesforce, SAP, and Oracle benefit from being the default tool inside their own ecosystems, a harder wall than anything H1 faced.</w:t>
      </w:r>
    </w:p>
    <w:p>
      <w:pPr>
        <w:pStyle w:val="ListParagraph"/>
        <w:numPr>
          <w:ilvl w:val="0"/>
          <w:numId w:val="1"/>
        </w:numPr>
        <w:spacing w:after="90" w:line="270"/>
      </w:pPr>
      <w:r>
        <w:t xml:space="preserve">Willingness to pay is unproven for either hypothesis, and the learning-system "moat" is unproven and only ambiguously supported by the closest real-world analog (Countfire).</w:t>
      </w:r>
    </w:p>
    <w:p>
      <w:pPr>
        <w:pBdr>
          <w:left w:val="single" w:color="2E74B5" w:sz="18" w:space="8"/>
        </w:pBdr>
        <w:shd w:fill="DDEBF7" w:val="clear"/>
        <w:spacing w:after="200" w:before="100"/>
      </w:pPr>
      <w:r>
        <w:rPr>
          <w:b/>
          <w:bCs/>
          <w:i/>
          <w:iCs/>
          <w:color w:val="1F3864"/>
        </w:rPr>
        <w:t xml:space="preserve">Caution: </w:t>
      </w:r>
      <w:r>
        <w:rPr>
          <w:i/>
          <w:iCs/>
          <w:color w:val="3B3B3B"/>
        </w:rPr>
        <w:t xml:space="preserve">The project's own rule: never claim a data moat exists — call it a hypothesis until a blind evaluation shows measurable improvement.</w:t>
      </w:r>
    </w:p>
    <w:p>
      <w:pPr>
        <w:pStyle w:val="Heading1"/>
        <w:spacing w:after="200" w:before="400"/>
      </w:pPr>
      <w:r>
        <w:t xml:space="preserve">12. Evidence Gathered So Far — What's Real, What Isn't Yet</w:t>
      </w:r>
    </w:p>
    <w:p>
      <w:pPr>
        <w:spacing w:after="160" w:line="276"/>
      </w:pPr>
      <w:r>
        <w:t xml:space="preserve">A recurring format across the documents is a two-column split between what a piece of evidence actually establishes, and what it must not be assumed to establish. Applied to the single most important piece of evidence so far — the Schneider Electric discovery call: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3864" w:val="clear"/>
            <w:tcMar>
              <w:top w:type="dxa" w:w="80"/>
              <w:left w:type="dxa" w:w="100"/>
              <w:bottom w:type="dxa" w:w="80"/>
              <w:right w:type="dxa" w:w="100"/>
            </w:tcMar>
          </w:tcPr>
          <w:p>
            <w:pPr>
              <w:jc w:val="left"/>
            </w:pPr>
            <w:r>
              <w:rPr>
                <w:b/>
                <w:bCs/>
                <w:color w:val="FFFFFF"/>
                <w:sz w:val="20"/>
                <w:szCs w:val="20"/>
              </w:rPr>
              <w:t xml:space="preserve">Established</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NOT established</w:t>
            </w:r>
          </w:p>
        </w:tc>
      </w:tr>
      <w:tr>
        <w:tc>
          <w:tcPr>
            <w:tcW w:type="dxa" w:w="4700"/>
            <w:tcMar>
              <w:top w:type="dxa" w:w="80"/>
              <w:left w:type="dxa" w:w="100"/>
              <w:bottom w:type="dxa" w:w="80"/>
              <w:right w:type="dxa" w:w="100"/>
            </w:tcMar>
          </w:tcPr>
          <w:p>
            <w:pPr>
              <w:jc w:val="left"/>
            </w:pPr>
            <w:r>
              <w:rPr>
                <w:b w:val="false"/>
                <w:bCs w:val="false"/>
                <w:color w:val="000000"/>
                <w:sz w:val="20"/>
                <w:szCs w:val="20"/>
              </w:rPr>
              <w:t xml:space="preserve">Solution assembly across product lines takes 2–3 days at one large OEM, split across multiple teams.</w:t>
            </w:r>
          </w:p>
        </w:tc>
        <w:tc>
          <w:tcPr>
            <w:tcW w:type="dxa" w:w="4700"/>
            <w:tcMar>
              <w:top w:type="dxa" w:w="80"/>
              <w:left w:type="dxa" w:w="100"/>
              <w:bottom w:type="dxa" w:w="80"/>
              <w:right w:type="dxa" w:w="100"/>
            </w:tcMar>
          </w:tcPr>
          <w:p>
            <w:pPr>
              <w:jc w:val="left"/>
            </w:pPr>
            <w:r>
              <w:rPr>
                <w:b w:val="false"/>
                <w:bCs w:val="false"/>
                <w:color w:val="000000"/>
                <w:sz w:val="20"/>
                <w:szCs w:val="20"/>
              </w:rPr>
              <w:t xml:space="preserve">That this pain exists, or exists at this severity, at the actual target customer (small/mid system integrators).</w:t>
            </w:r>
          </w:p>
        </w:tc>
      </w:tr>
      <w:tr>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Unit/list pricing is fast — near-instant via an internal portal.</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That pricing lookup is equally fast for system integrators without similarly mature tooling.</w:t>
            </w:r>
          </w:p>
        </w:tc>
      </w:tr>
      <w:tr>
        <w:tc>
          <w:tcPr>
            <w:tcW w:type="dxa" w:w="4700"/>
            <w:tcMar>
              <w:top w:type="dxa" w:w="80"/>
              <w:left w:type="dxa" w:w="100"/>
              <w:bottom w:type="dxa" w:w="80"/>
              <w:right w:type="dxa" w:w="100"/>
            </w:tcMar>
          </w:tcPr>
          <w:p>
            <w:pPr>
              <w:jc w:val="left"/>
            </w:pPr>
            <w:r>
              <w:rPr>
                <w:b w:val="false"/>
                <w:bCs w:val="false"/>
                <w:color w:val="000000"/>
                <w:sz w:val="20"/>
                <w:szCs w:val="20"/>
              </w:rPr>
              <w:t xml:space="preserve">Negotiation to a customer's target price can take up to a week, and is a margin/approval process, not a computation problem.</w:t>
            </w:r>
          </w:p>
        </w:tc>
        <w:tc>
          <w:tcPr>
            <w:tcW w:type="dxa" w:w="4700"/>
            <w:tcMar>
              <w:top w:type="dxa" w:w="80"/>
              <w:left w:type="dxa" w:w="100"/>
              <w:bottom w:type="dxa" w:w="80"/>
              <w:right w:type="dxa" w:w="100"/>
            </w:tcMar>
          </w:tcPr>
          <w:p>
            <w:pPr>
              <w:jc w:val="left"/>
            </w:pPr>
            <w:r>
              <w:rPr>
                <w:b w:val="false"/>
                <w:bCs w:val="false"/>
                <w:color w:val="000000"/>
                <w:sz w:val="20"/>
                <w:szCs w:val="20"/>
              </w:rPr>
              <w:t xml:space="preserve">That this is solvable by better AI configuration — it may need different tooling entirely.</w:t>
            </w:r>
          </w:p>
        </w:tc>
      </w:tr>
      <w:tr>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One BD manager reacted positively and specifically to the AI-configuration concept.</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That this constitutes market validation, willingness to pay, or a committed pilot.</w:t>
            </w:r>
          </w:p>
        </w:tc>
      </w:tr>
    </w:tbl>
    <w:p>
      <w:pPr>
        <w:spacing w:after="100"/>
      </w:pPr>
    </w:p>
    <w:p>
      <w:pPr>
        <w:pStyle w:val="Heading3"/>
        <w:spacing w:after="100" w:before="200"/>
      </w:pPr>
      <w:r>
        <w:t xml:space="preserve">The signal-strength scale used throughout the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500"/>
        <w:gridCol w:w="2900"/>
      </w:tblGrid>
      <w:tr>
        <w:trPr>
          <w:tblHeader/>
        </w:trPr>
        <w:tc>
          <w:tcPr>
            <w:tcW w:type="dxa" w:w="6500"/>
            <w:shd w:fill="1F3864" w:val="clear"/>
            <w:tcMar>
              <w:top w:type="dxa" w:w="80"/>
              <w:left w:type="dxa" w:w="100"/>
              <w:bottom w:type="dxa" w:w="80"/>
              <w:right w:type="dxa" w:w="100"/>
            </w:tcMar>
          </w:tcPr>
          <w:p>
            <w:pPr>
              <w:jc w:val="left"/>
            </w:pPr>
            <w:r>
              <w:rPr>
                <w:b/>
                <w:bCs/>
                <w:color w:val="FFFFFF"/>
                <w:sz w:val="20"/>
                <w:szCs w:val="20"/>
              </w:rPr>
              <w:t xml:space="preserve">Signal</w:t>
            </w:r>
          </w:p>
        </w:tc>
        <w:tc>
          <w:tcPr>
            <w:tcW w:type="dxa" w:w="2900"/>
            <w:shd w:fill="1F3864" w:val="clear"/>
            <w:tcMar>
              <w:top w:type="dxa" w:w="80"/>
              <w:left w:type="dxa" w:w="100"/>
              <w:bottom w:type="dxa" w:w="80"/>
              <w:right w:type="dxa" w:w="100"/>
            </w:tcMar>
          </w:tcPr>
          <w:p>
            <w:pPr>
              <w:jc w:val="left"/>
            </w:pPr>
            <w:r>
              <w:rPr>
                <w:b/>
                <w:bCs/>
                <w:color w:val="FFFFFF"/>
                <w:sz w:val="20"/>
                <w:szCs w:val="20"/>
              </w:rPr>
              <w:t xml:space="preserve">Strength</w:t>
            </w:r>
          </w:p>
        </w:tc>
      </w:tr>
      <w:tr>
        <w:tc>
          <w:tcPr>
            <w:tcW w:type="dxa" w:w="6500"/>
            <w:tcMar>
              <w:top w:type="dxa" w:w="80"/>
              <w:left w:type="dxa" w:w="100"/>
              <w:bottom w:type="dxa" w:w="80"/>
              <w:right w:type="dxa" w:w="100"/>
            </w:tcMar>
          </w:tcPr>
          <w:p>
            <w:pPr>
              <w:jc w:val="left"/>
            </w:pPr>
            <w:r>
              <w:rPr>
                <w:b w:val="false"/>
                <w:bCs w:val="false"/>
                <w:color w:val="000000"/>
                <w:sz w:val="20"/>
                <w:szCs w:val="20"/>
              </w:rPr>
              <w:t xml:space="preserve">"Yeah, that would be cool"</w:t>
            </w:r>
          </w:p>
        </w:tc>
        <w:tc>
          <w:tcPr>
            <w:tcW w:type="dxa" w:w="2900"/>
            <w:tcMar>
              <w:top w:type="dxa" w:w="80"/>
              <w:left w:type="dxa" w:w="100"/>
              <w:bottom w:type="dxa" w:w="80"/>
              <w:right w:type="dxa" w:w="100"/>
            </w:tcMar>
          </w:tcPr>
          <w:p>
            <w:pPr>
              <w:jc w:val="left"/>
            </w:pPr>
            <w:r>
              <w:rPr>
                <w:b w:val="false"/>
                <w:bCs w:val="false"/>
                <w:color w:val="000000"/>
                <w:sz w:val="20"/>
                <w:szCs w:val="20"/>
              </w:rPr>
              <w:t xml:space="preserve">Weak</w:t>
            </w:r>
          </w:p>
        </w:tc>
      </w:tr>
      <w:tr>
        <w:tc>
          <w:tcPr>
            <w:tcW w:type="dxa" w:w="6500"/>
            <w:shd w:fill="F2F2F2" w:val="clear"/>
            <w:tcMar>
              <w:top w:type="dxa" w:w="80"/>
              <w:left w:type="dxa" w:w="100"/>
              <w:bottom w:type="dxa" w:w="80"/>
              <w:right w:type="dxa" w:w="100"/>
            </w:tcMar>
          </w:tcPr>
          <w:p>
            <w:pPr>
              <w:jc w:val="left"/>
            </w:pPr>
            <w:r>
              <w:rPr>
                <w:b w:val="false"/>
                <w:bCs w:val="false"/>
                <w:color w:val="000000"/>
                <w:sz w:val="20"/>
                <w:szCs w:val="20"/>
              </w:rPr>
              <w:t xml:space="preserve">"I spend hours doing this every week"</w:t>
            </w:r>
          </w:p>
        </w:tc>
        <w:tc>
          <w:tcPr>
            <w:tcW w:type="dxa" w:w="2900"/>
            <w:shd w:fill="F2F2F2" w:val="clear"/>
            <w:tcMar>
              <w:top w:type="dxa" w:w="80"/>
              <w:left w:type="dxa" w:w="100"/>
              <w:bottom w:type="dxa" w:w="80"/>
              <w:right w:type="dxa" w:w="100"/>
            </w:tcMar>
          </w:tcPr>
          <w:p>
            <w:pPr>
              <w:jc w:val="left"/>
            </w:pPr>
            <w:r>
              <w:rPr>
                <w:b w:val="false"/>
                <w:bCs w:val="false"/>
                <w:color w:val="000000"/>
                <w:sz w:val="20"/>
                <w:szCs w:val="20"/>
              </w:rPr>
              <w:t xml:space="preserve">Medium</w:t>
            </w:r>
          </w:p>
        </w:tc>
      </w:tr>
      <w:tr>
        <w:tc>
          <w:tcPr>
            <w:tcW w:type="dxa" w:w="6500"/>
            <w:tcMar>
              <w:top w:type="dxa" w:w="80"/>
              <w:left w:type="dxa" w:w="100"/>
              <w:bottom w:type="dxa" w:w="80"/>
              <w:right w:type="dxa" w:w="100"/>
            </w:tcMar>
          </w:tcPr>
          <w:p>
            <w:pPr>
              <w:jc w:val="left"/>
            </w:pPr>
            <w:r>
              <w:rPr>
                <w:b w:val="false"/>
                <w:bCs w:val="false"/>
                <w:color w:val="000000"/>
                <w:sz w:val="20"/>
                <w:szCs w:val="20"/>
              </w:rPr>
              <w:t xml:space="preserve">"We already pay for software because this takes too long"</w:t>
            </w:r>
          </w:p>
        </w:tc>
        <w:tc>
          <w:tcPr>
            <w:tcW w:type="dxa" w:w="2900"/>
            <w:tcMar>
              <w:top w:type="dxa" w:w="80"/>
              <w:left w:type="dxa" w:w="100"/>
              <w:bottom w:type="dxa" w:w="80"/>
              <w:right w:type="dxa" w:w="100"/>
            </w:tcMar>
          </w:tcPr>
          <w:p>
            <w:pPr>
              <w:jc w:val="left"/>
            </w:pPr>
            <w:r>
              <w:rPr>
                <w:b w:val="false"/>
                <w:bCs w:val="false"/>
                <w:color w:val="000000"/>
                <w:sz w:val="20"/>
                <w:szCs w:val="20"/>
              </w:rPr>
              <w:t xml:space="preserve">Strong</w:t>
            </w:r>
          </w:p>
        </w:tc>
      </w:tr>
      <w:tr>
        <w:tc>
          <w:tcPr>
            <w:tcW w:type="dxa" w:w="6500"/>
            <w:shd w:fill="F2F2F2" w:val="clear"/>
            <w:tcMar>
              <w:top w:type="dxa" w:w="80"/>
              <w:left w:type="dxa" w:w="100"/>
              <w:bottom w:type="dxa" w:w="80"/>
              <w:right w:type="dxa" w:w="100"/>
            </w:tcMar>
          </w:tcPr>
          <w:p>
            <w:pPr>
              <w:jc w:val="left"/>
            </w:pPr>
            <w:r>
              <w:rPr>
                <w:b w:val="false"/>
                <w:bCs w:val="false"/>
                <w:color w:val="000000"/>
                <w:sz w:val="20"/>
                <w:szCs w:val="20"/>
              </w:rPr>
              <w:t xml:space="preserve">"Can I try this on our next bid?"</w:t>
            </w:r>
          </w:p>
        </w:tc>
        <w:tc>
          <w:tcPr>
            <w:tcW w:type="dxa" w:w="2900"/>
            <w:shd w:fill="F2F2F2" w:val="clear"/>
            <w:tcMar>
              <w:top w:type="dxa" w:w="80"/>
              <w:left w:type="dxa" w:w="100"/>
              <w:bottom w:type="dxa" w:w="80"/>
              <w:right w:type="dxa" w:w="100"/>
            </w:tcMar>
          </w:tcPr>
          <w:p>
            <w:pPr>
              <w:jc w:val="left"/>
            </w:pPr>
            <w:r>
              <w:rPr>
                <w:b w:val="false"/>
                <w:bCs w:val="false"/>
                <w:color w:val="000000"/>
                <w:sz w:val="20"/>
                <w:szCs w:val="20"/>
              </w:rPr>
              <w:t xml:space="preserve">Very strong</w:t>
            </w:r>
          </w:p>
        </w:tc>
      </w:tr>
      <w:tr>
        <w:tc>
          <w:tcPr>
            <w:tcW w:type="dxa" w:w="6500"/>
            <w:tcMar>
              <w:top w:type="dxa" w:w="80"/>
              <w:left w:type="dxa" w:w="100"/>
              <w:bottom w:type="dxa" w:w="80"/>
              <w:right w:type="dxa" w:w="100"/>
            </w:tcMar>
          </w:tcPr>
          <w:p>
            <w:pPr>
              <w:jc w:val="left"/>
            </w:pPr>
            <w:r>
              <w:rPr>
                <w:b w:val="false"/>
                <w:bCs w:val="false"/>
                <w:color w:val="000000"/>
                <w:sz w:val="20"/>
                <w:szCs w:val="20"/>
              </w:rPr>
              <w:t xml:space="preserve">Any form of upfront commitment or payment</w:t>
            </w:r>
          </w:p>
        </w:tc>
        <w:tc>
          <w:tcPr>
            <w:tcW w:type="dxa" w:w="2900"/>
            <w:tcMar>
              <w:top w:type="dxa" w:w="80"/>
              <w:left w:type="dxa" w:w="100"/>
              <w:bottom w:type="dxa" w:w="80"/>
              <w:right w:type="dxa" w:w="100"/>
            </w:tcMar>
          </w:tcPr>
          <w:p>
            <w:pPr>
              <w:jc w:val="left"/>
            </w:pPr>
            <w:r>
              <w:rPr>
                <w:b w:val="false"/>
                <w:bCs w:val="false"/>
                <w:color w:val="000000"/>
                <w:sz w:val="20"/>
                <w:szCs w:val="20"/>
              </w:rPr>
              <w:t xml:space="preserve">Strongest</w:t>
            </w:r>
          </w:p>
        </w:tc>
      </w:tr>
    </w:tbl>
    <w:p>
      <w:pPr>
        <w:spacing w:after="100"/>
      </w:pPr>
    </w:p>
    <w:p>
      <w:pPr>
        <w:pBdr>
          <w:left w:val="single" w:color="2E74B5" w:sz="18" w:space="8"/>
        </w:pBdr>
        <w:shd w:fill="DDEBF7" w:val="clear"/>
        <w:spacing w:after="200" w:before="100"/>
      </w:pPr>
      <w:r>
        <w:rPr>
          <w:b/>
          <w:bCs/>
          <w:i/>
          <w:iCs/>
          <w:color w:val="1F3864"/>
        </w:rPr>
        <w:t xml:space="preserve">Note: </w:t>
      </w:r>
      <w:r>
        <w:rPr>
          <w:i/>
          <w:iCs/>
          <w:color w:val="3B3B3B"/>
        </w:rPr>
        <w:t xml:space="preserve">Graded against this scale, the Schneider call's reaction ("that's really impressive," "it will help, correct") lands at Weak-to-Medium — a real, specific description of pain, but not validation. The documents are explicit that this must not be inflated into stronger evidence than it is.</w:t>
      </w:r>
    </w:p>
    <w:p>
      <w:pPr>
        <w:pStyle w:val="Heading1"/>
        <w:spacing w:after="200" w:before="400"/>
      </w:pPr>
      <w:r>
        <w:t xml:space="preserve">13. What Happens Next</w:t>
      </w:r>
    </w:p>
    <w:p>
      <w:pPr>
        <w:pStyle w:val="Heading2"/>
        <w:spacing w:after="150" w:before="300"/>
      </w:pPr>
      <w:r>
        <w:t xml:space="preserve">13.1 Immediate next steps</w:t>
      </w:r>
    </w:p>
    <w:p>
      <w:pPr>
        <w:pStyle w:val="ListParagraph"/>
        <w:numPr>
          <w:ilvl w:val="0"/>
          <w:numId w:val="1"/>
        </w:numPr>
        <w:spacing w:after="90" w:line="270"/>
      </w:pPr>
      <w:r>
        <w:t xml:space="preserve">Run the full H1 discovery script with 10–20 electrical contractors, and the H2 discovery script with 5+ system integrators (not more OEM-side contacts).</w:t>
      </w:r>
    </w:p>
    <w:p>
      <w:pPr>
        <w:pStyle w:val="ListParagraph"/>
        <w:numPr>
          <w:ilvl w:val="0"/>
          <w:numId w:val="1"/>
        </w:numPr>
        <w:spacing w:after="90" w:line="270"/>
      </w:pPr>
      <w:r>
        <w:t xml:space="preserve">Ask system integrators directly whether they already use CPQ tools like Salesforce or SAP, and what's specifically missing for electrical/MEP work — the fastest way to find out if H2 is real whitespace.</w:t>
      </w:r>
    </w:p>
    <w:p>
      <w:pPr>
        <w:pStyle w:val="ListParagraph"/>
        <w:numPr>
          <w:ilvl w:val="0"/>
          <w:numId w:val="1"/>
        </w:numPr>
        <w:spacing w:after="90" w:line="270"/>
      </w:pPr>
      <w:r>
        <w:t xml:space="preserve">Explicitly separate the "solution assembly" question from the "negotiation/approval" question in every future H2 conversation.</w:t>
      </w:r>
    </w:p>
    <w:p>
      <w:pPr>
        <w:pStyle w:val="ListParagraph"/>
        <w:numPr>
          <w:ilvl w:val="0"/>
          <w:numId w:val="1"/>
        </w:numPr>
        <w:spacing w:after="90" w:line="270"/>
      </w:pPr>
      <w:r>
        <w:t xml:space="preserve">Request real, anonymized BOQs (and, where authorized, their source drawings/requirements) from future interviewees, to test claims against actual finished artifacts rather than only self-reported estimates.</w:t>
      </w:r>
    </w:p>
    <w:p>
      <w:pPr>
        <w:pStyle w:val="ListParagraph"/>
        <w:numPr>
          <w:ilvl w:val="0"/>
          <w:numId w:val="1"/>
        </w:numPr>
        <w:spacing w:after="90" w:line="270"/>
      </w:pPr>
      <w:r>
        <w:t xml:space="preserve">Run the H1 technical spike on 5+ diverse, real (not clean demo) drawing packages.</w:t>
      </w:r>
    </w:p>
    <w:p>
      <w:pPr>
        <w:pStyle w:val="Heading2"/>
        <w:spacing w:after="150" w:before="300"/>
      </w:pPr>
      <w:r>
        <w:t xml:space="preserve">13.2 What NOT to do next</w:t>
      </w:r>
    </w:p>
    <w:p>
      <w:pPr>
        <w:pStyle w:val="ListParagraph"/>
        <w:numPr>
          <w:ilvl w:val="0"/>
          <w:numId w:val="1"/>
        </w:numPr>
        <w:spacing w:after="90" w:line="270"/>
      </w:pPr>
      <w:r>
        <w:t xml:space="preserve">Do not treat "AI takeoff + human review" as a differentiator — it's the current baseline for at least five funded competitors.</w:t>
      </w:r>
    </w:p>
    <w:p>
      <w:pPr>
        <w:pStyle w:val="ListParagraph"/>
        <w:numPr>
          <w:ilvl w:val="0"/>
          <w:numId w:val="1"/>
        </w:numPr>
        <w:spacing w:after="90" w:line="270"/>
      </w:pPr>
      <w:r>
        <w:t xml:space="preserve">Do not build a polished UI before validating detection accuracy on messy scans.</w:t>
      </w:r>
    </w:p>
    <w:p>
      <w:pPr>
        <w:pStyle w:val="ListParagraph"/>
        <w:numPr>
          <w:ilvl w:val="0"/>
          <w:numId w:val="1"/>
        </w:numPr>
        <w:spacing w:after="90" w:line="270"/>
      </w:pPr>
      <w:r>
        <w:t xml:space="preserve">Do not treat one enthusiastic reaction from one OEM employee as validated demand for H2.</w:t>
      </w:r>
    </w:p>
    <w:p>
      <w:pPr>
        <w:pStyle w:val="ListParagraph"/>
        <w:numPr>
          <w:ilvl w:val="0"/>
          <w:numId w:val="1"/>
        </w:numPr>
        <w:spacing w:after="90" w:line="270"/>
      </w:pPr>
      <w:r>
        <w:t xml:space="preserve">Do not pitch or build H2 as generic "AI CPQ" without narrowing it to the electrical/MEP compliance gap.</w:t>
      </w:r>
    </w:p>
    <w:p>
      <w:pPr>
        <w:pStyle w:val="ListParagraph"/>
        <w:numPr>
          <w:ilvl w:val="0"/>
          <w:numId w:val="1"/>
        </w:numPr>
        <w:spacing w:after="90" w:line="270"/>
      </w:pPr>
      <w:r>
        <w:t xml:space="preserve">Do not build pricing, labor, or procurement features into the MVP.</w:t>
      </w:r>
    </w:p>
    <w:p>
      <w:pPr>
        <w:pStyle w:val="ListParagraph"/>
        <w:numPr>
          <w:ilvl w:val="0"/>
          <w:numId w:val="1"/>
        </w:numPr>
        <w:spacing w:after="90" w:line="270"/>
      </w:pPr>
      <w:r>
        <w:t xml:space="preserve">Do not let H2's novelty erase the same evidence discipline that correctly identified H1's competitive problems.</w:t>
      </w:r>
    </w:p>
    <w:p>
      <w:pPr>
        <w:pStyle w:val="Heading1"/>
        <w:spacing w:after="200" w:before="400"/>
      </w:pPr>
      <w:r>
        <w:t xml:space="preserve">14. How the Source Documents Fit Together</w:t>
      </w:r>
    </w:p>
    <w:p>
      <w:pPr>
        <w:spacing w:after="160" w:line="276"/>
      </w:pPr>
      <w:r>
        <w:t xml:space="preserve">This explainer draws on five living documents that the team keeps in sync with each other and updates as evidence arrives: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val="clear"/>
            <w:tcMar>
              <w:top w:type="dxa" w:w="80"/>
              <w:left w:type="dxa" w:w="100"/>
              <w:bottom w:type="dxa" w:w="80"/>
              <w:right w:type="dxa" w:w="100"/>
            </w:tcMar>
          </w:tcPr>
          <w:p>
            <w:pPr>
              <w:jc w:val="left"/>
            </w:pPr>
            <w:r>
              <w:rPr>
                <w:b/>
                <w:bCs/>
                <w:color w:val="FFFFFF"/>
                <w:sz w:val="20"/>
                <w:szCs w:val="20"/>
              </w:rPr>
              <w:t xml:space="preserve">Document</w:t>
            </w:r>
          </w:p>
        </w:tc>
        <w:tc>
          <w:tcPr>
            <w:tcW w:type="dxa" w:w="6000"/>
            <w:shd w:fill="1F3864" w:val="clear"/>
            <w:tcMar>
              <w:top w:type="dxa" w:w="80"/>
              <w:left w:type="dxa" w:w="100"/>
              <w:bottom w:type="dxa" w:w="80"/>
              <w:right w:type="dxa" w:w="100"/>
            </w:tcMar>
          </w:tcPr>
          <w:p>
            <w:pPr>
              <w:jc w:val="left"/>
            </w:pPr>
            <w:r>
              <w:rPr>
                <w:b/>
                <w:bCs/>
                <w:color w:val="FFFFFF"/>
                <w:sz w:val="20"/>
                <w:szCs w:val="20"/>
              </w:rPr>
              <w:t xml:space="preserve">What it contains</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README.md</w:t>
            </w:r>
          </w:p>
        </w:tc>
        <w:tc>
          <w:tcPr>
            <w:tcW w:type="dxa" w:w="6000"/>
            <w:tcMar>
              <w:top w:type="dxa" w:w="80"/>
              <w:left w:type="dxa" w:w="100"/>
              <w:bottom w:type="dxa" w:w="80"/>
              <w:right w:type="dxa" w:w="100"/>
            </w:tcMar>
          </w:tcPr>
          <w:p>
            <w:pPr>
              <w:jc w:val="left"/>
            </w:pPr>
            <w:r>
              <w:rPr>
                <w:b w:val="false"/>
                <w:bCs w:val="false"/>
                <w:color w:val="000000"/>
                <w:sz w:val="20"/>
                <w:szCs w:val="20"/>
              </w:rPr>
              <w:t xml:space="preserve">The main entry point — product framing, both hypotheses, competitive landscape, architecture, business model, and the evidence ledger.</w:t>
            </w:r>
          </w:p>
        </w:tc>
      </w:tr>
      <w:tr>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SCOPE.md</w:t>
            </w:r>
          </w:p>
        </w:tc>
        <w:tc>
          <w:tcPr>
            <w:tcW w:type="dxa" w:w="6000"/>
            <w:shd w:fill="F2F2F2" w:val="clear"/>
            <w:tcMar>
              <w:top w:type="dxa" w:w="80"/>
              <w:left w:type="dxa" w:w="100"/>
              <w:bottom w:type="dxa" w:w="80"/>
              <w:right w:type="dxa" w:w="100"/>
            </w:tcMar>
          </w:tcPr>
          <w:p>
            <w:pPr>
              <w:jc w:val="left"/>
            </w:pPr>
            <w:r>
              <w:rPr>
                <w:b w:val="false"/>
                <w:bCs w:val="false"/>
                <w:color w:val="000000"/>
                <w:sz w:val="20"/>
                <w:szCs w:val="20"/>
              </w:rPr>
              <w:t xml:space="preserve">The full 15-workstream long-term system map — the big picture, explicitly not an approved build plan.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DISCOVERY.md</w:t>
            </w:r>
          </w:p>
        </w:tc>
        <w:tc>
          <w:tcPr>
            <w:tcW w:type="dxa" w:w="6000"/>
            <w:tcMar>
              <w:top w:type="dxa" w:w="80"/>
              <w:left w:type="dxa" w:w="100"/>
              <w:bottom w:type="dxa" w:w="80"/>
              <w:right w:type="dxa" w:w="100"/>
            </w:tcMar>
          </w:tcPr>
          <w:p>
            <w:pPr>
              <w:jc w:val="left"/>
            </w:pPr>
            <w:r>
              <w:rPr>
                <w:b w:val="false"/>
                <w:bCs w:val="false"/>
                <w:color w:val="000000"/>
                <w:sz w:val="20"/>
                <w:szCs w:val="20"/>
              </w:rPr>
              <w:t xml:space="preserve">The actual interview scripts for both H1 and H2, plus the Schneider session-specific observation guide.</w:t>
            </w:r>
          </w:p>
        </w:tc>
      </w:tr>
      <w:tr>
        <w:tc>
          <w:tcPr>
            <w:tcW w:type="dxa" w:w="3400"/>
            <w:shd w:fill="F2F2F2" w:val="clear"/>
            <w:tcMar>
              <w:top w:type="dxa" w:w="80"/>
              <w:left w:type="dxa" w:w="100"/>
              <w:bottom w:type="dxa" w:w="80"/>
              <w:right w:type="dxa" w:w="100"/>
            </w:tcMar>
          </w:tcPr>
          <w:p>
            <w:pPr>
              <w:jc w:val="left"/>
            </w:pPr>
            <w:r>
              <w:rPr>
                <w:b w:val="false"/>
                <w:bCs w:val="false"/>
                <w:color w:val="000000"/>
                <w:sz w:val="20"/>
                <w:szCs w:val="20"/>
              </w:rPr>
              <w:t xml:space="preserve">THESIS.md</w:t>
            </w:r>
          </w:p>
        </w:tc>
        <w:tc>
          <w:tcPr>
            <w:tcW w:type="dxa" w:w="6000"/>
            <w:shd w:fill="F2F2F2" w:val="clear"/>
            <w:tcMar>
              <w:top w:type="dxa" w:w="80"/>
              <w:left w:type="dxa" w:w="100"/>
              <w:bottom w:type="dxa" w:w="80"/>
              <w:right w:type="dxa" w:w="100"/>
            </w:tcMar>
          </w:tcPr>
          <w:p>
            <w:pPr>
              <w:jc w:val="left"/>
            </w:pPr>
            <w:r>
              <w:rPr>
                <w:b w:val="false"/>
                <w:bCs w:val="false"/>
                <w:color w:val="000000"/>
                <w:sz w:val="20"/>
                <w:szCs w:val="20"/>
              </w:rPr>
              <w:t xml:space="preserve">The unvarnished, self-critical assessment — competitive reality, scorecards, gates, and what not to do next.</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Call-Summary-Shubham-Singh.md</w:t>
            </w:r>
          </w:p>
        </w:tc>
        <w:tc>
          <w:tcPr>
            <w:tcW w:type="dxa" w:w="6000"/>
            <w:tcMar>
              <w:top w:type="dxa" w:w="80"/>
              <w:left w:type="dxa" w:w="100"/>
              <w:bottom w:type="dxa" w:w="80"/>
              <w:right w:type="dxa" w:w="100"/>
            </w:tcMar>
          </w:tcPr>
          <w:p>
            <w:pPr>
              <w:jc w:val="left"/>
            </w:pPr>
            <w:r>
              <w:rPr>
                <w:b w:val="false"/>
                <w:bCs w:val="false"/>
                <w:color w:val="000000"/>
                <w:sz w:val="20"/>
                <w:szCs w:val="20"/>
              </w:rPr>
              <w:t xml:space="preserve">A structured writeup of the single discovery call that surfaced H2, with direct quotes and an honest signal-strength grading.</w:t>
            </w:r>
          </w:p>
        </w:tc>
      </w:tr>
    </w:tbl>
    <w:p>
      <w:pPr>
        <w:spacing w:after="100"/>
      </w:pPr>
    </w:p>
    <w:p>
      <w:pPr>
        <w:pBdr>
          <w:left w:val="single" w:color="2E74B5" w:sz="18" w:space="8"/>
        </w:pBdr>
        <w:shd w:fill="DDEBF7" w:val="clear"/>
        <w:spacing w:after="200" w:before="100"/>
      </w:pPr>
      <w:r>
        <w:rPr>
          <w:b/>
          <w:bCs/>
          <w:i/>
          <w:iCs/>
          <w:color w:val="1F3864"/>
        </w:rPr>
        <w:t xml:space="preserve">Note: </w:t>
      </w:r>
      <w:r>
        <w:rPr>
          <w:i/>
          <w:iCs/>
          <w:color w:val="3B3B3B"/>
        </w:rPr>
        <w:t xml:space="preserve">A guiding line repeated across the documents: SCOPE.md is the map of everywhere this could eventually go; THESIS.md's Gates are what's actually authorized to be built right now. The two are kept deliberately distinct so ambition never quietly becomes an unapproved roadmap.</w:t>
      </w:r>
    </w:p>
    <w:p>
      <w:pPr>
        <w:pStyle w:val="Heading1"/>
        <w:spacing w:after="200" w:before="400"/>
      </w:pPr>
      <w:r>
        <w:t xml:space="preserve">Closing Note</w:t>
      </w:r>
    </w:p>
    <w:p>
      <w:pPr>
        <w:spacing w:after="160" w:line="276"/>
      </w:pPr>
      <w:r>
        <w:t xml:space="preserve">Vectoris is, by design, not yet a product — it is a disciplined thesis under active testing. The documentation's greatest strength so far is not any specific technical claim, but the consistency with which it separates real evidence from hope, updates itself the same day new information arrives (as happened with the Aug 22, 2026 competitive research refresh), and refuses to let an exciting idea skip the validation it hasn't yet earned.</w:t>
      </w:r>
    </w:p>
    <w:p>
      <w:pPr>
        <w:spacing w:after="160" w:line="276"/>
      </w:pPr>
      <w:r>
        <w:t xml:space="preserve">The next milestone that matters most is not a prototype — it's finishing the discovery interviews for both hypotheses and honestly reporting what comes back, even if the answer disappoints.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Vectoris — Project Explainer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20"/>
    </w:pPr>
    <w:rPr>
      <w:rFonts w:ascii="Calibri" w:cs="Calibri" w:eastAsia="Calibri" w:hAnsi="Calibri"/>
      <w:b/>
      <w:bCs/>
      <w:color w:val="2E74B5"/>
      <w:sz w:val="26"/>
      <w:szCs w:val="26"/>
    </w:rPr>
  </w:style>
  <w:style w:type="paragraph" w:styleId="Heading3">
    <w:name w:val="Heading 3"/>
    <w:basedOn w:val="Normal"/>
    <w:next w:val="Normal"/>
    <w:qFormat/>
    <w:pPr>
      <w:spacing w:after="120" w:before="240"/>
    </w:pPr>
    <w:rPr>
      <w:rFonts w:ascii="Calibri" w:cs="Calibri" w:eastAsia="Calibri" w:hAnsi="Calibri"/>
      <w:b/>
      <w:bCs/>
      <w:i w:val="false"/>
      <w:iCs w:val="false"/>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2026-08-22T15:50:12.922Z</dcterms:created>
  <dcterms:modified xsi:type="dcterms:W3CDTF">2026-08-22T15:50:12.933Z</dcterms:modified>
</cp:coreProperties>
</file>

<file path=docProps/custom.xml><?xml version="1.0" encoding="utf-8"?>
<Properties xmlns="http://schemas.openxmlformats.org/officeDocument/2006/custom-properties" xmlns:vt="http://schemas.openxmlformats.org/officeDocument/2006/docPropsVTypes"/>
</file>