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Register_Summaries/register_summary_2.2.txt</w:t>
      </w:r>
      <w:r>
        <w:rPr>
          <w:b/>
        </w:rPr>
        <w:t xml:space="preserve">.  Generated </w:t>
      </w:r>
      <w:r>
        <w:t>2020-05-31 15:45:21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18:25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6.6.5 Port n Link Maintenance Request CSRs (Block Offsets 0x40, 60, ... 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/>
          <w:p>
            <w:r>
              <w:t>1:20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6.6.6 Port n Link Maintenance Response CSRs (Block Offsets 0x44, 64, ... 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6.6.7 Port n Local ackID CSRs (Block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6.6.10 Port n Control 2 CSRs (Block Offset 0x54, 74, ... , 234)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6.6.8 Port n Error and Status CSRs (Block Offset 0x58, 78, ... 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(Block Offsets 0x5C, 7C, ... , 23C)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(Block Offsets 0x5C, 7C, ... 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6.6.9 Port n Control CSRs (Block Offsets 0x5C, 7C, ... 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 . (offset based on VC #, see Table 6-23))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6.8.2.4 Port n VCx BW Allocation Registers (Block Offset ((((port number) + 1) * 0x20) +  . (offset based on VC #, see Table 6-23)))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Variable, see Section 5.1.1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Linking with VCs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VC linking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  <w:tr>
        <w:tc>
          <w:tcPr>
            <w:tcW w:type="dxa" w:w="2160"/>
          </w:tcPr>
          <w:p>
            <w:r>
              <w:t>12:31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Variable, see Section 5.1.1)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Rcvr_trained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IDLE2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IDLE2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