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2020-04-29 23:42:55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 (RM-II Block Offsets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 (RM-II Block Offsets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 (RM-II Block Offsets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 (RM-II Block Offsets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=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=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=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0x034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0x038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This value controls how the Asymmetry field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 (RM-II Block Offsets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 (RM-II Block Offsets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 (RM-II Block Offsets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 (RM-II Block Offsets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 (RM-II Block Offsets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 (RM-II Block Offset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 (RM-II Block Offset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5:10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 (RM-II Block Offsets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Additions to Existing Registers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=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=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=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=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