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Tata cara Pengajuan Kasus untuk </w:t>
      </w:r>
      <w:r w:rsidDel="00000000" w:rsidR="00000000" w:rsidRPr="00000000">
        <w:rPr>
          <w:rFonts w:ascii="Times New Roman" w:cs="Times New Roman" w:eastAsia="Times New Roman" w:hAnsi="Times New Roman"/>
          <w:b w:val="1"/>
          <w:i w:val="1"/>
          <w:sz w:val="32"/>
          <w:szCs w:val="32"/>
          <w:rtl w:val="0"/>
        </w:rPr>
        <w:t xml:space="preserve">Case Study Competition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IEEE Fusion 2019</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Case Study competition </w:t>
      </w:r>
      <w:r w:rsidDel="00000000" w:rsidR="00000000" w:rsidRPr="00000000">
        <w:rPr>
          <w:rFonts w:ascii="Times New Roman" w:cs="Times New Roman" w:eastAsia="Times New Roman" w:hAnsi="Times New Roman"/>
          <w:sz w:val="24"/>
          <w:szCs w:val="24"/>
          <w:rtl w:val="0"/>
        </w:rPr>
        <w:t xml:space="preserve">IEEE Fusion 2019 adalah lomba studi kasus untuk mahasiswa S1 dengan skala internasional. Lomba ini bertujuan untuk mengembangkan sikap kritis dan solutif dalam menyelesaikan masalah nyata yang ada di dalam suatu industri, Tata cara pengajuan kasus untuk tahap final </w:t>
      </w:r>
      <w:r w:rsidDel="00000000" w:rsidR="00000000" w:rsidRPr="00000000">
        <w:rPr>
          <w:rFonts w:ascii="Times New Roman" w:cs="Times New Roman" w:eastAsia="Times New Roman" w:hAnsi="Times New Roman"/>
          <w:i w:val="1"/>
          <w:sz w:val="24"/>
          <w:szCs w:val="24"/>
          <w:rtl w:val="0"/>
        </w:rPr>
        <w:t xml:space="preserve">Case Study Competition </w:t>
      </w:r>
      <w:r w:rsidDel="00000000" w:rsidR="00000000" w:rsidRPr="00000000">
        <w:rPr>
          <w:rFonts w:ascii="Times New Roman" w:cs="Times New Roman" w:eastAsia="Times New Roman" w:hAnsi="Times New Roman"/>
          <w:sz w:val="24"/>
          <w:szCs w:val="24"/>
          <w:rtl w:val="0"/>
        </w:rPr>
        <w:t xml:space="preserve">IEEE Fusion 2019 adalah sebagai berikut:</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Pengajuan kasus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Study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 diajukan paling lambat tanggal 30 Agustus 2019 ke email event.ieee.itbsb@gmail.com</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utama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Study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Fortcoming Technology for the Better Humanity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tema yang telah disebutkan pada butir 2, sponsor berhak menentukan kasus untuk lomba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Study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Kasus yang diajukan oleh sponsor tidak boleh menyimpang dari tema utama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Study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Kasus yang diajukan oleh sponsor akan dijadikan kasus dalam final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Study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 sponsor berhak menjadi juri dan memberikan penilaian terhadap penyelesaian kasus yang dilombakan.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Penilaian oleh sponsor akan dijadikan salah satu aspek dalam penentuan pemenang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Study Competition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Fusion 2019.</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person:</w:t>
        <w:br w:type="textWrapp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Ignatio Senoaji Jagad Mitro Prajasto/089647561765</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Fauzan Rozin/082331501153</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