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Judgement Form Case Study IEEE ITB SB 2019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( Presentation )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Name </w:t>
        <w:tab/>
        <w:t xml:space="preserve">: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</w:t>
        <w:tab/>
        <w:t xml:space="preserve">: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3774"/>
        <w:gridCol w:w="1323"/>
        <w:gridCol w:w="1756"/>
        <w:gridCol w:w="1849"/>
        <w:tblGridChange w:id="0">
          <w:tblGrid>
            <w:gridCol w:w="540"/>
            <w:gridCol w:w="3774"/>
            <w:gridCol w:w="1323"/>
            <w:gridCol w:w="1756"/>
            <w:gridCol w:w="1849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Judging Criteria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Percentage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Score (20-100)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(Percentage x Score)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Originality and Creativity 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Theoretical or clinical significance of research: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(i) Creativity and originality of logic (ii) Timeliness and uniqueness of ideas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Organization (Logical presentation of ideas)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Objectives/goals are clearly stated: 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 Methods are appropriate for achieving goals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 Results are clearly presented 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(iii) Thoughts and ideas flow in a logical manner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(iv) Results accomplish the purposes of the project.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1129"/>
              <w:tblGridChange w:id="0">
                <w:tblGrid>
                  <w:gridCol w:w="1129"/>
                </w:tblGrid>
              </w:tblGridChange>
            </w:tblGrid>
            <w:tr>
              <w:trPr>
                <w:trHeight w:val="140" w:hRule="atLeast"/>
              </w:trPr>
              <w:tc>
                <w:tcPr/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25% 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Presentation (Oral presentation and delivery) 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Exhibits good body posture: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 Maintains good eye contact with audience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 Good diction 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(iii) good articulation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3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38"/>
              <w:tblGridChange w:id="0">
                <w:tblGrid>
                  <w:gridCol w:w="638"/>
                </w:tblGrid>
              </w:tblGridChange>
            </w:tblGrid>
            <w:tr>
              <w:trPr>
                <w:trHeight w:val="200" w:hRule="atLeast"/>
              </w:trPr>
              <w:tc>
                <w:tcPr/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20% 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Knowledge of Material (Familiarity with subject matter) 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Exhibits knowledge of subject matter: (i) Answers questions with confidence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4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1046"/>
              <w:tblGridChange w:id="0">
                <w:tblGrid>
                  <w:gridCol w:w="1046"/>
                </w:tblGrid>
              </w:tblGridChange>
            </w:tblGrid>
            <w:tr>
              <w:trPr>
                <w:trHeight w:val="140" w:hRule="atLeast"/>
              </w:trPr>
              <w:tc>
                <w:tcPr/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25% 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Neatness (Neatness of charts and graphs) 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Neat slides and/or transparencies: 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 free of marks and smudges 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 Visual materials are easy to read.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10 %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SCORE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Judges of Case Study Comptetion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479593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0966" y="3773650"/>
                          <a:ext cx="2470068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479593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593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ind w:left="43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NIP: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-41274</wp:posOffset>
          </wp:positionH>
          <wp:positionV relativeFrom="paragraph">
            <wp:posOffset>-204469</wp:posOffset>
          </wp:positionV>
          <wp:extent cx="1280160" cy="40767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407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ITB STUDENT BRANCH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