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0E1A2" w14:textId="690EFEAB" w:rsidR="00971C9A" w:rsidRDefault="000028CE" w:rsidP="00EC7DB0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Sales Insights Symmary</w:t>
      </w:r>
    </w:p>
    <w:p w14:paraId="26880283" w14:textId="74ABA43B" w:rsidR="00464A18" w:rsidRDefault="00464A18" w:rsidP="00464A18">
      <w:pPr>
        <w:jc w:val="right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-Souhardya Das</w:t>
      </w:r>
    </w:p>
    <w:p w14:paraId="5C5DBA69" w14:textId="77777777" w:rsidR="00464A18" w:rsidRDefault="00464A18" w:rsidP="00464A18">
      <w:pPr>
        <w:jc w:val="right"/>
        <w:rPr>
          <w:b/>
          <w:bCs/>
          <w:sz w:val="40"/>
          <w:szCs w:val="40"/>
          <w:lang w:val="en-US"/>
        </w:rPr>
      </w:pPr>
    </w:p>
    <w:p w14:paraId="4D3465EF" w14:textId="77777777" w:rsidR="00EC7DB0" w:rsidRPr="00EC7DB0" w:rsidRDefault="00EC7DB0" w:rsidP="00EC7DB0">
      <w:pPr>
        <w:rPr>
          <w:b/>
          <w:bCs/>
          <w:sz w:val="28"/>
          <w:szCs w:val="28"/>
        </w:rPr>
      </w:pPr>
      <w:r w:rsidRPr="00EC7DB0">
        <w:rPr>
          <w:b/>
          <w:bCs/>
          <w:sz w:val="28"/>
          <w:szCs w:val="28"/>
        </w:rPr>
        <w:t>Key Insights from Sales Insight Dashboard (2023–2024)</w:t>
      </w:r>
    </w:p>
    <w:p w14:paraId="6E37633A" w14:textId="77777777" w:rsidR="00EC7DB0" w:rsidRPr="00EC7DB0" w:rsidRDefault="00EC7DB0" w:rsidP="00EC7DB0">
      <w:pPr>
        <w:numPr>
          <w:ilvl w:val="0"/>
          <w:numId w:val="1"/>
        </w:numPr>
        <w:rPr>
          <w:sz w:val="22"/>
          <w:szCs w:val="22"/>
        </w:rPr>
      </w:pPr>
      <w:r w:rsidRPr="00EC7DB0">
        <w:rPr>
          <w:b/>
          <w:bCs/>
          <w:sz w:val="22"/>
          <w:szCs w:val="22"/>
        </w:rPr>
        <w:t>Overall performance remains healthy</w:t>
      </w:r>
      <w:r w:rsidRPr="00EC7DB0">
        <w:rPr>
          <w:sz w:val="22"/>
          <w:szCs w:val="22"/>
        </w:rPr>
        <w:t>, with total sales of 189.2M and a profit margin of 21.6%, indicating efficient cost management despite discounting across product lines.</w:t>
      </w:r>
    </w:p>
    <w:p w14:paraId="5DE6AD5E" w14:textId="77777777" w:rsidR="00EC7DB0" w:rsidRPr="00EC7DB0" w:rsidRDefault="00EC7DB0" w:rsidP="00EC7DB0">
      <w:pPr>
        <w:numPr>
          <w:ilvl w:val="0"/>
          <w:numId w:val="1"/>
        </w:numPr>
        <w:rPr>
          <w:sz w:val="22"/>
          <w:szCs w:val="22"/>
        </w:rPr>
      </w:pPr>
      <w:r w:rsidRPr="00EC7DB0">
        <w:rPr>
          <w:b/>
          <w:bCs/>
          <w:sz w:val="22"/>
          <w:szCs w:val="22"/>
        </w:rPr>
        <w:t>Regional performance shows a clear sales–profit contrast</w:t>
      </w:r>
      <w:r w:rsidRPr="00EC7DB0">
        <w:rPr>
          <w:sz w:val="22"/>
          <w:szCs w:val="22"/>
        </w:rPr>
        <w:t>: while the South and East generate the highest sales, the West region lags slightly in profitability, suggesting margin pressure despite reasonable revenue contribution.</w:t>
      </w:r>
    </w:p>
    <w:p w14:paraId="7595CE61" w14:textId="5510783A" w:rsidR="00EC7DB0" w:rsidRPr="00EC7DB0" w:rsidRDefault="00EC7DB0" w:rsidP="00EC7DB0">
      <w:pPr>
        <w:numPr>
          <w:ilvl w:val="0"/>
          <w:numId w:val="1"/>
        </w:numPr>
        <w:rPr>
          <w:sz w:val="22"/>
          <w:szCs w:val="22"/>
        </w:rPr>
      </w:pPr>
      <w:r w:rsidRPr="00EC7DB0">
        <w:rPr>
          <w:b/>
          <w:bCs/>
          <w:sz w:val="22"/>
          <w:szCs w:val="22"/>
        </w:rPr>
        <w:t>Sales exhibit strong seasonality,</w:t>
      </w:r>
      <w:r w:rsidRPr="00EC7DB0">
        <w:rPr>
          <w:sz w:val="22"/>
          <w:szCs w:val="22"/>
        </w:rPr>
        <w:t xml:space="preserve"> with noticeable peaks toward the end of each year, highlighting the importance of year-end demand in driving overall revenue growth.</w:t>
      </w:r>
    </w:p>
    <w:p w14:paraId="0F1B5A46" w14:textId="77777777" w:rsidR="00EC7DB0" w:rsidRPr="00EC7DB0" w:rsidRDefault="00EC7DB0" w:rsidP="00EC7DB0">
      <w:pPr>
        <w:numPr>
          <w:ilvl w:val="0"/>
          <w:numId w:val="1"/>
        </w:numPr>
        <w:rPr>
          <w:sz w:val="22"/>
          <w:szCs w:val="22"/>
        </w:rPr>
      </w:pPr>
      <w:r w:rsidRPr="00EC7DB0">
        <w:rPr>
          <w:b/>
          <w:bCs/>
          <w:sz w:val="22"/>
          <w:szCs w:val="22"/>
        </w:rPr>
        <w:t>Product mix analysis reveals dependency on a few high-performing sub-categories:</w:t>
      </w:r>
      <w:r w:rsidRPr="00EC7DB0">
        <w:rPr>
          <w:sz w:val="22"/>
          <w:szCs w:val="22"/>
        </w:rPr>
        <w:t xml:space="preserve"> Electronics (especially Laptops and Tablets) and Furniture (Chairs) contribute a disproportionately large share of total sales, increasing concentration risk.</w:t>
      </w:r>
    </w:p>
    <w:p w14:paraId="2762ECCC" w14:textId="77777777" w:rsidR="00EC7DB0" w:rsidRPr="00EC7DB0" w:rsidRDefault="00EC7DB0" w:rsidP="00EC7DB0">
      <w:pPr>
        <w:numPr>
          <w:ilvl w:val="0"/>
          <w:numId w:val="1"/>
        </w:numPr>
        <w:rPr>
          <w:sz w:val="22"/>
          <w:szCs w:val="22"/>
        </w:rPr>
      </w:pPr>
      <w:r w:rsidRPr="00EC7DB0">
        <w:rPr>
          <w:b/>
          <w:bCs/>
          <w:sz w:val="22"/>
          <w:szCs w:val="22"/>
        </w:rPr>
        <w:t>Top 10 customers account for a significant share of revenue, but profitability varies by customer segment</w:t>
      </w:r>
      <w:r w:rsidRPr="00EC7DB0">
        <w:rPr>
          <w:sz w:val="22"/>
          <w:szCs w:val="22"/>
        </w:rPr>
        <w:t>, indicating that high sales do not always translate into higher profit due to differing discount strategies.</w:t>
      </w:r>
    </w:p>
    <w:p w14:paraId="19231EE3" w14:textId="77777777" w:rsidR="00EC7DB0" w:rsidRPr="00EC7DB0" w:rsidRDefault="00EC7DB0" w:rsidP="00EC7DB0">
      <w:pPr>
        <w:numPr>
          <w:ilvl w:val="0"/>
          <w:numId w:val="1"/>
        </w:numPr>
        <w:rPr>
          <w:sz w:val="22"/>
          <w:szCs w:val="22"/>
        </w:rPr>
      </w:pPr>
      <w:r w:rsidRPr="00EC7DB0">
        <w:rPr>
          <w:b/>
          <w:bCs/>
          <w:sz w:val="22"/>
          <w:szCs w:val="22"/>
        </w:rPr>
        <w:t xml:space="preserve">Discount vs Profit analysis shows diminishing returns beyond moderate discount levels: </w:t>
      </w:r>
      <w:r w:rsidRPr="00EC7DB0">
        <w:rPr>
          <w:sz w:val="22"/>
          <w:szCs w:val="22"/>
        </w:rPr>
        <w:t>higher average discounts (≈10–12%) are often associated with lower or volatile profit, suggesting that aggressive discounting does not consistently improve profitability.</w:t>
      </w:r>
    </w:p>
    <w:p w14:paraId="7E67EC47" w14:textId="77777777" w:rsidR="00EC7DB0" w:rsidRDefault="00EC7DB0" w:rsidP="00EC7DB0">
      <w:pPr>
        <w:rPr>
          <w:sz w:val="22"/>
          <w:szCs w:val="22"/>
          <w:lang w:val="en-US"/>
        </w:rPr>
      </w:pPr>
    </w:p>
    <w:p w14:paraId="511410A2" w14:textId="77777777" w:rsidR="00EC7DB0" w:rsidRDefault="00EC7DB0" w:rsidP="00EC7DB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Tableau Public Link for dashboard: </w:t>
      </w:r>
    </w:p>
    <w:p w14:paraId="222CD1FA" w14:textId="112FE39E" w:rsidR="00EC7DB0" w:rsidRPr="00EC7DB0" w:rsidRDefault="005726A4" w:rsidP="005726A4">
      <w:pPr>
        <w:rPr>
          <w:sz w:val="22"/>
          <w:szCs w:val="22"/>
          <w:lang w:val="en-US"/>
        </w:rPr>
      </w:pPr>
      <w:r w:rsidRPr="005726A4">
        <w:rPr>
          <w:sz w:val="22"/>
          <w:szCs w:val="22"/>
          <w:lang w:val="en-US"/>
        </w:rPr>
        <w:t>https://public.tableau.com/app/profile/souhardya.das/viz/Assignment_17661868431540/KPIDashboard?publish=yes</w:t>
      </w:r>
    </w:p>
    <w:sectPr w:rsidR="00EC7DB0" w:rsidRPr="00EC7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5005A"/>
    <w:multiLevelType w:val="multilevel"/>
    <w:tmpl w:val="3230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624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C9A"/>
    <w:rsid w:val="000028CE"/>
    <w:rsid w:val="0002652F"/>
    <w:rsid w:val="002E0B04"/>
    <w:rsid w:val="00354DC0"/>
    <w:rsid w:val="00464A18"/>
    <w:rsid w:val="005726A4"/>
    <w:rsid w:val="00971C9A"/>
    <w:rsid w:val="00D30249"/>
    <w:rsid w:val="00EC7DB0"/>
    <w:rsid w:val="00F1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5B4E9"/>
  <w15:chartTrackingRefBased/>
  <w15:docId w15:val="{A462BE98-4D7B-4E6C-9010-98B198C44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C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Souhardya Das</dc:creator>
  <cp:keywords/>
  <dc:description/>
  <cp:lastModifiedBy>Souhardya Das</cp:lastModifiedBy>
  <cp:revision>13</cp:revision>
  <dcterms:created xsi:type="dcterms:W3CDTF">2025-12-21T07:12:00Z</dcterms:created>
  <dcterms:modified xsi:type="dcterms:W3CDTF">2026-02-15T19:53:00Z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75308b43-cd11-4b9f-ab3b-4c4f59c270c8</vt:lpwstr>
  </property>
</Properties>
</file>