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8EA2" w14:textId="0A5B105D" w:rsidR="00D2533C" w:rsidRDefault="00CA0A54" w:rsidP="00CA0A54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Phase 4 – AI Development Part 2</w:t>
      </w:r>
    </w:p>
    <w:p w14:paraId="12FDCC4C" w14:textId="05604A8B" w:rsidR="00CA0A54" w:rsidRDefault="00CA0A54" w:rsidP="00CA0A54">
      <w:pPr>
        <w:rPr>
          <w:lang w:val="en-US"/>
        </w:rPr>
      </w:pPr>
      <w:r>
        <w:rPr>
          <w:lang w:val="en-US"/>
        </w:rPr>
        <w:t xml:space="preserve">In this phase, we are continuing the association analysis by using the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 and examining the results using association rules which give us the insights we require for further analysis and drive conclusions on the data.</w:t>
      </w:r>
    </w:p>
    <w:p w14:paraId="774FB3FC" w14:textId="5BAD3F07" w:rsidR="00CA0A54" w:rsidRDefault="00CA0A54" w:rsidP="00CA0A54">
      <w:r w:rsidRPr="00CA0A54">
        <w:t xml:space="preserve">The generated association rules provide insights into the relationships between different items or </w:t>
      </w:r>
      <w:proofErr w:type="spellStart"/>
      <w:r w:rsidRPr="00CA0A54">
        <w:t>itemsets</w:t>
      </w:r>
      <w:proofErr w:type="spellEnd"/>
      <w:r w:rsidRPr="00CA0A54">
        <w:t xml:space="preserve"> in the dataset. Each association rule consists of two parts: the antecedent (or left-hand side) and the consequent (or right-hand side). The antecedent represents the item(s) or itemset(s) that act as a condition or premise, while the consequent represents the item(s) or itemset(s) that are predicted or inferred from the antecedent.</w:t>
      </w:r>
    </w:p>
    <w:p w14:paraId="3D9AB3C7" w14:textId="77777777" w:rsidR="00CA0A54" w:rsidRPr="00CA0A54" w:rsidRDefault="00CA0A54" w:rsidP="00CA0A54">
      <w:r w:rsidRPr="00CA0A54">
        <w:t>The association rules are evaluated based on different metrics, such as support, confidence, lift, leverage, and conviction. These metrics provide measures of the interestingness or strength of the rules.</w:t>
      </w:r>
    </w:p>
    <w:p w14:paraId="72EF9E26" w14:textId="77777777" w:rsidR="00CA0A54" w:rsidRPr="00CA0A54" w:rsidRDefault="00CA0A54" w:rsidP="00CA0A54">
      <w:pPr>
        <w:numPr>
          <w:ilvl w:val="0"/>
          <w:numId w:val="1"/>
        </w:numPr>
      </w:pPr>
      <w:r w:rsidRPr="00CA0A54">
        <w:t>Support measures the proportion of transactions in the dataset that contain both the antecedent and the consequent.</w:t>
      </w:r>
    </w:p>
    <w:p w14:paraId="6D93153B" w14:textId="77777777" w:rsidR="00CA0A54" w:rsidRPr="00CA0A54" w:rsidRDefault="00CA0A54" w:rsidP="00CA0A54">
      <w:pPr>
        <w:numPr>
          <w:ilvl w:val="0"/>
          <w:numId w:val="1"/>
        </w:numPr>
      </w:pPr>
      <w:r w:rsidRPr="00CA0A54">
        <w:t>Confidence measures the conditional probability of the consequent given the antecedent.</w:t>
      </w:r>
    </w:p>
    <w:p w14:paraId="3EA27B55" w14:textId="77777777" w:rsidR="00CA0A54" w:rsidRPr="00CA0A54" w:rsidRDefault="00CA0A54" w:rsidP="00CA0A54">
      <w:pPr>
        <w:numPr>
          <w:ilvl w:val="0"/>
          <w:numId w:val="1"/>
        </w:numPr>
      </w:pPr>
      <w:r w:rsidRPr="00CA0A54">
        <w:t>Lift measures the ratio of observed support to expected support, indicating the strength of the association between the antecedent and the consequent.</w:t>
      </w:r>
    </w:p>
    <w:p w14:paraId="7A62524D" w14:textId="77777777" w:rsidR="00CA0A54" w:rsidRPr="00CA0A54" w:rsidRDefault="00CA0A54" w:rsidP="00CA0A54">
      <w:pPr>
        <w:numPr>
          <w:ilvl w:val="0"/>
          <w:numId w:val="1"/>
        </w:numPr>
      </w:pPr>
      <w:r w:rsidRPr="00CA0A54">
        <w:t>Leverage measures the difference between the observed support and the expected support, indicating the significance of the association.</w:t>
      </w:r>
    </w:p>
    <w:p w14:paraId="28FC5FCA" w14:textId="77777777" w:rsidR="00CA0A54" w:rsidRPr="00CA0A54" w:rsidRDefault="00CA0A54" w:rsidP="00CA0A54">
      <w:pPr>
        <w:numPr>
          <w:ilvl w:val="0"/>
          <w:numId w:val="1"/>
        </w:numPr>
      </w:pPr>
      <w:r w:rsidRPr="00CA0A54">
        <w:t>Conviction measures the ratio of the expected confidence to the observed confidence, indicating the degree of dependency between the antecedent and the consequent.</w:t>
      </w:r>
    </w:p>
    <w:p w14:paraId="74F3A01F" w14:textId="77777777" w:rsidR="00CA0A54" w:rsidRPr="00CA0A54" w:rsidRDefault="00CA0A54" w:rsidP="00CA0A54">
      <w:r w:rsidRPr="00CA0A54">
        <w:t>By examining the association rules, you can identify interesting relationships, co-occurrences, or patterns among items, which can be used for various purposes such as product recommendation, market segmentation, or inventory management.</w:t>
      </w:r>
    </w:p>
    <w:p w14:paraId="4152BA00" w14:textId="77777777" w:rsidR="00CA0A54" w:rsidRPr="00CA0A54" w:rsidRDefault="00CA0A54" w:rsidP="00CA0A54">
      <w:r w:rsidRPr="00CA0A54">
        <w:t xml:space="preserve">To generate the association rules, we use the </w:t>
      </w:r>
      <w:proofErr w:type="spellStart"/>
      <w:r w:rsidRPr="00CA0A54">
        <w:t>Apriori</w:t>
      </w:r>
      <w:proofErr w:type="spellEnd"/>
      <w:r w:rsidRPr="00CA0A54">
        <w:t xml:space="preserve"> algorithm with a minimum support threshold of 0.05 (5%). This ensures that only </w:t>
      </w:r>
      <w:proofErr w:type="spellStart"/>
      <w:r w:rsidRPr="00CA0A54">
        <w:t>itemsets</w:t>
      </w:r>
      <w:proofErr w:type="spellEnd"/>
      <w:r w:rsidRPr="00CA0A54">
        <w:t xml:space="preserve"> with sufficient frequency in the dataset are considered.</w:t>
      </w:r>
    </w:p>
    <w:p w14:paraId="3C42D0C2" w14:textId="2AE9C863" w:rsidR="00CA0A54" w:rsidRDefault="00C55AAE" w:rsidP="00CA0A54">
      <w:pPr>
        <w:rPr>
          <w:lang w:val="en-US"/>
        </w:rPr>
      </w:pPr>
      <w:r>
        <w:rPr>
          <w:lang w:val="en-US"/>
        </w:rPr>
        <w:t xml:space="preserve">Once the confidence and support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calculated, we plot a graph of % of cumulative support and plot points for confidence vs support to get a better understanding of the association rules.</w:t>
      </w:r>
    </w:p>
    <w:p w14:paraId="0F0BF24F" w14:textId="7F9B9CFE" w:rsidR="00C55AAE" w:rsidRDefault="00C55AAE" w:rsidP="00CA0A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7181A2" wp14:editId="09BC83D9">
            <wp:extent cx="5731510" cy="4285615"/>
            <wp:effectExtent l="0" t="0" r="2540" b="635"/>
            <wp:docPr id="492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7C13" w14:textId="5C0A89E4" w:rsidR="00C55AAE" w:rsidRPr="00C55AAE" w:rsidRDefault="00C55AAE" w:rsidP="00C55AAE">
      <w:pPr>
        <w:rPr>
          <w:lang w:val="en-US"/>
        </w:rPr>
      </w:pPr>
      <w:r>
        <w:rPr>
          <w:noProof/>
        </w:rPr>
        <w:drawing>
          <wp:inline distT="0" distB="0" distL="0" distR="0" wp14:anchorId="1B58D0CA" wp14:editId="4ECBE735">
            <wp:extent cx="5731510" cy="4285567"/>
            <wp:effectExtent l="0" t="0" r="254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AAE" w:rsidRPr="00C5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963"/>
    <w:multiLevelType w:val="multilevel"/>
    <w:tmpl w:val="56B8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849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54"/>
    <w:rsid w:val="00C55AAE"/>
    <w:rsid w:val="00CA0A54"/>
    <w:rsid w:val="00D2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59DE"/>
  <w15:chartTrackingRefBased/>
  <w15:docId w15:val="{94AA17C4-6957-48AF-ABF4-6A8B1CD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0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Sunny</dc:creator>
  <cp:keywords/>
  <dc:description/>
  <cp:lastModifiedBy>Alfred Sunny</cp:lastModifiedBy>
  <cp:revision>1</cp:revision>
  <dcterms:created xsi:type="dcterms:W3CDTF">2023-10-26T16:40:00Z</dcterms:created>
  <dcterms:modified xsi:type="dcterms:W3CDTF">2023-10-26T16:54:00Z</dcterms:modified>
</cp:coreProperties>
</file>