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7</w:t>
            </w:r>
          </w:p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Members: Haresh S (Team Leader), Gobika M, Hariharan M, Harini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Automated standard laptop order processing using ServiceNow Flow Designer</w:t>
      </w:r>
    </w:p>
    <w:p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rtl w:val="0"/>
        </w:rPr>
        <w:t xml:space="preserve">Flow: User orders a Standard Laptop &gt; Approver approves the request &gt; Flow Designer runs "Standard laptop task" &gt; Catalog Task created and assigned to the Hardware group for configuration.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Employees order a Standard Laptop from the Service Catalog (Hardware &gt; Standard Laptop &gt; Order Now) and track the Request; approvers and the hardware team work through the ServiceNow web interface.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Service Catalog / Service Portal (platform-provided HTML, CSS, JavaScript)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Flow Designer flow "Standard laptop task" (Application: Global, Run as: System user) starts through the Service Catalog trigger once the request is approved.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Flow Designer (Trigger: Service Catalog)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Flow assignment: the flow is attached to the "Standard Laptop" catalog item (Maintain Items &gt; Process engine) so every order runs the automation.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Maintain Items / Process Engine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Create Catalog Task action: uses the Requested Item record to create a task with short description "Laptop need to Configured" and Assignment group "Hardware".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Flow Designer Action: Create Catalog Task (Assignment group = Hardware)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Request, Requested Item, Approval and Catalog Task records with their field values (short description, description, assignment group, approval).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platform tables (sc_request, sc_req_item, sc_task)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hosted and managed on the ServiceNow cloud instance; no separate database service is used.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instance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separate file storage required; any attachment on a request is kept in the platform attachment store.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Attachments (platform storage)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applicable: no external API is used; the entire process runs inside ServiceNow.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applicable: no second external API is used.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applicable: no machine learning model is used; the process is rule-based automation.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Cloud (SaaS / PaaS)</w:t>
            </w:r>
          </w:p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 Not applicable (no local server)</w:t>
            </w:r>
          </w:p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Configuration: ServiceNow cloud instance accessed through a web browser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separate open-source framework is added; the solution is built on the ServiceNow low-code platform using Flow Designer.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Flow Designer (low-code)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Access is controlled through user login and roles for requester, approver and hardware team; the flow runs as System user; the instance is accessed over HTTPS.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roles and ACLs, user authentication, HTTPS (TLS)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The platform follows a multi-tier design (presentation, application, database); new orders run the same flow without code changes, so volume can grow.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multi-tier cloud platform, Flow Designer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The application is hosted on the managed ServiceNow cloud, which provides platform-level redundancy and failover.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managed cloud infrastructure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Catalog task creation is event-driven and automatic, removing manual steps and delays between approval and configuration.</w:t>
            </w:r>
          </w:p>
        </w:tc>
        <w:tc>
          <w:tcPr/>
          <w:p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Flow Designer event-driven execution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