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3"/>
        <w:gridCol w:w="4783"/>
        <w:tblGridChange w:id="0">
          <w:tblGrid>
            <w:gridCol w:w="4783"/>
            <w:gridCol w:w="4783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Catalog Item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bookmarkStart w:colFirst="0" w:colLast="0" w:name="_9md9tew5ryb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 </w:t>
        <w:tab/>
        <w:t xml:space="preserve">An empathy map for the Laptop Request Catalog Item focuses on the employee experience when requesting laptops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empathy map helps visualize what users say, think, do, and feel. It provides a deeper understanding of the user's needs and frustrations to guide solution design.</w:t>
        <w:br w:type="textWrapping"/>
        <w:t xml:space="preserve">Below is the empathy map for the Service Catalog laptop request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045848" cy="56582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848" cy="5658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  <w:rtl w:val="0"/>
        </w:rPr>
        <w:t xml:space="preserve">Laptop Service Catalog Item</w:t>
      </w:r>
    </w:p>
    <w:p w:rsidR="00000000" w:rsidDel="00000000" w:rsidP="00000000" w:rsidRDefault="00000000" w:rsidRPr="00000000" w14:paraId="00000016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</w:rPr>
        <w:drawing>
          <wp:inline distB="0" distT="0" distL="0" distR="0">
            <wp:extent cx="5731510" cy="62712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mural.co/templates/empathy-map-canva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