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w:hAnsi="Arial"/>
          <w:b/>
          <w:color w:val="176B62"/>
          <w:sz w:val="48"/>
        </w:rPr>
        <w:t>AAM–EBCA–FM–KWConv Green-Apple Detection System</w:t>
      </w:r>
    </w:p>
    <w:p>
      <w:pPr>
        <w:pStyle w:val="Heading2"/>
      </w:pPr>
      <w:r>
        <w:t>Formula, architecture, code-connection, training, depth, and tracking documentation</w:t>
      </w:r>
    </w:p>
    <w:p>
      <w:r>
        <w:t>Document basis: Final PPT.pptx, especially slides 2–11, checked against the completed source code, trained checkpoint, manifests, logs, and result files. Canonical line-reference file: Codeing/aam_ebca_fm_kwconv_main.py Primary research notebook: Codeing/AAM, EBCA, FM, KWConv 100.ipynb</w:t>
      </w:r>
    </w:p>
    <w:p>
      <w:pPr>
        <w:ind w:left="360" w:right="360"/>
      </w:pPr>
      <w:r>
        <w:rPr>
          <w:i/>
          <w:color w:val="7A3E00"/>
        </w:rPr>
        <w:t>Scientific interpretation: the detection validation labels are automatically generated pseudo-labels. The AdaBins-derived values are relative/estimated depth and have not been camera-calibrated as physical metres.</w:t>
      </w:r>
    </w:p>
    <w:p>
      <w:pPr>
        <w:pStyle w:val="Heading2"/>
      </w:pPr>
      <w:r>
        <w:t>1. As-built end-to-end process</w:t>
      </w:r>
    </w:p>
    <w:p>
      <w:r>
        <w:t>The implemented process is:</w:t>
      </w:r>
    </w:p>
    <w:p>
      <w:pPr>
        <w:pStyle w:val="ListNumber"/>
      </w:pPr>
      <w:r>
        <w:t>Read the 1920×1080, 59.94-FPS orchard video containing 3,825 source frames.</w:t>
      </w:r>
    </w:p>
    <w:p>
      <w:pPr>
        <w:pStyle w:val="ListNumber"/>
      </w:pPr>
      <w:r>
        <w:t>Build a timestamp-accurate 80-FPS timeline of 5,105 images. Because the camera did not record 80 unique frames per second, repeated source-frame indices are recorded rather than inventing new camera content.</w:t>
      </w:r>
    </w:p>
    <w:p>
      <w:pPr>
        <w:pStyle w:val="ListNumber"/>
      </w:pPr>
      <w:r>
        <w:t>Select 800 uniformly distributed timeline frames.</w:t>
      </w:r>
    </w:p>
    <w:p>
      <w:pPr>
        <w:pStyle w:val="ListNumber"/>
      </w:pPr>
      <w:r>
        <w:t>Produce ten controlled variants of every selected frame: horizontal flip, vertical flip, brighter, darker, 90° rotation, 180° rotation, 270° rotation, small random rotation, motion blur, and Gaussian noise.</w:t>
      </w:r>
    </w:p>
    <w:p>
      <w:pPr>
        <w:pStyle w:val="ListNumber"/>
      </w:pPr>
      <w:r>
        <w:t>Keep every original and its ten derivatives in the same data partition. The grouped 70/10/20 split is 560/80/160 source groups, or 6,160/880/1,760 images.</w:t>
      </w:r>
    </w:p>
    <w:p>
      <w:pPr>
        <w:pStyle w:val="ListNumber"/>
      </w:pPr>
      <w:r>
        <w:t>Generate single-class green_apple pseudo-labels using COCO apple proposals from full-frame and tiled YOLO inference, followed by non-maximum suppression.</w:t>
      </w:r>
    </w:p>
    <w:p>
      <w:pPr>
        <w:pStyle w:val="ListNumber"/>
      </w:pPr>
      <w:r>
        <w:t>Extract YOLOv8 P3/P4/P5 features and apply AAM → EBCA → FM → KWConv before the three-scale Detect head.</w:t>
      </w:r>
    </w:p>
    <w:p>
      <w:pPr>
        <w:pStyle w:val="ListNumber"/>
      </w:pPr>
      <w:r>
        <w:t>Detect apples and confidence scores.</w:t>
      </w:r>
    </w:p>
    <w:p>
      <w:pPr>
        <w:pStyle w:val="ListNumber"/>
      </w:pPr>
      <w:r>
        <w:t>Estimate an AdaBins depth map, calculate robust per-box depth, and apply the apparent-scale correction used by the published result tables.</w:t>
      </w:r>
    </w:p>
    <w:p>
      <w:pPr>
        <w:pStyle w:val="ListNumber"/>
      </w:pPr>
      <w:r>
        <w:t>Associate detections with the depth-aware ByteTrack-style tracker to generate persistent IDs.</w:t>
      </w:r>
    </w:p>
    <w:p>
      <w:pPr>
        <w:pStyle w:val="ListNumber"/>
      </w:pPr>
      <w:r>
        <w:t>Count a confirmed track once when its centre crosses the configured line. The filtered presentation result contains 96 duplicate-safe crossings.</w:t>
      </w:r>
    </w:p>
    <w:p>
      <w:pPr>
        <w:pStyle w:val="Heading3"/>
      </w:pPr>
      <w:r>
        <w:t>Slide-2 architecture clarification</w:t>
      </w:r>
    </w:p>
    <w:p>
      <w:r>
        <w:t>Slide 2 is a conceptual overview, not an exact software graph. In the trained implementation:</w:t>
      </w:r>
    </w:p>
    <w:p>
      <w:pPr>
        <w:pStyle w:val="ListBullet"/>
      </w:pPr>
      <w:r>
        <w:t>AAM, EBCA, FM, and KWConv form one enhancement neck immediately before the existing Ultralytics Detect head.</w:t>
      </w:r>
    </w:p>
    <w:p>
      <w:pPr>
        <w:pStyle w:val="ListBullet"/>
      </w:pPr>
      <w:r>
        <w:t>AAM acts on P4; EBCA exchanges P3/P4 information; FM refines P4; KWConv independently refines P3, P4, and P5.</w:t>
      </w:r>
    </w:p>
    <w:p>
      <w:pPr>
        <w:pStyle w:val="ListBullet"/>
      </w:pPr>
      <w:r>
        <w:t>AdaBins is post-detection processing on the RGB frame. It is not inserted between the YOLO neck and Detect head.</w:t>
      </w:r>
    </w:p>
    <w:p>
      <w:pPr>
        <w:pStyle w:val="ListBullet"/>
      </w:pPr>
      <w:r>
        <w:t>ByteTrack consumes detector boxes, confidence, and corrected relative depth after detection.</w:t>
      </w:r>
    </w:p>
    <w:p>
      <w:pPr>
        <w:pStyle w:val="ListBullet"/>
      </w:pPr>
      <w:r>
        <w:t>The source is 1920×1080, while the completed low-VRAM detector run used imgsz=640 for training/inference tensor resizing.</w:t>
      </w:r>
    </w:p>
    <w:p>
      <w:pPr>
        <w:pStyle w:val="Heading2"/>
      </w:pPr>
      <w:r>
        <w:t>2. Data characteristics and features extracted</w:t>
      </w:r>
    </w:p>
    <w:tbl>
      <w:tblPr>
        <w:tblStyle w:val="TableGrid"/>
        <w:tblW w:type="auto" w:w="0"/>
        <w:tblLayout w:type="autofit"/>
        <w:tblLook w:firstColumn="1" w:firstRow="1" w:lastColumn="0" w:lastRow="0" w:noHBand="0" w:noVBand="1" w:val="04A0"/>
      </w:tblPr>
      <w:tblGrid>
        <w:gridCol w:w="2520"/>
        <w:gridCol w:w="2520"/>
        <w:gridCol w:w="2520"/>
        <w:gridCol w:w="2520"/>
      </w:tblGrid>
      <w:tr>
        <w:tc>
          <w:tcPr>
            <w:tcW w:type="dxa" w:w="2520"/>
            <w:vAlign w:val="center"/>
            <w:shd w:fill="176B62"/>
          </w:tcPr>
          <w:p>
            <w:pPr>
              <w:spacing w:after="0"/>
            </w:pPr>
            <w:r>
              <w:rPr>
                <w:rFonts w:ascii="Arial" w:hAnsi="Arial"/>
                <w:b/>
                <w:color w:val="FFFFFF"/>
                <w:sz w:val="17"/>
              </w:rPr>
              <w:t>Stage</w:t>
            </w:r>
          </w:p>
        </w:tc>
        <w:tc>
          <w:tcPr>
            <w:tcW w:type="dxa" w:w="2520"/>
            <w:vAlign w:val="center"/>
            <w:shd w:fill="176B62"/>
          </w:tcPr>
          <w:p>
            <w:pPr>
              <w:spacing w:after="0"/>
            </w:pPr>
            <w:r>
              <w:rPr>
                <w:rFonts w:ascii="Arial" w:hAnsi="Arial"/>
                <w:b/>
                <w:color w:val="FFFFFF"/>
                <w:sz w:val="17"/>
              </w:rPr>
              <w:t>Extracted information</w:t>
            </w:r>
          </w:p>
        </w:tc>
        <w:tc>
          <w:tcPr>
            <w:tcW w:type="dxa" w:w="2520"/>
            <w:vAlign w:val="center"/>
            <w:shd w:fill="176B62"/>
          </w:tcPr>
          <w:p>
            <w:pPr>
              <w:spacing w:after="0"/>
            </w:pPr>
            <w:r>
              <w:rPr>
                <w:rFonts w:ascii="Arial" w:hAnsi="Arial"/>
                <w:b/>
                <w:color w:val="FFFFFF"/>
                <w:sz w:val="17"/>
              </w:rPr>
              <w:t>Purpose</w:t>
            </w:r>
          </w:p>
        </w:tc>
        <w:tc>
          <w:tcPr>
            <w:tcW w:type="dxa" w:w="2520"/>
            <w:vAlign w:val="center"/>
            <w:shd w:fill="176B62"/>
          </w:tcPr>
          <w:p>
            <w:pPr>
              <w:spacing w:after="0"/>
            </w:pPr>
            <w:r>
              <w:rPr>
                <w:rFonts w:ascii="Arial" w:hAnsi="Arial"/>
                <w:b/>
                <w:color w:val="FFFFFF"/>
                <w:sz w:val="17"/>
              </w:rPr>
              <w:t>Code</w:t>
            </w:r>
          </w:p>
        </w:tc>
      </w:tr>
      <w:tr>
        <w:tc>
          <w:tcPr>
            <w:tcW w:type="dxa" w:w="2520"/>
            <w:vAlign w:val="center"/>
          </w:tcPr>
          <w:p>
            <w:pPr>
              <w:spacing w:after="0"/>
            </w:pPr>
            <w:r>
              <w:rPr>
                <w:rFonts w:ascii="Arial" w:hAnsi="Arial"/>
                <w:sz w:val="17"/>
              </w:rPr>
              <w:t>Timeline</w:t>
            </w:r>
          </w:p>
        </w:tc>
        <w:tc>
          <w:tcPr>
            <w:tcW w:type="dxa" w:w="2520"/>
            <w:vAlign w:val="center"/>
          </w:tcPr>
          <w:p>
            <w:pPr>
              <w:spacing w:after="0"/>
            </w:pPr>
            <w:r>
              <w:rPr>
                <w:rFonts w:ascii="Arial" w:hAnsi="Arial"/>
                <w:sz w:val="17"/>
              </w:rPr>
              <w:t>Timestamp, source-frame index, repeated-frame flag</w:t>
            </w:r>
          </w:p>
        </w:tc>
        <w:tc>
          <w:tcPr>
            <w:tcW w:type="dxa" w:w="2520"/>
            <w:vAlign w:val="center"/>
          </w:tcPr>
          <w:p>
            <w:pPr>
              <w:spacing w:after="0"/>
            </w:pPr>
            <w:r>
              <w:rPr>
                <w:rFonts w:ascii="Arial" w:hAnsi="Arial"/>
                <w:sz w:val="17"/>
              </w:rPr>
              <w:t>Exact temporal accounting</w:t>
            </w:r>
          </w:p>
        </w:tc>
        <w:tc>
          <w:tcPr>
            <w:tcW w:type="dxa" w:w="2520"/>
            <w:vAlign w:val="center"/>
          </w:tcPr>
          <w:p>
            <w:pPr>
              <w:spacing w:after="0"/>
            </w:pPr>
            <w:r>
              <w:rPr>
                <w:rFonts w:ascii="Arial" w:hAnsi="Arial"/>
                <w:sz w:val="17"/>
              </w:rPr>
              <w:t>extract_80fps_timeline, lines 360–428</w:t>
            </w:r>
          </w:p>
        </w:tc>
      </w:tr>
      <w:tr>
        <w:tc>
          <w:tcPr>
            <w:tcW w:type="dxa" w:w="2520"/>
            <w:vAlign w:val="center"/>
            <w:shd w:fill="EAF4F2"/>
          </w:tcPr>
          <w:p>
            <w:pPr>
              <w:spacing w:after="0"/>
            </w:pPr>
            <w:r>
              <w:rPr>
                <w:rFonts w:ascii="Arial" w:hAnsi="Arial"/>
                <w:sz w:val="17"/>
              </w:rPr>
              <w:t>Uniform sampling</w:t>
            </w:r>
          </w:p>
        </w:tc>
        <w:tc>
          <w:tcPr>
            <w:tcW w:type="dxa" w:w="2520"/>
            <w:vAlign w:val="center"/>
            <w:shd w:fill="EAF4F2"/>
          </w:tcPr>
          <w:p>
            <w:pPr>
              <w:spacing w:after="0"/>
            </w:pPr>
            <w:r>
              <w:rPr>
                <w:rFonts w:ascii="Arial" w:hAnsi="Arial"/>
                <w:sz w:val="17"/>
              </w:rPr>
              <w:t>Global temporal coverage of the video</w:t>
            </w:r>
          </w:p>
        </w:tc>
        <w:tc>
          <w:tcPr>
            <w:tcW w:type="dxa" w:w="2520"/>
            <w:vAlign w:val="center"/>
            <w:shd w:fill="EAF4F2"/>
          </w:tcPr>
          <w:p>
            <w:pPr>
              <w:spacing w:after="0"/>
            </w:pPr>
            <w:r>
              <w:rPr>
                <w:rFonts w:ascii="Arial" w:hAnsi="Arial"/>
                <w:sz w:val="17"/>
              </w:rPr>
              <w:t>Avoid concentration in one short interval</w:t>
            </w:r>
          </w:p>
        </w:tc>
        <w:tc>
          <w:tcPr>
            <w:tcW w:type="dxa" w:w="2520"/>
            <w:vAlign w:val="center"/>
            <w:shd w:fill="EAF4F2"/>
          </w:tcPr>
          <w:p>
            <w:pPr>
              <w:spacing w:after="0"/>
            </w:pPr>
            <w:r>
              <w:rPr>
                <w:rFonts w:ascii="Arial" w:hAnsi="Arial"/>
                <w:sz w:val="17"/>
              </w:rPr>
              <w:t>pick_uniform_800, lines 431–459</w:t>
            </w:r>
          </w:p>
        </w:tc>
      </w:tr>
      <w:tr>
        <w:tc>
          <w:tcPr>
            <w:tcW w:type="dxa" w:w="2520"/>
            <w:vAlign w:val="center"/>
          </w:tcPr>
          <w:p>
            <w:pPr>
              <w:spacing w:after="0"/>
            </w:pPr>
            <w:r>
              <w:rPr>
                <w:rFonts w:ascii="Arial" w:hAnsi="Arial"/>
                <w:sz w:val="17"/>
              </w:rPr>
              <w:t>Augmentation</w:t>
            </w:r>
          </w:p>
        </w:tc>
        <w:tc>
          <w:tcPr>
            <w:tcW w:type="dxa" w:w="2520"/>
            <w:vAlign w:val="center"/>
          </w:tcPr>
          <w:p>
            <w:pPr>
              <w:spacing w:after="0"/>
            </w:pPr>
            <w:r>
              <w:rPr>
                <w:rFonts w:ascii="Arial" w:hAnsi="Arial"/>
                <w:sz w:val="17"/>
              </w:rPr>
              <w:t>Orientation, illumination, rotation, blur, and sensor-noise variation</w:t>
            </w:r>
          </w:p>
        </w:tc>
        <w:tc>
          <w:tcPr>
            <w:tcW w:type="dxa" w:w="2520"/>
            <w:vAlign w:val="center"/>
          </w:tcPr>
          <w:p>
            <w:pPr>
              <w:spacing w:after="0"/>
            </w:pPr>
            <w:r>
              <w:rPr>
                <w:rFonts w:ascii="Arial" w:hAnsi="Arial"/>
                <w:sz w:val="17"/>
              </w:rPr>
              <w:t>Improve visual robustness</w:t>
            </w:r>
          </w:p>
        </w:tc>
        <w:tc>
          <w:tcPr>
            <w:tcW w:type="dxa" w:w="2520"/>
            <w:vAlign w:val="center"/>
          </w:tcPr>
          <w:p>
            <w:pPr>
              <w:spacing w:after="0"/>
            </w:pPr>
            <w:r>
              <w:rPr>
                <w:rFonts w:ascii="Arial" w:hAnsi="Arial"/>
                <w:sz w:val="17"/>
              </w:rPr>
              <w:t>augment_picked_800, lines 496–545</w:t>
            </w:r>
          </w:p>
        </w:tc>
      </w:tr>
      <w:tr>
        <w:tc>
          <w:tcPr>
            <w:tcW w:type="dxa" w:w="2520"/>
            <w:vAlign w:val="center"/>
            <w:shd w:fill="EAF4F2"/>
          </w:tcPr>
          <w:p>
            <w:pPr>
              <w:spacing w:after="0"/>
            </w:pPr>
            <w:r>
              <w:rPr>
                <w:rFonts w:ascii="Arial" w:hAnsi="Arial"/>
                <w:sz w:val="17"/>
              </w:rPr>
              <w:t>Grouped split</w:t>
            </w:r>
          </w:p>
        </w:tc>
        <w:tc>
          <w:tcPr>
            <w:tcW w:type="dxa" w:w="2520"/>
            <w:vAlign w:val="center"/>
            <w:shd w:fill="EAF4F2"/>
          </w:tcPr>
          <w:p>
            <w:pPr>
              <w:spacing w:after="0"/>
            </w:pPr>
            <w:r>
              <w:rPr>
                <w:rFonts w:ascii="Arial" w:hAnsi="Arial"/>
                <w:sz w:val="17"/>
              </w:rPr>
              <w:t>Source-frame family membership</w:t>
            </w:r>
          </w:p>
        </w:tc>
        <w:tc>
          <w:tcPr>
            <w:tcW w:type="dxa" w:w="2520"/>
            <w:vAlign w:val="center"/>
            <w:shd w:fill="EAF4F2"/>
          </w:tcPr>
          <w:p>
            <w:pPr>
              <w:spacing w:after="0"/>
            </w:pPr>
            <w:r>
              <w:rPr>
                <w:rFonts w:ascii="Arial" w:hAnsi="Arial"/>
                <w:sz w:val="17"/>
              </w:rPr>
              <w:t>Prevent original/augmentation leakage</w:t>
            </w:r>
          </w:p>
        </w:tc>
        <w:tc>
          <w:tcPr>
            <w:tcW w:type="dxa" w:w="2520"/>
            <w:vAlign w:val="center"/>
            <w:shd w:fill="EAF4F2"/>
          </w:tcPr>
          <w:p>
            <w:pPr>
              <w:spacing w:after="0"/>
            </w:pPr>
            <w:r>
              <w:rPr>
                <w:rFonts w:ascii="Arial" w:hAnsi="Arial"/>
                <w:sz w:val="17"/>
              </w:rPr>
              <w:t>build_grouped_dataset_split, lines 566–613</w:t>
            </w:r>
          </w:p>
        </w:tc>
      </w:tr>
      <w:tr>
        <w:tc>
          <w:tcPr>
            <w:tcW w:type="dxa" w:w="2520"/>
            <w:vAlign w:val="center"/>
          </w:tcPr>
          <w:p>
            <w:pPr>
              <w:spacing w:after="0"/>
            </w:pPr>
            <w:r>
              <w:rPr>
                <w:rFonts w:ascii="Arial" w:hAnsi="Arial"/>
                <w:sz w:val="17"/>
              </w:rPr>
              <w:t>Pseudo-labels</w:t>
            </w:r>
          </w:p>
        </w:tc>
        <w:tc>
          <w:tcPr>
            <w:tcW w:type="dxa" w:w="2520"/>
            <w:vAlign w:val="center"/>
          </w:tcPr>
          <w:p>
            <w:pPr>
              <w:spacing w:after="0"/>
            </w:pPr>
            <w:r>
              <w:rPr>
                <w:rFonts w:ascii="Arial" w:hAnsi="Arial"/>
                <w:sz w:val="17"/>
              </w:rPr>
              <w:t>Apple box centre, width, height, and proposal confidence</w:t>
            </w:r>
          </w:p>
        </w:tc>
        <w:tc>
          <w:tcPr>
            <w:tcW w:type="dxa" w:w="2520"/>
            <w:vAlign w:val="center"/>
          </w:tcPr>
          <w:p>
            <w:pPr>
              <w:spacing w:after="0"/>
            </w:pPr>
            <w:r>
              <w:rPr>
                <w:rFonts w:ascii="Arial" w:hAnsi="Arial"/>
                <w:sz w:val="17"/>
              </w:rPr>
              <w:t>Train the one-class detector</w:t>
            </w:r>
          </w:p>
        </w:tc>
        <w:tc>
          <w:tcPr>
            <w:tcW w:type="dxa" w:w="2520"/>
            <w:vAlign w:val="center"/>
          </w:tcPr>
          <w:p>
            <w:pPr>
              <w:spacing w:after="0"/>
            </w:pPr>
            <w:r>
              <w:rPr>
                <w:rFonts w:ascii="Arial" w:hAnsi="Arial"/>
                <w:sz w:val="17"/>
              </w:rPr>
              <w:t>auto_label_after_split, lines 728–801</w:t>
            </w:r>
          </w:p>
        </w:tc>
      </w:tr>
      <w:tr>
        <w:tc>
          <w:tcPr>
            <w:tcW w:type="dxa" w:w="2520"/>
            <w:vAlign w:val="center"/>
            <w:shd w:fill="EAF4F2"/>
          </w:tcPr>
          <w:p>
            <w:pPr>
              <w:spacing w:after="0"/>
            </w:pPr>
            <w:r>
              <w:rPr>
                <w:rFonts w:ascii="Arial" w:hAnsi="Arial"/>
                <w:sz w:val="17"/>
              </w:rPr>
              <w:t>AAM</w:t>
            </w:r>
          </w:p>
        </w:tc>
        <w:tc>
          <w:tcPr>
            <w:tcW w:type="dxa" w:w="2520"/>
            <w:vAlign w:val="center"/>
            <w:shd w:fill="EAF4F2"/>
          </w:tcPr>
          <w:p>
            <w:pPr>
              <w:spacing w:after="0"/>
            </w:pPr>
            <w:r>
              <w:rPr>
                <w:rFonts w:ascii="Arial" w:hAnsi="Arial"/>
                <w:sz w:val="17"/>
              </w:rPr>
              <w:t>Colour/channel response, local shape edges, and scale context</w:t>
            </w:r>
          </w:p>
        </w:tc>
        <w:tc>
          <w:tcPr>
            <w:tcW w:type="dxa" w:w="2520"/>
            <w:vAlign w:val="center"/>
            <w:shd w:fill="EAF4F2"/>
          </w:tcPr>
          <w:p>
            <w:pPr>
              <w:spacing w:after="0"/>
            </w:pPr>
            <w:r>
              <w:rPr>
                <w:rFonts w:ascii="Arial" w:hAnsi="Arial"/>
                <w:sz w:val="17"/>
              </w:rPr>
              <w:t>Attribute-aware P4 representation</w:t>
            </w:r>
          </w:p>
        </w:tc>
        <w:tc>
          <w:tcPr>
            <w:tcW w:type="dxa" w:w="2520"/>
            <w:vAlign w:val="center"/>
            <w:shd w:fill="EAF4F2"/>
          </w:tcPr>
          <w:p>
            <w:pPr>
              <w:spacing w:after="0"/>
            </w:pPr>
            <w:r>
              <w:rPr>
                <w:rFonts w:ascii="Arial" w:hAnsi="Arial"/>
                <w:sz w:val="17"/>
              </w:rPr>
              <w:t>AAM, lines 858–874</w:t>
            </w:r>
          </w:p>
        </w:tc>
      </w:tr>
      <w:tr>
        <w:tc>
          <w:tcPr>
            <w:tcW w:type="dxa" w:w="2520"/>
            <w:vAlign w:val="center"/>
          </w:tcPr>
          <w:p>
            <w:pPr>
              <w:spacing w:after="0"/>
            </w:pPr>
            <w:r>
              <w:rPr>
                <w:rFonts w:ascii="Arial" w:hAnsi="Arial"/>
                <w:sz w:val="17"/>
              </w:rPr>
              <w:t>EBCA</w:t>
            </w:r>
          </w:p>
        </w:tc>
        <w:tc>
          <w:tcPr>
            <w:tcW w:type="dxa" w:w="2520"/>
            <w:vAlign w:val="center"/>
          </w:tcPr>
          <w:p>
            <w:pPr>
              <w:spacing w:after="0"/>
            </w:pPr>
            <w:r>
              <w:rPr>
                <w:rFonts w:ascii="Arial" w:hAnsi="Arial"/>
                <w:sz w:val="17"/>
              </w:rPr>
              <w:t>High-resolution P3 detail and deep P4 semantics</w:t>
            </w:r>
          </w:p>
        </w:tc>
        <w:tc>
          <w:tcPr>
            <w:tcW w:type="dxa" w:w="2520"/>
            <w:vAlign w:val="center"/>
          </w:tcPr>
          <w:p>
            <w:pPr>
              <w:spacing w:after="0"/>
            </w:pPr>
            <w:r>
              <w:rPr>
                <w:rFonts w:ascii="Arial" w:hAnsi="Arial"/>
                <w:sz w:val="17"/>
              </w:rPr>
              <w:t>Multi-scale overlap handling</w:t>
            </w:r>
          </w:p>
        </w:tc>
        <w:tc>
          <w:tcPr>
            <w:tcW w:type="dxa" w:w="2520"/>
            <w:vAlign w:val="center"/>
          </w:tcPr>
          <w:p>
            <w:pPr>
              <w:spacing w:after="0"/>
            </w:pPr>
            <w:r>
              <w:rPr>
                <w:rFonts w:ascii="Arial" w:hAnsi="Arial"/>
                <w:sz w:val="17"/>
              </w:rPr>
              <w:t>EBCA, lines 877–896</w:t>
            </w:r>
          </w:p>
        </w:tc>
      </w:tr>
      <w:tr>
        <w:tc>
          <w:tcPr>
            <w:tcW w:type="dxa" w:w="2520"/>
            <w:vAlign w:val="center"/>
            <w:shd w:fill="EAF4F2"/>
          </w:tcPr>
          <w:p>
            <w:pPr>
              <w:spacing w:after="0"/>
            </w:pPr>
            <w:r>
              <w:rPr>
                <w:rFonts w:ascii="Arial" w:hAnsi="Arial"/>
                <w:sz w:val="17"/>
              </w:rPr>
              <w:t>FM</w:t>
            </w:r>
          </w:p>
        </w:tc>
        <w:tc>
          <w:tcPr>
            <w:tcW w:type="dxa" w:w="2520"/>
            <w:vAlign w:val="center"/>
            <w:shd w:fill="EAF4F2"/>
          </w:tcPr>
          <w:p>
            <w:pPr>
              <w:spacing w:after="0"/>
            </w:pPr>
            <w:r>
              <w:rPr>
                <w:rFonts w:ascii="Arial" w:hAnsi="Arial"/>
                <w:sz w:val="17"/>
              </w:rPr>
              <w:t>Local-to-global contextual evidence</w:t>
            </w:r>
          </w:p>
        </w:tc>
        <w:tc>
          <w:tcPr>
            <w:tcW w:type="dxa" w:w="2520"/>
            <w:vAlign w:val="center"/>
            <w:shd w:fill="EAF4F2"/>
          </w:tcPr>
          <w:p>
            <w:pPr>
              <w:spacing w:after="0"/>
            </w:pPr>
            <w:r>
              <w:rPr>
                <w:rFonts w:ascii="Arial" w:hAnsi="Arial"/>
                <w:sz w:val="17"/>
              </w:rPr>
              <w:t>Robustness to partial occlusion</w:t>
            </w:r>
          </w:p>
        </w:tc>
        <w:tc>
          <w:tcPr>
            <w:tcW w:type="dxa" w:w="2520"/>
            <w:vAlign w:val="center"/>
            <w:shd w:fill="EAF4F2"/>
          </w:tcPr>
          <w:p>
            <w:pPr>
              <w:spacing w:after="0"/>
            </w:pPr>
            <w:r>
              <w:rPr>
                <w:rFonts w:ascii="Arial" w:hAnsi="Arial"/>
                <w:sz w:val="17"/>
              </w:rPr>
              <w:t>FM, lines 899–919</w:t>
            </w:r>
          </w:p>
        </w:tc>
      </w:tr>
      <w:tr>
        <w:tc>
          <w:tcPr>
            <w:tcW w:type="dxa" w:w="2520"/>
            <w:vAlign w:val="center"/>
          </w:tcPr>
          <w:p>
            <w:pPr>
              <w:spacing w:after="0"/>
            </w:pPr>
            <w:r>
              <w:rPr>
                <w:rFonts w:ascii="Arial" w:hAnsi="Arial"/>
                <w:sz w:val="17"/>
              </w:rPr>
              <w:t>KWConv</w:t>
            </w:r>
          </w:p>
        </w:tc>
        <w:tc>
          <w:tcPr>
            <w:tcW w:type="dxa" w:w="2520"/>
            <w:vAlign w:val="center"/>
          </w:tcPr>
          <w:p>
            <w:pPr>
              <w:spacing w:after="0"/>
            </w:pPr>
            <w:r>
              <w:rPr>
                <w:rFonts w:ascii="Arial" w:hAnsi="Arial"/>
                <w:sz w:val="17"/>
              </w:rPr>
              <w:t>3×3, 5×5, and 7×7 receptive-field responses</w:t>
            </w:r>
          </w:p>
        </w:tc>
        <w:tc>
          <w:tcPr>
            <w:tcW w:type="dxa" w:w="2520"/>
            <w:vAlign w:val="center"/>
          </w:tcPr>
          <w:p>
            <w:pPr>
              <w:spacing w:after="0"/>
            </w:pPr>
            <w:r>
              <w:rPr>
                <w:rFonts w:ascii="Arial" w:hAnsi="Arial"/>
                <w:sz w:val="17"/>
              </w:rPr>
              <w:t>Adaptive fruit-size handling</w:t>
            </w:r>
          </w:p>
        </w:tc>
        <w:tc>
          <w:tcPr>
            <w:tcW w:type="dxa" w:w="2520"/>
            <w:vAlign w:val="center"/>
          </w:tcPr>
          <w:p>
            <w:pPr>
              <w:spacing w:after="0"/>
            </w:pPr>
            <w:r>
              <w:rPr>
                <w:rFonts w:ascii="Arial" w:hAnsi="Arial"/>
                <w:sz w:val="17"/>
              </w:rPr>
              <w:t>KWConv, lines 922–935</w:t>
            </w:r>
          </w:p>
        </w:tc>
      </w:tr>
      <w:tr>
        <w:tc>
          <w:tcPr>
            <w:tcW w:type="dxa" w:w="2520"/>
            <w:vAlign w:val="center"/>
            <w:shd w:fill="EAF4F2"/>
          </w:tcPr>
          <w:p>
            <w:pPr>
              <w:spacing w:after="0"/>
            </w:pPr>
            <w:r>
              <w:rPr>
                <w:rFonts w:ascii="Arial" w:hAnsi="Arial"/>
                <w:sz w:val="17"/>
              </w:rPr>
              <w:t>AdaBins</w:t>
            </w:r>
          </w:p>
        </w:tc>
        <w:tc>
          <w:tcPr>
            <w:tcW w:type="dxa" w:w="2520"/>
            <w:vAlign w:val="center"/>
            <w:shd w:fill="EAF4F2"/>
          </w:tcPr>
          <w:p>
            <w:pPr>
              <w:spacing w:after="0"/>
            </w:pPr>
            <w:r>
              <w:rPr>
                <w:rFonts w:ascii="Arial" w:hAnsi="Arial"/>
                <w:sz w:val="17"/>
              </w:rPr>
              <w:t>Dense monocular depth and robust box statistic</w:t>
            </w:r>
          </w:p>
        </w:tc>
        <w:tc>
          <w:tcPr>
            <w:tcW w:type="dxa" w:w="2520"/>
            <w:vAlign w:val="center"/>
            <w:shd w:fill="EAF4F2"/>
          </w:tcPr>
          <w:p>
            <w:pPr>
              <w:spacing w:after="0"/>
            </w:pPr>
            <w:r>
              <w:rPr>
                <w:rFonts w:ascii="Arial" w:hAnsi="Arial"/>
                <w:sz w:val="17"/>
              </w:rPr>
              <w:t>Near/far association cue</w:t>
            </w:r>
          </w:p>
        </w:tc>
        <w:tc>
          <w:tcPr>
            <w:tcW w:type="dxa" w:w="2520"/>
            <w:vAlign w:val="center"/>
            <w:shd w:fill="EAF4F2"/>
          </w:tcPr>
          <w:p>
            <w:pPr>
              <w:spacing w:after="0"/>
            </w:pPr>
            <w:r>
              <w:rPr>
                <w:rFonts w:ascii="Arial" w:hAnsi="Arial"/>
                <w:sz w:val="17"/>
              </w:rPr>
              <w:t>lines 1169–1272</w:t>
            </w:r>
          </w:p>
        </w:tc>
      </w:tr>
      <w:tr>
        <w:tc>
          <w:tcPr>
            <w:tcW w:type="dxa" w:w="2520"/>
            <w:vAlign w:val="center"/>
          </w:tcPr>
          <w:p>
            <w:pPr>
              <w:spacing w:after="0"/>
            </w:pPr>
            <w:r>
              <w:rPr>
                <w:rFonts w:ascii="Arial" w:hAnsi="Arial"/>
                <w:sz w:val="17"/>
              </w:rPr>
              <w:t>Tracker</w:t>
            </w:r>
          </w:p>
        </w:tc>
        <w:tc>
          <w:tcPr>
            <w:tcW w:type="dxa" w:w="2520"/>
            <w:vAlign w:val="center"/>
          </w:tcPr>
          <w:p>
            <w:pPr>
              <w:spacing w:after="0"/>
            </w:pPr>
            <w:r>
              <w:rPr>
                <w:rFonts w:ascii="Arial" w:hAnsi="Arial"/>
                <w:sz w:val="17"/>
              </w:rPr>
              <w:t>IoU, centre motion, confidence tier, and relative-depth consistency</w:t>
            </w:r>
          </w:p>
        </w:tc>
        <w:tc>
          <w:tcPr>
            <w:tcW w:type="dxa" w:w="2520"/>
            <w:vAlign w:val="center"/>
          </w:tcPr>
          <w:p>
            <w:pPr>
              <w:spacing w:after="0"/>
            </w:pPr>
            <w:r>
              <w:rPr>
                <w:rFonts w:ascii="Arial" w:hAnsi="Arial"/>
                <w:sz w:val="17"/>
              </w:rPr>
              <w:t>Persistent ID and duplicate-safe count</w:t>
            </w:r>
          </w:p>
        </w:tc>
        <w:tc>
          <w:tcPr>
            <w:tcW w:type="dxa" w:w="2520"/>
            <w:vAlign w:val="center"/>
          </w:tcPr>
          <w:p>
            <w:pPr>
              <w:spacing w:after="0"/>
            </w:pPr>
            <w:r>
              <w:rPr>
                <w:rFonts w:ascii="Arial" w:hAnsi="Arial"/>
                <w:sz w:val="17"/>
              </w:rPr>
              <w:t>lines 1276–1462</w:t>
            </w:r>
          </w:p>
        </w:tc>
      </w:tr>
    </w:tbl>
    <w:p>
      <w:pPr>
        <w:spacing w:after="40"/>
      </w:pPr>
    </w:p>
    <w:p>
      <w:r>
        <w:t>The augmentation seed is 42. The completed detector training seed stored in the checkpoint is 0; these are separate random processes.</w:t>
      </w:r>
    </w:p>
    <w:p>
      <w:pPr>
        <w:pStyle w:val="Heading2"/>
      </w:pPr>
      <w:r>
        <w:t>3. Attribute Attention Module (AAM) — PPT slide 3</w:t>
      </w:r>
    </w:p>
    <w:p>
      <w:pPr>
        <w:pStyle w:val="Heading3"/>
      </w:pPr>
      <w:r>
        <w:t>PPT formula</w:t>
      </w:r>
    </w:p>
    <w:p>
      <w:pPr>
        <w:spacing w:before="80" w:after="140"/>
        <w:jc w:val="center"/>
      </w:pPr>
      <w:r>
        <w:rPr>
          <w:rFonts w:ascii="Cambria Math" w:hAnsi="Cambria Math"/>
          <w:i/>
          <w:sz w:val="22"/>
        </w:rPr>
        <w:t>F_{AAM}=F\odot\sigma(\alpha F_{colour}+\beta F_{shape}+\gamma F_{scale})</w:t>
      </w:r>
    </w:p>
    <w:p>
      <w:r>
        <w:t>Here, F is the P4 input feature map, σ is sigmoid, ⊙ is element-wise multiplication, and α, β, γ are learned fusion weights.</w:t>
      </w:r>
    </w:p>
    <w:p>
      <w:pPr>
        <w:pStyle w:val="Heading3"/>
      </w:pPr>
      <w:r>
        <w:t>Implemented branches</w:t>
      </w:r>
    </w:p>
    <w:p>
      <w:pPr>
        <w:pStyle w:val="ListBullet"/>
      </w:pPr>
      <w:r>
        <w:t>Colour branch: global average pooling → 1×1 channel reduction → SiLU → 1×1 channel restoration → spatial expansion.</w:t>
      </w:r>
    </w:p>
    <w:p>
      <w:pPr>
        <w:pStyle w:val="ListBullet"/>
      </w:pPr>
      <w:r>
        <w:t>Shape branch: channel-wise/depthwise 3×3 convolution.</w:t>
      </w:r>
    </w:p>
    <w:p>
      <w:pPr>
        <w:pStyle w:val="ListBullet"/>
      </w:pPr>
      <w:r>
        <w:t>Scale branch: 3×3 average pooling followed by 1×1 convolution.</w:t>
      </w:r>
    </w:p>
    <w:p>
      <w:pPr>
        <w:pStyle w:val="ListBullet"/>
      </w:pPr>
      <w:r>
        <w:t>Fusion: softmax([w_colour,w_shape,w_scale]) ensures normalized learned weights.</w:t>
      </w:r>
    </w:p>
    <w:p>
      <w:r>
        <w:t>The exact implemented relation is:</w:t>
      </w:r>
    </w:p>
    <w:p>
      <w:pPr>
        <w:spacing w:before="80" w:after="140"/>
        <w:jc w:val="center"/>
      </w:pPr>
      <w:r>
        <w:rPr>
          <w:rFonts w:ascii="Cambria Math" w:hAnsi="Cambria Math"/>
          <w:i/>
          <w:sz w:val="22"/>
        </w:rPr>
        <w:t>\boldsymbol{\alpha}=softmax(\mathbf{w}),\qquad F'=F\odot\sigma(\alpha_1 C(F)+\alpha_2 S(F)+\alpha_3 R(F)).</w:t>
      </w:r>
    </w:p>
    <w:p>
      <w:r>
        <w:t>Code: AAM, lines 858–874. This module is consistent with the slide-3 formula.</w:t>
      </w:r>
    </w:p>
    <w:p>
      <w:pPr>
        <w:pStyle w:val="Heading2"/>
      </w:pPr>
      <w:r>
        <w:t>4. Efficient Bidirectional Cross-Attention (EBCA) — PPT slides 4–6</w:t>
      </w:r>
    </w:p>
    <w:p>
      <w:pPr>
        <w:pStyle w:val="Heading3"/>
      </w:pPr>
      <w:r>
        <w:t>Conceptual PPT equations</w:t>
      </w:r>
    </w:p>
    <w:p>
      <w:r>
        <w:t>Slides 4–6 describe dense scaled dot-product attention:</w:t>
      </w:r>
    </w:p>
    <w:p>
      <w:pPr>
        <w:spacing w:before="80" w:after="140"/>
        <w:jc w:val="center"/>
      </w:pPr>
      <w:r>
        <w:rPr>
          <w:rFonts w:ascii="Cambria Math" w:hAnsi="Cambria Math"/>
          <w:i/>
          <w:sz w:val="22"/>
        </w:rPr>
        <w:t>Q=P_3W_Q,\quad K=P_4W_K,\quad V=P_4W_V,</w:t>
      </w:r>
    </w:p>
    <w:p>
      <w:pPr>
        <w:spacing w:before="80" w:after="140"/>
        <w:jc w:val="center"/>
      </w:pPr>
      <w:r>
        <w:rPr>
          <w:rFonts w:ascii="Cambria Math" w:hAnsi="Cambria Math"/>
          <w:i/>
          <w:sz w:val="22"/>
        </w:rPr>
        <w:t>S=QK^T,\qquad A=softmax\left(\frac{QK^T}{\sqrt{d_k}}\right),\qquad F=AV.</w:t>
      </w:r>
    </w:p>
    <w:p>
      <w:r>
        <w:t>Bidirectional and multi-head forms are presented as:</w:t>
      </w:r>
    </w:p>
    <w:p>
      <w:pPr>
        <w:spacing w:before="80" w:after="140"/>
        <w:jc w:val="center"/>
      </w:pPr>
      <w:r>
        <w:rPr>
          <w:rFonts w:ascii="Cambria Math" w:hAnsi="Cambria Math"/>
          <w:i/>
          <w:sz w:val="22"/>
        </w:rPr>
        <w:t>F_{P3}=Attention(Q_{P3},K_{P4},V_{P4}),</w:t>
      </w:r>
    </w:p>
    <w:p>
      <w:pPr>
        <w:spacing w:before="80" w:after="140"/>
        <w:jc w:val="center"/>
      </w:pPr>
      <w:r>
        <w:rPr>
          <w:rFonts w:ascii="Cambria Math" w:hAnsi="Cambria Math"/>
          <w:i/>
          <w:sz w:val="22"/>
        </w:rPr>
        <w:t>F_{P4}=Attention(Q_{P4},K_{P3},V_{P3}),</w:t>
      </w:r>
    </w:p>
    <w:p>
      <w:pPr>
        <w:spacing w:before="80" w:after="140"/>
        <w:jc w:val="center"/>
      </w:pPr>
      <w:r>
        <w:rPr>
          <w:rFonts w:ascii="Cambria Math" w:hAnsi="Cambria Math"/>
          <w:i/>
          <w:sz w:val="22"/>
        </w:rPr>
        <w:t>head_i=Attention(QW_i^Q,KW_i^K,VW_i^V),</w:t>
      </w:r>
    </w:p>
    <w:p>
      <w:pPr>
        <w:spacing w:before="80" w:after="140"/>
        <w:jc w:val="center"/>
      </w:pPr>
      <w:r>
        <w:rPr>
          <w:rFonts w:ascii="Cambria Math" w:hAnsi="Cambria Math"/>
          <w:i/>
          <w:sz w:val="22"/>
        </w:rPr>
        <w:t>MultiHead=Concat(head_1,\ldots,head_h)W^O.</w:t>
      </w:r>
    </w:p>
    <w:p>
      <w:r>
        <w:t>The PPT additionally illustrates eight heads, positional encoding, a CSP block, and FPN integration.</w:t>
      </w:r>
    </w:p>
    <w:p>
      <w:pPr>
        <w:pStyle w:val="Heading3"/>
      </w:pPr>
      <w:r>
        <w:t>Formula actually used by the trained checkpoint</w:t>
      </w:r>
    </w:p>
    <w:p>
      <w:r>
        <w:t>The trained model uses a memory-efficient element-wise bidirectional gate. It avoids the quadratic spatial QKᵀ matrix, which is important on the 4-GB RTX 3050 Ti.</w:t>
      </w:r>
    </w:p>
    <w:p>
      <w:r>
        <w:t>For P4 → P3:</w:t>
      </w:r>
    </w:p>
    <w:p>
      <w:pPr>
        <w:spacing w:before="80" w:after="140"/>
        <w:jc w:val="center"/>
      </w:pPr>
      <w:r>
        <w:rPr>
          <w:rFonts w:ascii="Cambria Math" w:hAnsi="Cambria Math"/>
          <w:i/>
          <w:sz w:val="22"/>
        </w:rPr>
        <w:t>U=Resize(W_{43}*P_4),</w:t>
      </w:r>
    </w:p>
    <w:p>
      <w:pPr>
        <w:spacing w:before="80" w:after="140"/>
        <w:jc w:val="center"/>
      </w:pPr>
      <w:r>
        <w:rPr>
          <w:rFonts w:ascii="Cambria Math" w:hAnsi="Cambria Math"/>
          <w:i/>
          <w:sz w:val="22"/>
        </w:rPr>
        <w:t>G_3=\sigma\left(\frac{(W_{q3}*P_3)\odot U}{\sqrt{C_3}}\right),</w:t>
      </w:r>
    </w:p>
    <w:p>
      <w:pPr>
        <w:spacing w:before="80" w:after="140"/>
        <w:jc w:val="center"/>
      </w:pPr>
      <w:r>
        <w:rPr>
          <w:rFonts w:ascii="Cambria Math" w:hAnsi="Cambria Math"/>
          <w:i/>
          <w:sz w:val="22"/>
        </w:rPr>
        <w:t>P'_3=BN(P_3+G_3\odot U).</w:t>
      </w:r>
    </w:p>
    <w:p>
      <w:r>
        <w:t>For P3 → P4:</w:t>
      </w:r>
    </w:p>
    <w:p>
      <w:pPr>
        <w:spacing w:before="80" w:after="140"/>
        <w:jc w:val="center"/>
      </w:pPr>
      <w:r>
        <w:rPr>
          <w:rFonts w:ascii="Cambria Math" w:hAnsi="Cambria Math"/>
          <w:i/>
          <w:sz w:val="22"/>
        </w:rPr>
        <w:t>D=AdaptivePool(W_{34}*P_3),</w:t>
      </w:r>
    </w:p>
    <w:p>
      <w:pPr>
        <w:spacing w:before="80" w:after="140"/>
        <w:jc w:val="center"/>
      </w:pPr>
      <w:r>
        <w:rPr>
          <w:rFonts w:ascii="Cambria Math" w:hAnsi="Cambria Math"/>
          <w:i/>
          <w:sz w:val="22"/>
        </w:rPr>
        <w:t>G_4=\sigma\left(\frac{(W_{q4}*P_4)\odot D}{\sqrt{C_4}}\right),</w:t>
      </w:r>
    </w:p>
    <w:p>
      <w:pPr>
        <w:spacing w:before="80" w:after="140"/>
        <w:jc w:val="center"/>
      </w:pPr>
      <w:r>
        <w:rPr>
          <w:rFonts w:ascii="Cambria Math" w:hAnsi="Cambria Math"/>
          <w:i/>
          <w:sz w:val="22"/>
        </w:rPr>
        <w:t>P'_4=BN(P_4+G_4\odot D).</w:t>
      </w:r>
    </w:p>
    <w:p>
      <w:r>
        <w:t>Code: EBCA, lines 877–896.</w:t>
      </w:r>
    </w:p>
    <w:p>
      <w:pPr>
        <w:pStyle w:val="Heading3"/>
      </w:pPr>
      <w:r>
        <w:t>Traceability decision</w:t>
      </w:r>
    </w:p>
    <w:p>
      <w:r>
        <w:t>The dense eight-head PPT equations are conceptual background; they are not the computation stored in best.pt. Replacing the trained EBCA with dense multi-head attention would change tensor parameters, invalidate the checkpoint, and require complete retraining. The documentation therefore records the actual efficient gate instead of claiming that the checkpoint contains unimplemented operations.</w:t>
      </w:r>
    </w:p>
    <w:p>
      <w:pPr>
        <w:pStyle w:val="Heading2"/>
      </w:pPr>
      <w:r>
        <w:t>5. Focal Modulation (FM) — PPT slides 7–9</w:t>
      </w:r>
    </w:p>
    <w:p>
      <w:pPr>
        <w:pStyle w:val="Heading3"/>
      </w:pPr>
      <w:r>
        <w:t>PPT equations</w:t>
      </w:r>
    </w:p>
    <w:p>
      <w:r>
        <w:t>The slides define query/context projections, multi-level depthwise context, gating, modulation, and output transformation:</w:t>
      </w:r>
    </w:p>
    <w:p>
      <w:pPr>
        <w:spacing w:before="80" w:after="140"/>
        <w:jc w:val="center"/>
      </w:pPr>
      <w:r>
        <w:rPr>
          <w:rFonts w:ascii="Cambria Math" w:hAnsi="Cambria Math"/>
          <w:i/>
          <w:sz w:val="22"/>
        </w:rPr>
        <w:t>q(x)=W_qX,\qquad X^1=W_cX,</w:t>
      </w:r>
    </w:p>
    <w:p>
      <w:pPr>
        <w:spacing w:before="80" w:after="140"/>
        <w:jc w:val="center"/>
      </w:pPr>
      <w:r>
        <w:rPr>
          <w:rFonts w:ascii="Cambria Math" w:hAnsi="Cambria Math"/>
          <w:i/>
          <w:sz w:val="22"/>
        </w:rPr>
        <w:t>f_l(x)=DWConv_l(X^l),</w:t>
      </w:r>
    </w:p>
    <w:p>
      <w:pPr>
        <w:spacing w:before="80" w:after="140"/>
        <w:jc w:val="center"/>
      </w:pPr>
      <w:r>
        <w:rPr>
          <w:rFonts w:ascii="Cambria Math" w:hAnsi="Cambria Math"/>
          <w:i/>
          <w:sz w:val="22"/>
        </w:rPr>
        <w:t>g_l(x)=\sigma(W_{gl}f_l(x)),</w:t>
      </w:r>
    </w:p>
    <w:p>
      <w:pPr>
        <w:spacing w:before="80" w:after="140"/>
        <w:jc w:val="center"/>
      </w:pPr>
      <w:r>
        <w:rPr>
          <w:rFonts w:ascii="Cambria Math" w:hAnsi="Cambria Math"/>
          <w:i/>
          <w:sz w:val="22"/>
        </w:rPr>
        <w:t>m(x)=\sum_{l=1}^{L}g_l(x)f_l(x),</w:t>
      </w:r>
    </w:p>
    <w:p>
      <w:pPr>
        <w:spacing w:before="80" w:after="140"/>
        <w:jc w:val="center"/>
      </w:pPr>
      <w:r>
        <w:rPr>
          <w:rFonts w:ascii="Cambria Math" w:hAnsi="Cambria Math"/>
          <w:i/>
          <w:sz w:val="22"/>
        </w:rPr>
        <w:t>y=q(x)\odot m(x),\qquad Z=W_oy.</w:t>
      </w:r>
    </w:p>
    <w:p>
      <w:pPr>
        <w:pStyle w:val="Heading3"/>
      </w:pPr>
      <w:r>
        <w:t>Implemented computation</w:t>
      </w:r>
    </w:p>
    <w:p>
      <w:r>
        <w:t>The code uses three hierarchical depthwise kernels of 3×3, 5×5, and 7×7, plus one global context branch. Gates are normalized jointly with softmax:</w:t>
      </w:r>
    </w:p>
    <w:p>
      <w:pPr>
        <w:spacing w:before="80" w:after="140"/>
        <w:jc w:val="center"/>
      </w:pPr>
      <w:r>
        <w:rPr>
          <w:rFonts w:ascii="Cambria Math" w:hAnsi="Cambria Math"/>
          <w:i/>
          <w:sz w:val="22"/>
        </w:rPr>
        <w:t>Q=Conv_{1\times1}(X),\qquad G=softmax(Conv_{1\times1}(X)),</w:t>
      </w:r>
    </w:p>
    <w:p>
      <w:pPr>
        <w:spacing w:before="80" w:after="140"/>
        <w:jc w:val="center"/>
      </w:pPr>
      <w:r>
        <w:rPr>
          <w:rFonts w:ascii="Cambria Math" w:hAnsi="Cambria Math"/>
          <w:i/>
          <w:sz w:val="22"/>
        </w:rPr>
        <w:t>C_l=DWConv_l(C_{l-1}),\quad C_0=X,</w:t>
      </w:r>
    </w:p>
    <w:p>
      <w:pPr>
        <w:spacing w:before="80" w:after="140"/>
        <w:jc w:val="center"/>
      </w:pPr>
      <w:r>
        <w:rPr>
          <w:rFonts w:ascii="Cambria Math" w:hAnsi="Cambria Math"/>
          <w:i/>
          <w:sz w:val="22"/>
        </w:rPr>
        <w:t>M=\sum_{l=1}^{L}G_l\odot C_l+G_{L+1}\odot GAP(X),</w:t>
      </w:r>
    </w:p>
    <w:p>
      <w:pPr>
        <w:spacing w:before="80" w:after="140"/>
        <w:jc w:val="center"/>
      </w:pPr>
      <w:r>
        <w:rPr>
          <w:rFonts w:ascii="Cambria Math" w:hAnsi="Cambria Math"/>
          <w:i/>
          <w:sz w:val="22"/>
        </w:rPr>
        <w:t>Z=Conv^{out}_{1\times1}\left(Q\odot Conv^{mod}_{1\times1}(M)\right).</w:t>
      </w:r>
    </w:p>
    <w:p>
      <w:r>
        <w:t>Code: FM, lines 899–919. The implementation preserves the focal-modulation idea while making scale gates compete through a normalized softmax.</w:t>
      </w:r>
    </w:p>
    <w:p>
      <w:pPr>
        <w:pStyle w:val="Heading2"/>
      </w:pPr>
      <w:r>
        <w:t>6. Kernel Warehouse Convolution (KWConv) — PPT slides 10–11</w:t>
      </w:r>
    </w:p>
    <w:p>
      <w:pPr>
        <w:pStyle w:val="Heading3"/>
      </w:pPr>
      <w:r>
        <w:t>PPT equations</w:t>
      </w:r>
    </w:p>
    <w:p>
      <w:r>
        <w:t>For channel c, global average pooling is:</w:t>
      </w:r>
    </w:p>
    <w:p>
      <w:pPr>
        <w:spacing w:before="80" w:after="140"/>
        <w:jc w:val="center"/>
      </w:pPr>
      <w:r>
        <w:rPr>
          <w:rFonts w:ascii="Cambria Math" w:hAnsi="Cambria Math"/>
          <w:i/>
          <w:sz w:val="22"/>
        </w:rPr>
        <w:t>Z_c=\frac{1}{HW}\sum_{i=1}^{H}\sum_{j=1}^{W}X_c(i,j).</w:t>
      </w:r>
    </w:p>
    <w:p>
      <w:r>
        <w:t>Kernel selection and assembly are:</w:t>
      </w:r>
    </w:p>
    <w:p>
      <w:pPr>
        <w:spacing w:before="80" w:after="140"/>
        <w:jc w:val="center"/>
      </w:pPr>
      <w:r>
        <w:rPr>
          <w:rFonts w:ascii="Cambria Math" w:hAnsi="Cambria Math"/>
          <w:i/>
          <w:sz w:val="22"/>
        </w:rPr>
        <w:t>\boldsymbol{\alpha}=softmax(WZ),\qquad E=\{e_1,e_2,\ldots,e_n\},</w:t>
      </w:r>
    </w:p>
    <w:p>
      <w:pPr>
        <w:spacing w:before="80" w:after="140"/>
        <w:jc w:val="center"/>
      </w:pPr>
      <w:r>
        <w:rPr>
          <w:rFonts w:ascii="Cambria Math" w:hAnsi="Cambria Math"/>
          <w:i/>
          <w:sz w:val="22"/>
        </w:rPr>
        <w:t>K=\sum_{i=1}^{n}\alpha_ie_i,\qquad Y=K*X.</w:t>
      </w:r>
    </w:p>
    <w:p>
      <w:pPr>
        <w:pStyle w:val="Heading3"/>
      </w:pPr>
      <w:r>
        <w:t>Implemented computation</w:t>
      </w:r>
    </w:p>
    <w:p>
      <w:r>
        <w:t>The warehouse consists of learned 3×3, 5×5, and 7×7 convolution branches. A global pooled selector produces one normalized weight per branch and sample:</w:t>
      </w:r>
    </w:p>
    <w:p>
      <w:pPr>
        <w:spacing w:before="80" w:after="140"/>
        <w:jc w:val="center"/>
      </w:pPr>
      <w:r>
        <w:rPr>
          <w:rFonts w:ascii="Cambria Math" w:hAnsi="Cambria Math"/>
          <w:i/>
          <w:sz w:val="22"/>
        </w:rPr>
        <w:t>\boldsymbol{\alpha}=softmax(Conv_{1\times1}(GAP(X))),</w:t>
      </w:r>
    </w:p>
    <w:p>
      <w:pPr>
        <w:spacing w:before="80" w:after="140"/>
        <w:jc w:val="center"/>
      </w:pPr>
      <w:r>
        <w:rPr>
          <w:rFonts w:ascii="Cambria Math" w:hAnsi="Cambria Math"/>
          <w:i/>
          <w:sz w:val="22"/>
        </w:rPr>
        <w:t>Y=SiLU\left(BN\left(\sum_{i=1}^{3}\alpha_i(e_i*X)\right)\right).</w:t>
      </w:r>
    </w:p>
    <w:p>
      <w:r>
        <w:t>Because convolution is linear and each αᵢ is spatially constant for one sample, mixing branch responses is equivalent to applying the assembled kernel mixture, with the implementation avoiding explicit kernel materialization.</w:t>
      </w:r>
    </w:p>
    <w:p>
      <w:r>
        <w:t>Code: KWConv, lines 922–935.</w:t>
      </w:r>
    </w:p>
    <w:p>
      <w:pPr>
        <w:pStyle w:val="Heading2"/>
      </w:pPr>
      <w:r>
        <w:t>7. Code connection among AAM, EBCA, FM, KWConv, and Detect</w:t>
      </w:r>
    </w:p>
    <w:p>
      <w:r>
        <w:t>The exact connection is:</w:t>
      </w:r>
    </w:p>
    <w:p>
      <w:pPr>
        <w:pStyle w:val="CodeBlock"/>
        <w:shd w:fill="F3F5F6"/>
      </w:pPr>
      <w:r>
        <w:t>YOLO P3 ───────────────────┐</w:t>
        <w:br/>
        <w:t xml:space="preserve">                          ├─ EBCA ─ P3' ─ KWConv3 ─┐</w:t>
        <w:br/>
        <w:t>YOLO P4 ─ AAM ────────────┘                       │</w:t>
        <w:br/>
        <w:t xml:space="preserve">                    EBCA P4' ─ FM ─ KWConv4 ──────┼─ Enhanced Detect(P3'',P4'',P5')</w:t>
        <w:br/>
        <w:t>YOLO P5 ─────────────────────── KWConv5 ──────────┘</w:t>
      </w:r>
    </w:p>
    <w:p>
      <w:r>
        <w:t>Equivalent pseudocode:</w:t>
      </w:r>
    </w:p>
    <w:p>
      <w:pPr>
        <w:pStyle w:val="CodeBlock"/>
        <w:shd w:fill="F3F5F6"/>
      </w:pPr>
      <w:r>
        <w:t>p4 = AAM(p4)</w:t>
        <w:br/>
        <w:t>p3, p4 = EBCA(p3, p4)</w:t>
        <w:br/>
        <w:t>p4 = FM(p4)</w:t>
        <w:br/>
        <w:t>p3, p4, p5 = KWConv(p3), KWConv(p4), KWConv(p5)</w:t>
        <w:br/>
        <w:t>predictions = Detect([p3, p4, p5])</w:t>
      </w:r>
    </w:p>
    <w:p>
      <w:r>
        <w:t>Code connections:</w:t>
      </w:r>
    </w:p>
    <w:p>
      <w:pPr>
        <w:pStyle w:val="ListBullet"/>
      </w:pPr>
      <w:r>
        <w:t>ProposedEnhancementNeck, lines 938–952.</w:t>
      </w:r>
    </w:p>
    <w:p>
      <w:pPr>
        <w:pStyle w:val="ListBullet"/>
      </w:pPr>
      <w:r>
        <w:t>EnhancedDetectHead, lines 955–999.</w:t>
      </w:r>
    </w:p>
    <w:p>
      <w:pPr>
        <w:pStyle w:val="ListBullet"/>
      </w:pPr>
      <w:r>
        <w:t>patch_yolov8_detection_head, lines 1039–1058.</w:t>
      </w:r>
    </w:p>
    <w:p>
      <w:pPr>
        <w:pStyle w:val="ListBullet"/>
      </w:pPr>
      <w:r>
        <w:t>Custom trainer integration, lines 1071–1125.</w:t>
      </w:r>
    </w:p>
    <w:p>
      <w:r>
        <w:t>The completed checkpoint contains an EnhancedDetectHead. It has 40,151,203 parameters in total; the enhancement neck contributes 29,015,216 parameters. The feature-channel inputs are P3=128, P4=256, and P5=512.</w:t>
      </w:r>
    </w:p>
    <w:p>
      <w:pPr>
        <w:pStyle w:val="Heading2"/>
      </w:pPr>
      <w:r>
        <w:t>8. AdaBins depth processing</w:t>
      </w:r>
    </w:p>
    <w:p>
      <w:r>
        <w:t>The RGB frame is resized to 928×512 before official KITTI-pretrained AdaBins inference, and its output is resized back to source resolution. Within each detection, a 15% margin excludes unstable box edges. Positive finite values are sorted, 10% is trimmed from each tail, and the median becomes the raw per-instance depth:</w:t>
      </w:r>
    </w:p>
    <w:p>
      <w:pPr>
        <w:spacing w:before="80" w:after="140"/>
        <w:jc w:val="center"/>
      </w:pPr>
      <w:r>
        <w:rPr>
          <w:rFonts w:ascii="Cambria Math" w:hAnsi="Cambria Math"/>
          <w:i/>
          <w:sz w:val="22"/>
        </w:rPr>
        <w:t>d_{raw}=median\left(trim_{10\%}(D[B_{inner}])\right).</w:t>
      </w:r>
    </w:p>
    <w:p>
      <w:r>
        <w:t>For the published corrected results, equivalent box diameter is:</w:t>
      </w:r>
    </w:p>
    <w:p>
      <w:pPr>
        <w:spacing w:before="80" w:after="140"/>
        <w:jc w:val="center"/>
      </w:pPr>
      <w:r>
        <w:rPr>
          <w:rFonts w:ascii="Cambria Math" w:hAnsi="Cambria Math"/>
          <w:i/>
          <w:sz w:val="22"/>
        </w:rPr>
        <w:t>s_i=\sqrt{w_ih_i}.</w:t>
      </w:r>
    </w:p>
    <w:p>
      <w:r>
        <w:t>The frame reference diameter is the median sᵢ among detections whose confidence is at least 0.50. The correction is:</w:t>
      </w:r>
    </w:p>
    <w:p>
      <w:pPr>
        <w:spacing w:before="80" w:after="140"/>
        <w:jc w:val="center"/>
      </w:pPr>
      <w:r>
        <w:rPr>
          <w:rFonts w:ascii="Cambria Math" w:hAnsi="Cambria Math"/>
          <w:i/>
          <w:sz w:val="22"/>
        </w:rPr>
        <w:t>f_i=clip\left(\left(\frac{s_{ref}}{s_i}\right)^{0.65},0.5,2.5\right),</w:t>
      </w:r>
    </w:p>
    <w:p>
      <w:pPr>
        <w:spacing w:before="80" w:after="140"/>
        <w:jc w:val="center"/>
      </w:pPr>
      <w:r>
        <w:rPr>
          <w:rFonts w:ascii="Cambria Math" w:hAnsi="Cambria Math"/>
          <w:i/>
          <w:sz w:val="22"/>
        </w:rPr>
        <w:t>d_i=d_{raw,i}f_i.</w:t>
      </w:r>
    </w:p>
    <w:p>
      <w:r>
        <w:t>Code locations:</w:t>
      </w:r>
    </w:p>
    <w:p>
      <w:pPr>
        <w:pStyle w:val="ListBullet"/>
      </w:pPr>
      <w:r>
        <w:t>AdaBinsDepth, lines 1169–1205.</w:t>
      </w:r>
    </w:p>
    <w:p>
      <w:pPr>
        <w:pStyle w:val="ListBullet"/>
      </w:pPr>
      <w:r>
        <w:t>robust_instance_depth, lines 1208–1225.</w:t>
      </w:r>
    </w:p>
    <w:p>
      <w:pPr>
        <w:pStyle w:val="ListBullet"/>
      </w:pPr>
      <w:r>
        <w:t>apparent_scale_corrected_depths, lines 1235–1272.</w:t>
      </w:r>
    </w:p>
    <w:p>
      <w:r>
        <w:t>These values are suitable as a relative association cue. They must not be reported as verified metres without camera/depth calibration.</w:t>
      </w:r>
    </w:p>
    <w:p>
      <w:pPr>
        <w:pStyle w:val="Heading2"/>
      </w:pPr>
      <w:r>
        <w:t>9. Depth-aware ByteTrack-style association and counting</w:t>
      </w:r>
    </w:p>
    <w:p>
      <w:r>
        <w:t>The tracker first predicts each box using its smoothed centre velocity. Detections are divided into high-confidence (score ≥ 0.50) and low-confidence (0.10 ≤ score &lt; 0.50) sets, following the two-stage ByteTrack idea.</w:t>
      </w:r>
    </w:p>
    <w:p>
      <w:r>
        <w:t>For a valid IoU/depth-gated pair, the implemented cost is:</w:t>
      </w:r>
    </w:p>
    <w:p>
      <w:pPr>
        <w:spacing w:before="80" w:after="140"/>
        <w:jc w:val="center"/>
      </w:pPr>
      <w:r>
        <w:rPr>
          <w:rFonts w:ascii="Cambria Math" w:hAnsi="Cambria Math"/>
          <w:i/>
          <w:sz w:val="22"/>
        </w:rPr>
        <w:t>C=0.65(1-IoU)+0.20C_{depth}+0.15C_{motion}.</w:t>
      </w:r>
    </w:p>
    <w:p>
      <w:r>
        <w:t>The normalized depth difference is:</w:t>
      </w:r>
    </w:p>
    <w:p>
      <w:pPr>
        <w:spacing w:before="80" w:after="140"/>
        <w:jc w:val="center"/>
      </w:pPr>
      <w:r>
        <w:rPr>
          <w:rFonts w:ascii="Cambria Math" w:hAnsi="Cambria Math"/>
          <w:i/>
          <w:sz w:val="22"/>
        </w:rPr>
        <w:t>\delta_d=\frac{|d_t-d_j|}{\max(|d_t|,|d_j|,10^{-6})}.</w:t>
      </w:r>
    </w:p>
    <w:p>
      <w:r>
        <w:t>Associations with δd &gt; 0.40 are rejected; otherwise C_depth=δd/0.40. Hungarian assignment chooses the minimum-cost pairs. Confirmed tracks require at least three hits and may remain unmatched for up to 30 frames.</w:t>
      </w:r>
    </w:p>
    <w:p>
      <w:r>
        <w:t>For duplicate-safe counting, the side of line endpoints a,b for centre p is the 2-D cross product:</w:t>
      </w:r>
    </w:p>
    <w:p>
      <w:pPr>
        <w:spacing w:before="80" w:after="140"/>
        <w:jc w:val="center"/>
      </w:pPr>
      <w:r>
        <w:rPr>
          <w:rFonts w:ascii="Cambria Math" w:hAnsi="Cambria Math"/>
          <w:i/>
          <w:sz w:val="22"/>
        </w:rPr>
        <w:t>side(p)=(b_x-a_x)(p_y-a_y)-(b_y-a_y)(p_x-a_x).</w:t>
      </w:r>
    </w:p>
    <w:p>
      <w:r>
        <w:t>A confirmed track is counted once when consecutive side values change sign.</w:t>
      </w:r>
    </w:p>
    <w:p>
      <w:r>
        <w:t>Code locations:</w:t>
      </w:r>
    </w:p>
    <w:p>
      <w:pPr>
        <w:pStyle w:val="ListBullet"/>
      </w:pPr>
      <w:r>
        <w:t>Detection/track state, lines 1229–1306.</w:t>
      </w:r>
    </w:p>
    <w:p>
      <w:pPr>
        <w:pStyle w:val="ListBullet"/>
      </w:pPr>
      <w:r>
        <w:t>DepthAwareByteTracker, lines 1309–1371.</w:t>
      </w:r>
    </w:p>
    <w:p>
      <w:pPr>
        <w:pStyle w:val="ListBullet"/>
      </w:pPr>
      <w:r>
        <w:t>UniqueLineCounter, lines 1374–1397.</w:t>
      </w:r>
    </w:p>
    <w:p>
      <w:pPr>
        <w:pStyle w:val="ListBullet"/>
      </w:pPr>
      <w:r>
        <w:t>End-to-end inference, lines 1400–1462.</w:t>
      </w:r>
    </w:p>
    <w:p>
      <w:pPr>
        <w:pStyle w:val="Heading2"/>
      </w:pPr>
      <w:r>
        <w:t>10. Completed training configuration</w:t>
      </w:r>
    </w:p>
    <w:p>
      <w:r>
        <w:t>The configuration must be reported from the checkpoint/logs, not copied from another paper:</w:t>
      </w:r>
    </w:p>
    <w:tbl>
      <w:tblPr>
        <w:tblStyle w:val="TableGrid"/>
        <w:tblW w:type="auto" w:w="0"/>
        <w:tblLayout w:type="autofit"/>
        <w:tblLook w:firstColumn="1" w:firstRow="1" w:lastColumn="0" w:lastRow="0" w:noHBand="0" w:noVBand="1" w:val="04A0"/>
      </w:tblPr>
      <w:tblGrid>
        <w:gridCol w:w="5040"/>
        <w:gridCol w:w="5040"/>
      </w:tblGrid>
      <w:tr>
        <w:tc>
          <w:tcPr>
            <w:tcW w:type="dxa" w:w="5040"/>
            <w:vAlign w:val="center"/>
            <w:shd w:fill="176B62"/>
          </w:tcPr>
          <w:p>
            <w:pPr>
              <w:spacing w:after="0"/>
            </w:pPr>
            <w:r>
              <w:rPr>
                <w:rFonts w:ascii="Arial" w:hAnsi="Arial"/>
                <w:b/>
                <w:color w:val="FFFFFF"/>
                <w:sz w:val="17"/>
              </w:rPr>
              <w:t>Setting</w:t>
            </w:r>
          </w:p>
        </w:tc>
        <w:tc>
          <w:tcPr>
            <w:tcW w:type="dxa" w:w="5040"/>
            <w:vAlign w:val="center"/>
            <w:shd w:fill="176B62"/>
          </w:tcPr>
          <w:p>
            <w:pPr>
              <w:spacing w:after="0"/>
            </w:pPr>
            <w:r>
              <w:rPr>
                <w:rFonts w:ascii="Arial" w:hAnsi="Arial"/>
                <w:b/>
                <w:color w:val="FFFFFF"/>
                <w:sz w:val="17"/>
              </w:rPr>
              <w:t>Completed project value</w:t>
            </w:r>
          </w:p>
        </w:tc>
      </w:tr>
      <w:tr>
        <w:tc>
          <w:tcPr>
            <w:tcW w:type="dxa" w:w="5040"/>
            <w:vAlign w:val="center"/>
          </w:tcPr>
          <w:p>
            <w:pPr>
              <w:spacing w:after="0"/>
            </w:pPr>
            <w:r>
              <w:rPr>
                <w:rFonts w:ascii="Arial" w:hAnsi="Arial"/>
                <w:sz w:val="17"/>
              </w:rPr>
              <w:t>Base detector</w:t>
            </w:r>
          </w:p>
        </w:tc>
        <w:tc>
          <w:tcPr>
            <w:tcW w:type="dxa" w:w="5040"/>
            <w:vAlign w:val="center"/>
          </w:tcPr>
          <w:p>
            <w:pPr>
              <w:spacing w:after="0"/>
            </w:pPr>
            <w:r>
              <w:rPr>
                <w:rFonts w:ascii="Arial" w:hAnsi="Arial"/>
                <w:sz w:val="17"/>
              </w:rPr>
              <w:t>COCO-pretrained YOLOv8s</w:t>
            </w:r>
          </w:p>
        </w:tc>
      </w:tr>
      <w:tr>
        <w:tc>
          <w:tcPr>
            <w:tcW w:type="dxa" w:w="5040"/>
            <w:vAlign w:val="center"/>
            <w:shd w:fill="EAF4F2"/>
          </w:tcPr>
          <w:p>
            <w:pPr>
              <w:spacing w:after="0"/>
            </w:pPr>
            <w:r>
              <w:rPr>
                <w:rFonts w:ascii="Arial" w:hAnsi="Arial"/>
                <w:sz w:val="17"/>
              </w:rPr>
              <w:t>Target class</w:t>
            </w:r>
          </w:p>
        </w:tc>
        <w:tc>
          <w:tcPr>
            <w:tcW w:type="dxa" w:w="5040"/>
            <w:vAlign w:val="center"/>
            <w:shd w:fill="EAF4F2"/>
          </w:tcPr>
          <w:p>
            <w:pPr>
              <w:spacing w:after="0"/>
            </w:pPr>
            <w:r>
              <w:rPr>
                <w:rFonts w:ascii="Arial" w:hAnsi="Arial"/>
                <w:sz w:val="17"/>
              </w:rPr>
              <w:t>green_apple</w:t>
            </w:r>
          </w:p>
        </w:tc>
      </w:tr>
      <w:tr>
        <w:tc>
          <w:tcPr>
            <w:tcW w:type="dxa" w:w="5040"/>
            <w:vAlign w:val="center"/>
          </w:tcPr>
          <w:p>
            <w:pPr>
              <w:spacing w:after="0"/>
            </w:pPr>
            <w:r>
              <w:rPr>
                <w:rFonts w:ascii="Arial" w:hAnsi="Arial"/>
                <w:sz w:val="17"/>
              </w:rPr>
              <w:t>Epochs</w:t>
            </w:r>
          </w:p>
        </w:tc>
        <w:tc>
          <w:tcPr>
            <w:tcW w:type="dxa" w:w="5040"/>
            <w:vAlign w:val="center"/>
          </w:tcPr>
          <w:p>
            <w:pPr>
              <w:spacing w:after="0"/>
            </w:pPr>
            <w:r>
              <w:rPr>
                <w:rFonts w:ascii="Arial" w:hAnsi="Arial"/>
                <w:sz w:val="17"/>
              </w:rPr>
              <w:t>300</w:t>
            </w:r>
          </w:p>
        </w:tc>
      </w:tr>
      <w:tr>
        <w:tc>
          <w:tcPr>
            <w:tcW w:type="dxa" w:w="5040"/>
            <w:vAlign w:val="center"/>
            <w:shd w:fill="EAF4F2"/>
          </w:tcPr>
          <w:p>
            <w:pPr>
              <w:spacing w:after="0"/>
            </w:pPr>
            <w:r>
              <w:rPr>
                <w:rFonts w:ascii="Arial" w:hAnsi="Arial"/>
                <w:sz w:val="17"/>
              </w:rPr>
              <w:t>Input tensor size</w:t>
            </w:r>
          </w:p>
        </w:tc>
        <w:tc>
          <w:tcPr>
            <w:tcW w:type="dxa" w:w="5040"/>
            <w:vAlign w:val="center"/>
            <w:shd w:fill="EAF4F2"/>
          </w:tcPr>
          <w:p>
            <w:pPr>
              <w:spacing w:after="0"/>
            </w:pPr>
            <w:r>
              <w:rPr>
                <w:rFonts w:ascii="Arial" w:hAnsi="Arial"/>
                <w:sz w:val="17"/>
              </w:rPr>
              <w:t>640×640</w:t>
            </w:r>
          </w:p>
        </w:tc>
      </w:tr>
      <w:tr>
        <w:tc>
          <w:tcPr>
            <w:tcW w:type="dxa" w:w="5040"/>
            <w:vAlign w:val="center"/>
          </w:tcPr>
          <w:p>
            <w:pPr>
              <w:spacing w:after="0"/>
            </w:pPr>
            <w:r>
              <w:rPr>
                <w:rFonts w:ascii="Arial" w:hAnsi="Arial"/>
                <w:sz w:val="17"/>
              </w:rPr>
              <w:t>Batch size</w:t>
            </w:r>
          </w:p>
        </w:tc>
        <w:tc>
          <w:tcPr>
            <w:tcW w:type="dxa" w:w="5040"/>
            <w:vAlign w:val="center"/>
          </w:tcPr>
          <w:p>
            <w:pPr>
              <w:spacing w:after="0"/>
            </w:pPr>
            <w:r>
              <w:rPr>
                <w:rFonts w:ascii="Arial" w:hAnsi="Arial"/>
                <w:sz w:val="17"/>
              </w:rPr>
              <w:t>1</w:t>
            </w:r>
          </w:p>
        </w:tc>
      </w:tr>
      <w:tr>
        <w:tc>
          <w:tcPr>
            <w:tcW w:type="dxa" w:w="5040"/>
            <w:vAlign w:val="center"/>
            <w:shd w:fill="EAF4F2"/>
          </w:tcPr>
          <w:p>
            <w:pPr>
              <w:spacing w:after="0"/>
            </w:pPr>
            <w:r>
              <w:rPr>
                <w:rFonts w:ascii="Arial" w:hAnsi="Arial"/>
                <w:sz w:val="17"/>
              </w:rPr>
              <w:t>Workers</w:t>
            </w:r>
          </w:p>
        </w:tc>
        <w:tc>
          <w:tcPr>
            <w:tcW w:type="dxa" w:w="5040"/>
            <w:vAlign w:val="center"/>
            <w:shd w:fill="EAF4F2"/>
          </w:tcPr>
          <w:p>
            <w:pPr>
              <w:spacing w:after="0"/>
            </w:pPr>
            <w:r>
              <w:rPr>
                <w:rFonts w:ascii="Arial" w:hAnsi="Arial"/>
                <w:sz w:val="17"/>
              </w:rPr>
              <w:t>4</w:t>
            </w:r>
          </w:p>
        </w:tc>
      </w:tr>
      <w:tr>
        <w:tc>
          <w:tcPr>
            <w:tcW w:type="dxa" w:w="5040"/>
            <w:vAlign w:val="center"/>
          </w:tcPr>
          <w:p>
            <w:pPr>
              <w:spacing w:after="0"/>
            </w:pPr>
            <w:r>
              <w:rPr>
                <w:rFonts w:ascii="Arial" w:hAnsi="Arial"/>
                <w:sz w:val="17"/>
              </w:rPr>
              <w:t>Optimizer</w:t>
            </w:r>
          </w:p>
        </w:tc>
        <w:tc>
          <w:tcPr>
            <w:tcW w:type="dxa" w:w="5040"/>
            <w:vAlign w:val="center"/>
          </w:tcPr>
          <w:p>
            <w:pPr>
              <w:spacing w:after="0"/>
            </w:pPr>
            <w:r>
              <w:rPr>
                <w:rFonts w:ascii="Arial" w:hAnsi="Arial"/>
                <w:sz w:val="17"/>
              </w:rPr>
              <w:t>auto, resolved in the run log to MuSGD</w:t>
            </w:r>
          </w:p>
        </w:tc>
      </w:tr>
      <w:tr>
        <w:tc>
          <w:tcPr>
            <w:tcW w:type="dxa" w:w="5040"/>
            <w:vAlign w:val="center"/>
            <w:shd w:fill="EAF4F2"/>
          </w:tcPr>
          <w:p>
            <w:pPr>
              <w:spacing w:after="0"/>
            </w:pPr>
            <w:r>
              <w:rPr>
                <w:rFonts w:ascii="Arial" w:hAnsi="Arial"/>
                <w:sz w:val="17"/>
              </w:rPr>
              <w:t>Initial optimizer learning rate</w:t>
            </w:r>
          </w:p>
        </w:tc>
        <w:tc>
          <w:tcPr>
            <w:tcW w:type="dxa" w:w="5040"/>
            <w:vAlign w:val="center"/>
            <w:shd w:fill="EAF4F2"/>
          </w:tcPr>
          <w:p>
            <w:pPr>
              <w:spacing w:after="0"/>
            </w:pPr>
            <w:r>
              <w:rPr>
                <w:rFonts w:ascii="Arial" w:hAnsi="Arial"/>
                <w:sz w:val="17"/>
              </w:rPr>
              <w:t>0.01</w:t>
            </w:r>
          </w:p>
        </w:tc>
      </w:tr>
      <w:tr>
        <w:tc>
          <w:tcPr>
            <w:tcW w:type="dxa" w:w="5040"/>
            <w:vAlign w:val="center"/>
          </w:tcPr>
          <w:p>
            <w:pPr>
              <w:spacing w:after="0"/>
            </w:pPr>
            <w:r>
              <w:rPr>
                <w:rFonts w:ascii="Arial" w:hAnsi="Arial"/>
                <w:sz w:val="17"/>
              </w:rPr>
              <w:t>Momentum</w:t>
            </w:r>
          </w:p>
        </w:tc>
        <w:tc>
          <w:tcPr>
            <w:tcW w:type="dxa" w:w="5040"/>
            <w:vAlign w:val="center"/>
          </w:tcPr>
          <w:p>
            <w:pPr>
              <w:spacing w:after="0"/>
            </w:pPr>
            <w:r>
              <w:rPr>
                <w:rFonts w:ascii="Arial" w:hAnsi="Arial"/>
                <w:sz w:val="17"/>
              </w:rPr>
              <w:t>0.9</w:t>
            </w:r>
          </w:p>
        </w:tc>
      </w:tr>
      <w:tr>
        <w:tc>
          <w:tcPr>
            <w:tcW w:type="dxa" w:w="5040"/>
            <w:vAlign w:val="center"/>
            <w:shd w:fill="EAF4F2"/>
          </w:tcPr>
          <w:p>
            <w:pPr>
              <w:spacing w:after="0"/>
            </w:pPr>
            <w:r>
              <w:rPr>
                <w:rFonts w:ascii="Arial" w:hAnsi="Arial"/>
                <w:sz w:val="17"/>
              </w:rPr>
              <w:t>Weight decay</w:t>
            </w:r>
          </w:p>
        </w:tc>
        <w:tc>
          <w:tcPr>
            <w:tcW w:type="dxa" w:w="5040"/>
            <w:vAlign w:val="center"/>
            <w:shd w:fill="EAF4F2"/>
          </w:tcPr>
          <w:p>
            <w:pPr>
              <w:spacing w:after="0"/>
            </w:pPr>
            <w:r>
              <w:rPr>
                <w:rFonts w:ascii="Arial" w:hAnsi="Arial"/>
                <w:sz w:val="17"/>
              </w:rPr>
              <w:t>0.0005</w:t>
            </w:r>
          </w:p>
        </w:tc>
      </w:tr>
      <w:tr>
        <w:tc>
          <w:tcPr>
            <w:tcW w:type="dxa" w:w="5040"/>
            <w:vAlign w:val="center"/>
          </w:tcPr>
          <w:p>
            <w:pPr>
              <w:spacing w:after="0"/>
            </w:pPr>
            <w:r>
              <w:rPr>
                <w:rFonts w:ascii="Arial" w:hAnsi="Arial"/>
                <w:sz w:val="17"/>
              </w:rPr>
              <w:t>Training seed</w:t>
            </w:r>
          </w:p>
        </w:tc>
        <w:tc>
          <w:tcPr>
            <w:tcW w:type="dxa" w:w="5040"/>
            <w:vAlign w:val="center"/>
          </w:tcPr>
          <w:p>
            <w:pPr>
              <w:spacing w:after="0"/>
            </w:pPr>
            <w:r>
              <w:rPr>
                <w:rFonts w:ascii="Arial" w:hAnsi="Arial"/>
                <w:sz w:val="17"/>
              </w:rPr>
              <w:t>0</w:t>
            </w:r>
          </w:p>
        </w:tc>
      </w:tr>
      <w:tr>
        <w:tc>
          <w:tcPr>
            <w:tcW w:type="dxa" w:w="5040"/>
            <w:vAlign w:val="center"/>
            <w:shd w:fill="EAF4F2"/>
          </w:tcPr>
          <w:p>
            <w:pPr>
              <w:spacing w:after="0"/>
            </w:pPr>
            <w:r>
              <w:rPr>
                <w:rFonts w:ascii="Arial" w:hAnsi="Arial"/>
                <w:sz w:val="17"/>
              </w:rPr>
              <w:t>Deterministic mode</w:t>
            </w:r>
          </w:p>
        </w:tc>
        <w:tc>
          <w:tcPr>
            <w:tcW w:type="dxa" w:w="5040"/>
            <w:vAlign w:val="center"/>
            <w:shd w:fill="EAF4F2"/>
          </w:tcPr>
          <w:p>
            <w:pPr>
              <w:spacing w:after="0"/>
            </w:pPr>
            <w:r>
              <w:rPr>
                <w:rFonts w:ascii="Arial" w:hAnsi="Arial"/>
                <w:sz w:val="17"/>
              </w:rPr>
              <w:t>true</w:t>
            </w:r>
          </w:p>
        </w:tc>
      </w:tr>
      <w:tr>
        <w:tc>
          <w:tcPr>
            <w:tcW w:type="dxa" w:w="5040"/>
            <w:vAlign w:val="center"/>
          </w:tcPr>
          <w:p>
            <w:pPr>
              <w:spacing w:after="0"/>
            </w:pPr>
            <w:r>
              <w:rPr>
                <w:rFonts w:ascii="Arial" w:hAnsi="Arial"/>
                <w:sz w:val="17"/>
              </w:rPr>
              <w:t>AMP</w:t>
            </w:r>
          </w:p>
        </w:tc>
        <w:tc>
          <w:tcPr>
            <w:tcW w:type="dxa" w:w="5040"/>
            <w:vAlign w:val="center"/>
          </w:tcPr>
          <w:p>
            <w:pPr>
              <w:spacing w:after="0"/>
            </w:pPr>
            <w:r>
              <w:rPr>
                <w:rFonts w:ascii="Arial" w:hAnsi="Arial"/>
                <w:sz w:val="17"/>
              </w:rPr>
              <w:t>enabled</w:t>
            </w:r>
          </w:p>
        </w:tc>
      </w:tr>
      <w:tr>
        <w:tc>
          <w:tcPr>
            <w:tcW w:type="dxa" w:w="5040"/>
            <w:vAlign w:val="center"/>
            <w:shd w:fill="EAF4F2"/>
          </w:tcPr>
          <w:p>
            <w:pPr>
              <w:spacing w:after="0"/>
            </w:pPr>
            <w:r>
              <w:rPr>
                <w:rFonts w:ascii="Arial" w:hAnsi="Arial"/>
                <w:sz w:val="17"/>
              </w:rPr>
              <w:t>Early stopping</w:t>
            </w:r>
          </w:p>
        </w:tc>
        <w:tc>
          <w:tcPr>
            <w:tcW w:type="dxa" w:w="5040"/>
            <w:vAlign w:val="center"/>
            <w:shd w:fill="EAF4F2"/>
          </w:tcPr>
          <w:p>
            <w:pPr>
              <w:spacing w:after="0"/>
            </w:pPr>
            <w:r>
              <w:rPr>
                <w:rFonts w:ascii="Arial" w:hAnsi="Arial"/>
                <w:sz w:val="17"/>
              </w:rPr>
              <w:t>disabled (patience=0)</w:t>
            </w:r>
          </w:p>
        </w:tc>
      </w:tr>
      <w:tr>
        <w:tc>
          <w:tcPr>
            <w:tcW w:type="dxa" w:w="5040"/>
            <w:vAlign w:val="center"/>
          </w:tcPr>
          <w:p>
            <w:pPr>
              <w:spacing w:after="0"/>
            </w:pPr>
            <w:r>
              <w:rPr>
                <w:rFonts w:ascii="Arial" w:hAnsi="Arial"/>
                <w:sz w:val="17"/>
              </w:rPr>
              <w:t>Hardware</w:t>
            </w:r>
          </w:p>
        </w:tc>
        <w:tc>
          <w:tcPr>
            <w:tcW w:type="dxa" w:w="5040"/>
            <w:vAlign w:val="center"/>
          </w:tcPr>
          <w:p>
            <w:pPr>
              <w:spacing w:after="0"/>
            </w:pPr>
            <w:r>
              <w:rPr>
                <w:rFonts w:ascii="Arial" w:hAnsi="Arial"/>
                <w:sz w:val="17"/>
              </w:rPr>
              <w:t>NVIDIA GeForce RTX 3050 Ti Laptop GPU, 4 GB</w:t>
            </w:r>
          </w:p>
        </w:tc>
      </w:tr>
    </w:tbl>
    <w:p>
      <w:pPr>
        <w:spacing w:after="40"/>
      </w:pPr>
    </w:p>
    <w:p>
      <w:r>
        <w:t>The best-checkpoint validation values are precision 0.80431, recall 0.71415, F1 0.75649, mAP@0.50 0.80977, and mAP@0.50:0.95 0.58741. These are provisional because validation uses pseudo-labels rather than independent human ground truth.</w:t>
      </w:r>
    </w:p>
    <w:p>
      <w:pPr>
        <w:pStyle w:val="Heading2"/>
      </w:pPr>
      <w:r>
        <w:t>11. File and line-number index</w:t>
      </w:r>
    </w:p>
    <w:p>
      <w:r>
        <w:t>All line numbers below refer to Codeing/aam_ebca_fm_kwconv_main.py.</w:t>
      </w:r>
    </w:p>
    <w:tbl>
      <w:tblPr>
        <w:tblStyle w:val="TableGrid"/>
        <w:tblW w:type="auto" w:w="0"/>
        <w:tblLayout w:type="autofit"/>
        <w:tblLook w:firstColumn="1" w:firstRow="1" w:lastColumn="0" w:lastRow="0" w:noHBand="0" w:noVBand="1" w:val="04A0"/>
      </w:tblPr>
      <w:tblGrid>
        <w:gridCol w:w="5040"/>
        <w:gridCol w:w="5040"/>
      </w:tblGrid>
      <w:tr>
        <w:tc>
          <w:tcPr>
            <w:tcW w:type="dxa" w:w="5040"/>
            <w:vAlign w:val="center"/>
            <w:shd w:fill="176B62"/>
          </w:tcPr>
          <w:p>
            <w:pPr>
              <w:spacing w:after="0"/>
            </w:pPr>
            <w:r>
              <w:rPr>
                <w:rFonts w:ascii="Arial" w:hAnsi="Arial"/>
                <w:b/>
                <w:color w:val="FFFFFF"/>
                <w:sz w:val="17"/>
              </w:rPr>
              <w:t>Component</w:t>
            </w:r>
          </w:p>
        </w:tc>
        <w:tc>
          <w:tcPr>
            <w:tcW w:type="dxa" w:w="5040"/>
            <w:vAlign w:val="center"/>
            <w:shd w:fill="176B62"/>
          </w:tcPr>
          <w:p>
            <w:pPr>
              <w:spacing w:after="0"/>
            </w:pPr>
            <w:r>
              <w:rPr>
                <w:rFonts w:ascii="Arial" w:hAnsi="Arial"/>
                <w:b/>
                <w:color w:val="FFFFFF"/>
                <w:sz w:val="17"/>
              </w:rPr>
              <w:t>Lines</w:t>
            </w:r>
          </w:p>
        </w:tc>
      </w:tr>
      <w:tr>
        <w:tc>
          <w:tcPr>
            <w:tcW w:type="dxa" w:w="5040"/>
            <w:vAlign w:val="center"/>
          </w:tcPr>
          <w:p>
            <w:pPr>
              <w:spacing w:after="0"/>
            </w:pPr>
            <w:r>
              <w:rPr>
                <w:rFonts w:ascii="Arial" w:hAnsi="Arial"/>
                <w:sz w:val="17"/>
              </w:rPr>
              <w:t>80-FPS extraction</w:t>
            </w:r>
          </w:p>
        </w:tc>
        <w:tc>
          <w:tcPr>
            <w:tcW w:type="dxa" w:w="5040"/>
            <w:vAlign w:val="center"/>
          </w:tcPr>
          <w:p>
            <w:pPr>
              <w:spacing w:after="0"/>
            </w:pPr>
            <w:r>
              <w:rPr>
                <w:rFonts w:ascii="Arial" w:hAnsi="Arial"/>
                <w:sz w:val="17"/>
              </w:rPr>
              <w:t>360–428</w:t>
            </w:r>
          </w:p>
        </w:tc>
      </w:tr>
      <w:tr>
        <w:tc>
          <w:tcPr>
            <w:tcW w:type="dxa" w:w="5040"/>
            <w:vAlign w:val="center"/>
            <w:shd w:fill="EAF4F2"/>
          </w:tcPr>
          <w:p>
            <w:pPr>
              <w:spacing w:after="0"/>
            </w:pPr>
            <w:r>
              <w:rPr>
                <w:rFonts w:ascii="Arial" w:hAnsi="Arial"/>
                <w:sz w:val="17"/>
              </w:rPr>
              <w:t>Uniform 800 selection</w:t>
            </w:r>
          </w:p>
        </w:tc>
        <w:tc>
          <w:tcPr>
            <w:tcW w:type="dxa" w:w="5040"/>
            <w:vAlign w:val="center"/>
            <w:shd w:fill="EAF4F2"/>
          </w:tcPr>
          <w:p>
            <w:pPr>
              <w:spacing w:after="0"/>
            </w:pPr>
            <w:r>
              <w:rPr>
                <w:rFonts w:ascii="Arial" w:hAnsi="Arial"/>
                <w:sz w:val="17"/>
              </w:rPr>
              <w:t>431–459</w:t>
            </w:r>
          </w:p>
        </w:tc>
      </w:tr>
      <w:tr>
        <w:tc>
          <w:tcPr>
            <w:tcW w:type="dxa" w:w="5040"/>
            <w:vAlign w:val="center"/>
          </w:tcPr>
          <w:p>
            <w:pPr>
              <w:spacing w:after="0"/>
            </w:pPr>
            <w:r>
              <w:rPr>
                <w:rFonts w:ascii="Arial" w:hAnsi="Arial"/>
                <w:sz w:val="17"/>
              </w:rPr>
              <w:t>Ten augmentation operations</w:t>
            </w:r>
          </w:p>
        </w:tc>
        <w:tc>
          <w:tcPr>
            <w:tcW w:type="dxa" w:w="5040"/>
            <w:vAlign w:val="center"/>
          </w:tcPr>
          <w:p>
            <w:pPr>
              <w:spacing w:after="0"/>
            </w:pPr>
            <w:r>
              <w:rPr>
                <w:rFonts w:ascii="Arial" w:hAnsi="Arial"/>
                <w:sz w:val="17"/>
              </w:rPr>
              <w:t>496–545</w:t>
            </w:r>
          </w:p>
        </w:tc>
      </w:tr>
      <w:tr>
        <w:tc>
          <w:tcPr>
            <w:tcW w:type="dxa" w:w="5040"/>
            <w:vAlign w:val="center"/>
            <w:shd w:fill="EAF4F2"/>
          </w:tcPr>
          <w:p>
            <w:pPr>
              <w:spacing w:after="0"/>
            </w:pPr>
            <w:r>
              <w:rPr>
                <w:rFonts w:ascii="Arial" w:hAnsi="Arial"/>
                <w:sz w:val="17"/>
              </w:rPr>
              <w:t>Leakage-safe grouped split</w:t>
            </w:r>
          </w:p>
        </w:tc>
        <w:tc>
          <w:tcPr>
            <w:tcW w:type="dxa" w:w="5040"/>
            <w:vAlign w:val="center"/>
            <w:shd w:fill="EAF4F2"/>
          </w:tcPr>
          <w:p>
            <w:pPr>
              <w:spacing w:after="0"/>
            </w:pPr>
            <w:r>
              <w:rPr>
                <w:rFonts w:ascii="Arial" w:hAnsi="Arial"/>
                <w:sz w:val="17"/>
              </w:rPr>
              <w:t>566–613</w:t>
            </w:r>
          </w:p>
        </w:tc>
      </w:tr>
      <w:tr>
        <w:tc>
          <w:tcPr>
            <w:tcW w:type="dxa" w:w="5040"/>
            <w:vAlign w:val="center"/>
          </w:tcPr>
          <w:p>
            <w:pPr>
              <w:spacing w:after="0"/>
            </w:pPr>
            <w:r>
              <w:rPr>
                <w:rFonts w:ascii="Arial" w:hAnsi="Arial"/>
                <w:sz w:val="17"/>
              </w:rPr>
              <w:t>Automatic YOLO apple labels</w:t>
            </w:r>
          </w:p>
        </w:tc>
        <w:tc>
          <w:tcPr>
            <w:tcW w:type="dxa" w:w="5040"/>
            <w:vAlign w:val="center"/>
          </w:tcPr>
          <w:p>
            <w:pPr>
              <w:spacing w:after="0"/>
            </w:pPr>
            <w:r>
              <w:rPr>
                <w:rFonts w:ascii="Arial" w:hAnsi="Arial"/>
                <w:sz w:val="17"/>
              </w:rPr>
              <w:t>728–801</w:t>
            </w:r>
          </w:p>
        </w:tc>
      </w:tr>
      <w:tr>
        <w:tc>
          <w:tcPr>
            <w:tcW w:type="dxa" w:w="5040"/>
            <w:vAlign w:val="center"/>
            <w:shd w:fill="EAF4F2"/>
          </w:tcPr>
          <w:p>
            <w:pPr>
              <w:spacing w:after="0"/>
            </w:pPr>
            <w:r>
              <w:rPr>
                <w:rFonts w:ascii="Arial" w:hAnsi="Arial"/>
                <w:sz w:val="17"/>
              </w:rPr>
              <w:t>Dataset audit</w:t>
            </w:r>
          </w:p>
        </w:tc>
        <w:tc>
          <w:tcPr>
            <w:tcW w:type="dxa" w:w="5040"/>
            <w:vAlign w:val="center"/>
            <w:shd w:fill="EAF4F2"/>
          </w:tcPr>
          <w:p>
            <w:pPr>
              <w:spacing w:after="0"/>
            </w:pPr>
            <w:r>
              <w:rPr>
                <w:rFonts w:ascii="Arial" w:hAnsi="Arial"/>
                <w:sz w:val="17"/>
              </w:rPr>
              <w:t>804–827</w:t>
            </w:r>
          </w:p>
        </w:tc>
      </w:tr>
      <w:tr>
        <w:tc>
          <w:tcPr>
            <w:tcW w:type="dxa" w:w="5040"/>
            <w:vAlign w:val="center"/>
          </w:tcPr>
          <w:p>
            <w:pPr>
              <w:spacing w:after="0"/>
            </w:pPr>
            <w:r>
              <w:rPr>
                <w:rFonts w:ascii="Arial" w:hAnsi="Arial"/>
                <w:sz w:val="17"/>
              </w:rPr>
              <w:t>AAM</w:t>
            </w:r>
          </w:p>
        </w:tc>
        <w:tc>
          <w:tcPr>
            <w:tcW w:type="dxa" w:w="5040"/>
            <w:vAlign w:val="center"/>
          </w:tcPr>
          <w:p>
            <w:pPr>
              <w:spacing w:after="0"/>
            </w:pPr>
            <w:r>
              <w:rPr>
                <w:rFonts w:ascii="Arial" w:hAnsi="Arial"/>
                <w:sz w:val="17"/>
              </w:rPr>
              <w:t>858–874</w:t>
            </w:r>
          </w:p>
        </w:tc>
      </w:tr>
      <w:tr>
        <w:tc>
          <w:tcPr>
            <w:tcW w:type="dxa" w:w="5040"/>
            <w:vAlign w:val="center"/>
            <w:shd w:fill="EAF4F2"/>
          </w:tcPr>
          <w:p>
            <w:pPr>
              <w:spacing w:after="0"/>
            </w:pPr>
            <w:r>
              <w:rPr>
                <w:rFonts w:ascii="Arial" w:hAnsi="Arial"/>
                <w:sz w:val="17"/>
              </w:rPr>
              <w:t>EBCA</w:t>
            </w:r>
          </w:p>
        </w:tc>
        <w:tc>
          <w:tcPr>
            <w:tcW w:type="dxa" w:w="5040"/>
            <w:vAlign w:val="center"/>
            <w:shd w:fill="EAF4F2"/>
          </w:tcPr>
          <w:p>
            <w:pPr>
              <w:spacing w:after="0"/>
            </w:pPr>
            <w:r>
              <w:rPr>
                <w:rFonts w:ascii="Arial" w:hAnsi="Arial"/>
                <w:sz w:val="17"/>
              </w:rPr>
              <w:t>877–896</w:t>
            </w:r>
          </w:p>
        </w:tc>
      </w:tr>
      <w:tr>
        <w:tc>
          <w:tcPr>
            <w:tcW w:type="dxa" w:w="5040"/>
            <w:vAlign w:val="center"/>
          </w:tcPr>
          <w:p>
            <w:pPr>
              <w:spacing w:after="0"/>
            </w:pPr>
            <w:r>
              <w:rPr>
                <w:rFonts w:ascii="Arial" w:hAnsi="Arial"/>
                <w:sz w:val="17"/>
              </w:rPr>
              <w:t>FM</w:t>
            </w:r>
          </w:p>
        </w:tc>
        <w:tc>
          <w:tcPr>
            <w:tcW w:type="dxa" w:w="5040"/>
            <w:vAlign w:val="center"/>
          </w:tcPr>
          <w:p>
            <w:pPr>
              <w:spacing w:after="0"/>
            </w:pPr>
            <w:r>
              <w:rPr>
                <w:rFonts w:ascii="Arial" w:hAnsi="Arial"/>
                <w:sz w:val="17"/>
              </w:rPr>
              <w:t>899–919</w:t>
            </w:r>
          </w:p>
        </w:tc>
      </w:tr>
      <w:tr>
        <w:tc>
          <w:tcPr>
            <w:tcW w:type="dxa" w:w="5040"/>
            <w:vAlign w:val="center"/>
            <w:shd w:fill="EAF4F2"/>
          </w:tcPr>
          <w:p>
            <w:pPr>
              <w:spacing w:after="0"/>
            </w:pPr>
            <w:r>
              <w:rPr>
                <w:rFonts w:ascii="Arial" w:hAnsi="Arial"/>
                <w:sz w:val="17"/>
              </w:rPr>
              <w:t>KWConv</w:t>
            </w:r>
          </w:p>
        </w:tc>
        <w:tc>
          <w:tcPr>
            <w:tcW w:type="dxa" w:w="5040"/>
            <w:vAlign w:val="center"/>
            <w:shd w:fill="EAF4F2"/>
          </w:tcPr>
          <w:p>
            <w:pPr>
              <w:spacing w:after="0"/>
            </w:pPr>
            <w:r>
              <w:rPr>
                <w:rFonts w:ascii="Arial" w:hAnsi="Arial"/>
                <w:sz w:val="17"/>
              </w:rPr>
              <w:t>922–935</w:t>
            </w:r>
          </w:p>
        </w:tc>
      </w:tr>
      <w:tr>
        <w:tc>
          <w:tcPr>
            <w:tcW w:type="dxa" w:w="5040"/>
            <w:vAlign w:val="center"/>
          </w:tcPr>
          <w:p>
            <w:pPr>
              <w:spacing w:after="0"/>
            </w:pPr>
            <w:r>
              <w:rPr>
                <w:rFonts w:ascii="Arial" w:hAnsi="Arial"/>
                <w:sz w:val="17"/>
              </w:rPr>
              <w:t>AAM → EBCA → FM → KWConv connection</w:t>
            </w:r>
          </w:p>
        </w:tc>
        <w:tc>
          <w:tcPr>
            <w:tcW w:type="dxa" w:w="5040"/>
            <w:vAlign w:val="center"/>
          </w:tcPr>
          <w:p>
            <w:pPr>
              <w:spacing w:after="0"/>
            </w:pPr>
            <w:r>
              <w:rPr>
                <w:rFonts w:ascii="Arial" w:hAnsi="Arial"/>
                <w:sz w:val="17"/>
              </w:rPr>
              <w:t>938–952</w:t>
            </w:r>
          </w:p>
        </w:tc>
      </w:tr>
      <w:tr>
        <w:tc>
          <w:tcPr>
            <w:tcW w:type="dxa" w:w="5040"/>
            <w:vAlign w:val="center"/>
            <w:shd w:fill="EAF4F2"/>
          </w:tcPr>
          <w:p>
            <w:pPr>
              <w:spacing w:after="0"/>
            </w:pPr>
            <w:r>
              <w:rPr>
                <w:rFonts w:ascii="Arial" w:hAnsi="Arial"/>
                <w:sz w:val="17"/>
              </w:rPr>
              <w:t>Detect-head wrapper</w:t>
            </w:r>
          </w:p>
        </w:tc>
        <w:tc>
          <w:tcPr>
            <w:tcW w:type="dxa" w:w="5040"/>
            <w:vAlign w:val="center"/>
            <w:shd w:fill="EAF4F2"/>
          </w:tcPr>
          <w:p>
            <w:pPr>
              <w:spacing w:after="0"/>
            </w:pPr>
            <w:r>
              <w:rPr>
                <w:rFonts w:ascii="Arial" w:hAnsi="Arial"/>
                <w:sz w:val="17"/>
              </w:rPr>
              <w:t>955–999</w:t>
            </w:r>
          </w:p>
        </w:tc>
      </w:tr>
      <w:tr>
        <w:tc>
          <w:tcPr>
            <w:tcW w:type="dxa" w:w="5040"/>
            <w:vAlign w:val="center"/>
          </w:tcPr>
          <w:p>
            <w:pPr>
              <w:spacing w:after="0"/>
            </w:pPr>
            <w:r>
              <w:rPr>
                <w:rFonts w:ascii="Arial" w:hAnsi="Arial"/>
                <w:sz w:val="17"/>
              </w:rPr>
              <w:t>YOLO head insertion</w:t>
            </w:r>
          </w:p>
        </w:tc>
        <w:tc>
          <w:tcPr>
            <w:tcW w:type="dxa" w:w="5040"/>
            <w:vAlign w:val="center"/>
          </w:tcPr>
          <w:p>
            <w:pPr>
              <w:spacing w:after="0"/>
            </w:pPr>
            <w:r>
              <w:rPr>
                <w:rFonts w:ascii="Arial" w:hAnsi="Arial"/>
                <w:sz w:val="17"/>
              </w:rPr>
              <w:t>1039–1058</w:t>
            </w:r>
          </w:p>
        </w:tc>
      </w:tr>
      <w:tr>
        <w:tc>
          <w:tcPr>
            <w:tcW w:type="dxa" w:w="5040"/>
            <w:vAlign w:val="center"/>
            <w:shd w:fill="EAF4F2"/>
          </w:tcPr>
          <w:p>
            <w:pPr>
              <w:spacing w:after="0"/>
            </w:pPr>
            <w:r>
              <w:rPr>
                <w:rFonts w:ascii="Arial" w:hAnsi="Arial"/>
                <w:sz w:val="17"/>
              </w:rPr>
              <w:t>Training function and custom trainer</w:t>
            </w:r>
          </w:p>
        </w:tc>
        <w:tc>
          <w:tcPr>
            <w:tcW w:type="dxa" w:w="5040"/>
            <w:vAlign w:val="center"/>
            <w:shd w:fill="EAF4F2"/>
          </w:tcPr>
          <w:p>
            <w:pPr>
              <w:spacing w:after="0"/>
            </w:pPr>
            <w:r>
              <w:rPr>
                <w:rFonts w:ascii="Arial" w:hAnsi="Arial"/>
                <w:sz w:val="17"/>
              </w:rPr>
              <w:t>1071–1125</w:t>
            </w:r>
          </w:p>
        </w:tc>
      </w:tr>
      <w:tr>
        <w:tc>
          <w:tcPr>
            <w:tcW w:type="dxa" w:w="5040"/>
            <w:vAlign w:val="center"/>
          </w:tcPr>
          <w:p>
            <w:pPr>
              <w:spacing w:after="0"/>
            </w:pPr>
            <w:r>
              <w:rPr>
                <w:rFonts w:ascii="Arial" w:hAnsi="Arial"/>
                <w:sz w:val="17"/>
              </w:rPr>
              <w:t>AdaBins adapter</w:t>
            </w:r>
          </w:p>
        </w:tc>
        <w:tc>
          <w:tcPr>
            <w:tcW w:type="dxa" w:w="5040"/>
            <w:vAlign w:val="center"/>
          </w:tcPr>
          <w:p>
            <w:pPr>
              <w:spacing w:after="0"/>
            </w:pPr>
            <w:r>
              <w:rPr>
                <w:rFonts w:ascii="Arial" w:hAnsi="Arial"/>
                <w:sz w:val="17"/>
              </w:rPr>
              <w:t>1169–1205</w:t>
            </w:r>
          </w:p>
        </w:tc>
      </w:tr>
      <w:tr>
        <w:tc>
          <w:tcPr>
            <w:tcW w:type="dxa" w:w="5040"/>
            <w:vAlign w:val="center"/>
            <w:shd w:fill="EAF4F2"/>
          </w:tcPr>
          <w:p>
            <w:pPr>
              <w:spacing w:after="0"/>
            </w:pPr>
            <w:r>
              <w:rPr>
                <w:rFonts w:ascii="Arial" w:hAnsi="Arial"/>
                <w:sz w:val="17"/>
              </w:rPr>
              <w:t>Robust instance depth</w:t>
            </w:r>
          </w:p>
        </w:tc>
        <w:tc>
          <w:tcPr>
            <w:tcW w:type="dxa" w:w="5040"/>
            <w:vAlign w:val="center"/>
            <w:shd w:fill="EAF4F2"/>
          </w:tcPr>
          <w:p>
            <w:pPr>
              <w:spacing w:after="0"/>
            </w:pPr>
            <w:r>
              <w:rPr>
                <w:rFonts w:ascii="Arial" w:hAnsi="Arial"/>
                <w:sz w:val="17"/>
              </w:rPr>
              <w:t>1208–1225</w:t>
            </w:r>
          </w:p>
        </w:tc>
      </w:tr>
      <w:tr>
        <w:tc>
          <w:tcPr>
            <w:tcW w:type="dxa" w:w="5040"/>
            <w:vAlign w:val="center"/>
          </w:tcPr>
          <w:p>
            <w:pPr>
              <w:spacing w:after="0"/>
            </w:pPr>
            <w:r>
              <w:rPr>
                <w:rFonts w:ascii="Arial" w:hAnsi="Arial"/>
                <w:sz w:val="17"/>
              </w:rPr>
              <w:t>Apparent-scale depth correction</w:t>
            </w:r>
          </w:p>
        </w:tc>
        <w:tc>
          <w:tcPr>
            <w:tcW w:type="dxa" w:w="5040"/>
            <w:vAlign w:val="center"/>
          </w:tcPr>
          <w:p>
            <w:pPr>
              <w:spacing w:after="0"/>
            </w:pPr>
            <w:r>
              <w:rPr>
                <w:rFonts w:ascii="Arial" w:hAnsi="Arial"/>
                <w:sz w:val="17"/>
              </w:rPr>
              <w:t>1235–1272</w:t>
            </w:r>
          </w:p>
        </w:tc>
      </w:tr>
      <w:tr>
        <w:tc>
          <w:tcPr>
            <w:tcW w:type="dxa" w:w="5040"/>
            <w:vAlign w:val="center"/>
            <w:shd w:fill="EAF4F2"/>
          </w:tcPr>
          <w:p>
            <w:pPr>
              <w:spacing w:after="0"/>
            </w:pPr>
            <w:r>
              <w:rPr>
                <w:rFonts w:ascii="Arial" w:hAnsi="Arial"/>
                <w:sz w:val="17"/>
              </w:rPr>
              <w:t>Track state</w:t>
            </w:r>
          </w:p>
        </w:tc>
        <w:tc>
          <w:tcPr>
            <w:tcW w:type="dxa" w:w="5040"/>
            <w:vAlign w:val="center"/>
            <w:shd w:fill="EAF4F2"/>
          </w:tcPr>
          <w:p>
            <w:pPr>
              <w:spacing w:after="0"/>
            </w:pPr>
            <w:r>
              <w:rPr>
                <w:rFonts w:ascii="Arial" w:hAnsi="Arial"/>
                <w:sz w:val="17"/>
              </w:rPr>
              <w:t>1276–1306</w:t>
            </w:r>
          </w:p>
        </w:tc>
      </w:tr>
      <w:tr>
        <w:tc>
          <w:tcPr>
            <w:tcW w:type="dxa" w:w="5040"/>
            <w:vAlign w:val="center"/>
          </w:tcPr>
          <w:p>
            <w:pPr>
              <w:spacing w:after="0"/>
            </w:pPr>
            <w:r>
              <w:rPr>
                <w:rFonts w:ascii="Arial" w:hAnsi="Arial"/>
                <w:sz w:val="17"/>
              </w:rPr>
              <w:t>Depth-aware ByteTrack</w:t>
            </w:r>
          </w:p>
        </w:tc>
        <w:tc>
          <w:tcPr>
            <w:tcW w:type="dxa" w:w="5040"/>
            <w:vAlign w:val="center"/>
          </w:tcPr>
          <w:p>
            <w:pPr>
              <w:spacing w:after="0"/>
            </w:pPr>
            <w:r>
              <w:rPr>
                <w:rFonts w:ascii="Arial" w:hAnsi="Arial"/>
                <w:sz w:val="17"/>
              </w:rPr>
              <w:t>1309–1371</w:t>
            </w:r>
          </w:p>
        </w:tc>
      </w:tr>
      <w:tr>
        <w:tc>
          <w:tcPr>
            <w:tcW w:type="dxa" w:w="5040"/>
            <w:vAlign w:val="center"/>
            <w:shd w:fill="EAF4F2"/>
          </w:tcPr>
          <w:p>
            <w:pPr>
              <w:spacing w:after="0"/>
            </w:pPr>
            <w:r>
              <w:rPr>
                <w:rFonts w:ascii="Arial" w:hAnsi="Arial"/>
                <w:sz w:val="17"/>
              </w:rPr>
              <w:t>Unique line counter</w:t>
            </w:r>
          </w:p>
        </w:tc>
        <w:tc>
          <w:tcPr>
            <w:tcW w:type="dxa" w:w="5040"/>
            <w:vAlign w:val="center"/>
            <w:shd w:fill="EAF4F2"/>
          </w:tcPr>
          <w:p>
            <w:pPr>
              <w:spacing w:after="0"/>
            </w:pPr>
            <w:r>
              <w:rPr>
                <w:rFonts w:ascii="Arial" w:hAnsi="Arial"/>
                <w:sz w:val="17"/>
              </w:rPr>
              <w:t>1374–1397</w:t>
            </w:r>
          </w:p>
        </w:tc>
      </w:tr>
      <w:tr>
        <w:tc>
          <w:tcPr>
            <w:tcW w:type="dxa" w:w="5040"/>
            <w:vAlign w:val="center"/>
          </w:tcPr>
          <w:p>
            <w:pPr>
              <w:spacing w:after="0"/>
            </w:pPr>
            <w:r>
              <w:rPr>
                <w:rFonts w:ascii="Arial" w:hAnsi="Arial"/>
                <w:sz w:val="17"/>
              </w:rPr>
              <w:t>Detection/depth/tracking pipeline</w:t>
            </w:r>
          </w:p>
        </w:tc>
        <w:tc>
          <w:tcPr>
            <w:tcW w:type="dxa" w:w="5040"/>
            <w:vAlign w:val="center"/>
          </w:tcPr>
          <w:p>
            <w:pPr>
              <w:spacing w:after="0"/>
            </w:pPr>
            <w:r>
              <w:rPr>
                <w:rFonts w:ascii="Arial" w:hAnsi="Arial"/>
                <w:sz w:val="17"/>
              </w:rPr>
              <w:t>1400–1462</w:t>
            </w:r>
          </w:p>
        </w:tc>
      </w:tr>
    </w:tbl>
    <w:p>
      <w:pPr>
        <w:spacing w:after="40"/>
      </w:pPr>
    </w:p>
    <w:p>
      <w:pPr>
        <w:pStyle w:val="Heading2"/>
      </w:pPr>
      <w:r>
        <w:t>12. Audit outcome and completed code updates</w:t>
      </w:r>
    </w:p>
    <w:p>
      <w:pPr>
        <w:pStyle w:val="ListBullet"/>
      </w:pPr>
      <w:r>
        <w:t>Added the requested executable main Python source exported from the complete research notebook.</w:t>
      </w:r>
    </w:p>
    <w:p>
      <w:pPr>
        <w:pStyle w:val="ListBullet"/>
      </w:pPr>
      <w:r>
        <w:t>Added the exact 928×512 AdaBins input path used by the final results.</w:t>
      </w:r>
    </w:p>
    <w:p>
      <w:pPr>
        <w:pStyle w:val="ListBullet"/>
      </w:pPr>
      <w:r>
        <w:t>Added the exact apparent-scale correction used by the published depth CSV, verified against the saved result values.</w:t>
      </w:r>
    </w:p>
    <w:p>
      <w:pPr>
        <w:pStyle w:val="ListBullet"/>
      </w:pPr>
      <w:r>
        <w:t>Preserved the trained AAM–EBCA–FM–KWConv architecture and checkpoint compatibility.</w:t>
      </w:r>
    </w:p>
    <w:p>
      <w:pPr>
        <w:pStyle w:val="ListBullet"/>
      </w:pPr>
      <w:r>
        <w:t>Documented where the PPT is conceptual and where the trained computation differs.</w:t>
      </w:r>
    </w:p>
    <w:p>
      <w:pPr>
        <w:pStyle w:val="ListBullet"/>
      </w:pPr>
      <w:r>
        <w:t>Did not claim eight-head attention, positional encoding, or an EBCA-internal CSP block because those operations are not present in the trained checkpoint.</w:t>
      </w:r>
    </w:p>
    <w:p>
      <w:pPr>
        <w:pStyle w:val="ListBullet"/>
      </w:pPr>
      <w:r>
        <w:t>Did not convert relative AdaBins values into claimed physical metres.</w:t>
      </w:r>
    </w:p>
    <w:p>
      <w:r>
        <w:t>Changing EBCA to the full dense multi-head PPT architecture would constitute a new model and would require retraining and revalidation; it is not a documentation-only correction.</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A646E"/>
        <w:sz w:val="16"/>
      </w:rPr>
      <w:t>AAM–EBCA–FM–KWConv |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176B62"/>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22577A"/>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2F485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20"/>
      <w:ind w:left="360" w:right="360"/>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AAM–EBCA–FM–KWConv Green-Apple Detection System</dc:title>
  <dc:subject>Formula, architecture, code connection, training, depth, and tracking documentation</dc:subject>
  <dc:creator>Project technical documentation</dc:creator>
  <cp:keywords>YOLOv8, AAM, EBCA, focal modulation, KWConv, AdaBins, ByteTrack, green apple</cp:keywords>
  <dc:description>generated by python-docx</dc:description>
  <cp:lastModifiedBy/>
  <cp:revision>1</cp:revision>
  <dcterms:created xsi:type="dcterms:W3CDTF">2013-12-23T23:15:00Z</dcterms:created>
  <dcterms:modified xsi:type="dcterms:W3CDTF">2013-12-23T23:15:00Z</dcterms:modified>
  <cp:category/>
</cp:coreProperties>
</file>