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431" w:type="dxa"/>
        <w:tblLook w:val="04A0" w:firstRow="1" w:lastRow="0" w:firstColumn="1" w:lastColumn="0" w:noHBand="0" w:noVBand="1"/>
      </w:tblPr>
      <w:tblGrid>
        <w:gridCol w:w="1660"/>
        <w:gridCol w:w="7320"/>
      </w:tblGrid>
      <w:tr w:rsidR="00E230C7" w:rsidRPr="00E25D88" w14:paraId="517ADB3D" w14:textId="77777777" w:rsidTr="00E25D88">
        <w:tc>
          <w:tcPr>
            <w:tcW w:w="1265" w:type="dxa"/>
            <w:vAlign w:val="center"/>
          </w:tcPr>
          <w:p w14:paraId="4102FFF4" w14:textId="6285374F" w:rsidR="00CC37BE" w:rsidRPr="00E25D88" w:rsidRDefault="00CC37BE" w:rsidP="00B9039A">
            <w:pPr>
              <w:spacing w:before="100" w:after="100"/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bookmarkStart w:id="0" w:name="_GoBack"/>
            <w:bookmarkEnd w:id="0"/>
            <w:r w:rsidRPr="00E25D88">
              <w:rPr>
                <w:b/>
                <w:bCs/>
                <w:sz w:val="22"/>
                <w:szCs w:val="22"/>
              </w:rPr>
              <w:t>Citation Key from Mendeley</w:t>
            </w:r>
          </w:p>
        </w:tc>
        <w:tc>
          <w:tcPr>
            <w:tcW w:w="7320" w:type="dxa"/>
            <w:vAlign w:val="center"/>
          </w:tcPr>
          <w:p w14:paraId="2B21F9DA" w14:textId="63E6875A" w:rsidR="00CC37BE" w:rsidRPr="00E25D88" w:rsidRDefault="00CC37BE" w:rsidP="00CC37BE">
            <w:pPr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 w:rsidRPr="00E25D88">
              <w:rPr>
                <w:b/>
                <w:bCs/>
                <w:sz w:val="22"/>
                <w:szCs w:val="22"/>
              </w:rPr>
              <w:t>Findings</w:t>
            </w:r>
          </w:p>
        </w:tc>
      </w:tr>
      <w:tr w:rsidR="00E230C7" w:rsidRPr="00E25D88" w14:paraId="3B41496B" w14:textId="77777777" w:rsidTr="00E25D88">
        <w:tc>
          <w:tcPr>
            <w:tcW w:w="1265" w:type="dxa"/>
            <w:vAlign w:val="center"/>
          </w:tcPr>
          <w:p w14:paraId="2A534F63" w14:textId="02A04DD8" w:rsidR="00CC37BE" w:rsidRPr="00E25D88" w:rsidRDefault="00E25D88" w:rsidP="00E25D88">
            <w:pPr>
              <w:ind w:left="0" w:firstLine="0"/>
              <w:jc w:val="center"/>
              <w:rPr>
                <w:sz w:val="22"/>
                <w:szCs w:val="22"/>
              </w:rPr>
            </w:pPr>
            <w:r w:rsidRPr="00E25D88">
              <w:rPr>
                <w:sz w:val="22"/>
                <w:szCs w:val="22"/>
              </w:rPr>
              <w:t>Klippstein1978</w:t>
            </w:r>
          </w:p>
        </w:tc>
        <w:tc>
          <w:tcPr>
            <w:tcW w:w="7320" w:type="dxa"/>
          </w:tcPr>
          <w:p w14:paraId="7B0DEF5D" w14:textId="77777777" w:rsidR="00CC37BE" w:rsidRPr="00E25D88" w:rsidRDefault="00E25D88" w:rsidP="00E25D8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E25D88">
              <w:rPr>
                <w:sz w:val="22"/>
                <w:szCs w:val="22"/>
              </w:rPr>
              <w:t>First documented to do fire test</w:t>
            </w:r>
          </w:p>
          <w:p w14:paraId="10C570B6" w14:textId="4BD31F8B" w:rsidR="00E25D88" w:rsidRDefault="00E25D88" w:rsidP="00E25D8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Tested under ASTM E119</w:t>
            </w:r>
            <w:r w:rsidR="00E2766B">
              <w:rPr>
                <w:sz w:val="22"/>
                <w:szCs w:val="22"/>
              </w:rPr>
              <w:t xml:space="preserve"> - Underwriters lab</w:t>
            </w:r>
            <w:r>
              <w:rPr>
                <w:sz w:val="22"/>
                <w:szCs w:val="22"/>
              </w:rPr>
              <w:t>.</w:t>
            </w:r>
          </w:p>
          <w:p w14:paraId="1BFEB989" w14:textId="7D6DF993" w:rsidR="00E25D88" w:rsidRDefault="00830616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Seven wall panel tests validated (previously conducted)</w:t>
            </w:r>
          </w:p>
          <w:p w14:paraId="53B67822" w14:textId="77777777" w:rsidR="00830616" w:rsidRDefault="00334335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Model to predict the behaviour </w:t>
            </w:r>
          </w:p>
          <w:p w14:paraId="3E6616A0" w14:textId="77777777" w:rsidR="00334335" w:rsidRDefault="00334335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Strength reduction factor Q</w:t>
            </w:r>
          </w:p>
          <w:p w14:paraId="5E1A5784" w14:textId="77777777" w:rsidR="00334335" w:rsidRDefault="00334335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Mechanical properties</w:t>
            </w:r>
          </w:p>
          <w:p w14:paraId="63F5D6AC" w14:textId="77777777" w:rsidR="00334335" w:rsidRDefault="00334335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AISI -7 fire </w:t>
            </w:r>
            <w:proofErr w:type="gramStart"/>
            <w:r>
              <w:rPr>
                <w:sz w:val="22"/>
                <w:szCs w:val="22"/>
              </w:rPr>
              <w:t>tests ,</w:t>
            </w:r>
            <w:proofErr w:type="gramEnd"/>
            <w:r>
              <w:rPr>
                <w:sz w:val="22"/>
                <w:szCs w:val="22"/>
              </w:rPr>
              <w:t xml:space="preserve"> US steel 3 fire tests</w:t>
            </w:r>
          </w:p>
          <w:p w14:paraId="7722E98B" w14:textId="77777777" w:rsidR="00334335" w:rsidRDefault="00334335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Average stud temperatures were needed and determined</w:t>
            </w:r>
          </w:p>
          <w:p w14:paraId="07536D12" w14:textId="77777777" w:rsidR="00334335" w:rsidRDefault="00334335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Analytical method to predict the time/steel behaviour during fire tests.</w:t>
            </w:r>
          </w:p>
          <w:p w14:paraId="270EA21A" w14:textId="77777777" w:rsidR="00334335" w:rsidRDefault="00334335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3.05 m x 3.05 m panel size</w:t>
            </w:r>
          </w:p>
          <w:p w14:paraId="354A1FDB" w14:textId="77777777" w:rsidR="00334335" w:rsidRDefault="00334335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 loads designed to act laterally were excluded.</w:t>
            </w:r>
          </w:p>
          <w:p w14:paraId="092CDA48" w14:textId="77777777" w:rsidR="00334335" w:rsidRDefault="00334335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 deviation with 8 thermocouple locations</w:t>
            </w:r>
          </w:p>
          <w:p w14:paraId="41C83663" w14:textId="77777777" w:rsidR="00334335" w:rsidRDefault="00334335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Inside flange HF, Outside flange CF</w:t>
            </w:r>
          </w:p>
          <w:p w14:paraId="2D350000" w14:textId="77777777" w:rsidR="00334335" w:rsidRDefault="00334335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Plasterboard cracks and the studs near to the crack loses temperature rapidly while others retain the temperature.</w:t>
            </w:r>
          </w:p>
          <w:p w14:paraId="6409DC27" w14:textId="77777777" w:rsidR="00334335" w:rsidRPr="00945526" w:rsidRDefault="00334335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45526">
              <w:rPr>
                <w:color w:val="FF0000"/>
                <w:sz w:val="22"/>
                <w:szCs w:val="22"/>
              </w:rPr>
              <w:t>ASTM E119 read the manual</w:t>
            </w:r>
          </w:p>
          <w:p w14:paraId="31D5AF68" w14:textId="77777777" w:rsidR="00945526" w:rsidRDefault="00945526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45526">
              <w:rPr>
                <w:sz w:val="22"/>
                <w:szCs w:val="22"/>
              </w:rPr>
              <w:t>Plasterboard loses ability to provide lateral restraints</w:t>
            </w:r>
            <w:r>
              <w:rPr>
                <w:sz w:val="22"/>
                <w:szCs w:val="22"/>
              </w:rPr>
              <w:t>.</w:t>
            </w:r>
          </w:p>
          <w:p w14:paraId="67B93CA3" w14:textId="77777777" w:rsidR="00945526" w:rsidRDefault="00945526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Effective restraint unknown</w:t>
            </w:r>
          </w:p>
          <w:p w14:paraId="162D5572" w14:textId="77777777" w:rsidR="00945526" w:rsidRDefault="00945526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Although one stud fails the others can carry load for some time. This may imply in my tests as well</w:t>
            </w:r>
          </w:p>
          <w:p w14:paraId="3983EC4E" w14:textId="77777777" w:rsidR="00945526" w:rsidRDefault="00945526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Assumption - Failure of studs by weak axis only.</w:t>
            </w:r>
          </w:p>
          <w:p w14:paraId="5F23A51A" w14:textId="77777777" w:rsidR="00945526" w:rsidRDefault="00945526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Concept of load ration F</w:t>
            </w:r>
            <w:r w:rsidRPr="00945526">
              <w:rPr>
                <w:sz w:val="22"/>
                <w:szCs w:val="22"/>
                <w:vertAlign w:val="subscript"/>
              </w:rPr>
              <w:t>T</w:t>
            </w:r>
            <w:r>
              <w:rPr>
                <w:sz w:val="22"/>
                <w:szCs w:val="22"/>
              </w:rPr>
              <w:t xml:space="preserve">/F is used </w:t>
            </w:r>
          </w:p>
          <w:p w14:paraId="2380DB3C" w14:textId="77777777" w:rsidR="008E40D3" w:rsidRDefault="008E40D3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 = </w:t>
            </w:r>
            <w:r w:rsidR="00D165D1">
              <w:rPr>
                <w:sz w:val="22"/>
                <w:szCs w:val="22"/>
              </w:rPr>
              <w:t xml:space="preserve">23/12 </w:t>
            </w:r>
            <w:proofErr w:type="spellStart"/>
            <w:r w:rsidR="00D165D1">
              <w:rPr>
                <w:sz w:val="22"/>
                <w:szCs w:val="22"/>
              </w:rPr>
              <w:t>FalA</w:t>
            </w:r>
            <w:proofErr w:type="spellEnd"/>
            <w:r w:rsidR="00D165D1">
              <w:rPr>
                <w:sz w:val="22"/>
                <w:szCs w:val="22"/>
              </w:rPr>
              <w:t xml:space="preserve"> allowable stresses in the studs. 23/12 is the safety factor in allowable stress method.</w:t>
            </w:r>
          </w:p>
          <w:p w14:paraId="7F532B2C" w14:textId="77777777" w:rsidR="00874FDB" w:rsidRDefault="00874FDB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Inelastic buckling critical for stud heights upto 4-4.5 m while elastic buckling governs beyond</w:t>
            </w:r>
            <w:r w:rsidR="002856DB">
              <w:rPr>
                <w:sz w:val="22"/>
                <w:szCs w:val="22"/>
              </w:rPr>
              <w:t xml:space="preserve">. </w:t>
            </w:r>
            <w:r w:rsidR="00954B60">
              <w:rPr>
                <w:sz w:val="22"/>
                <w:szCs w:val="22"/>
              </w:rPr>
              <w:t>Equation for inelastic buckling only was developed/proposed</w:t>
            </w:r>
            <w:r>
              <w:rPr>
                <w:sz w:val="22"/>
                <w:szCs w:val="22"/>
              </w:rPr>
              <w:t xml:space="preserve"> </w:t>
            </w:r>
          </w:p>
          <w:p w14:paraId="4BD3CA16" w14:textId="77777777" w:rsidR="00D36C19" w:rsidRDefault="00D36C19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36C19">
              <w:rPr>
                <w:noProof/>
                <w:sz w:val="22"/>
                <w:szCs w:val="22"/>
              </w:rPr>
              <w:drawing>
                <wp:inline distT="0" distB="0" distL="0" distR="0" wp14:anchorId="7A6D6F86" wp14:editId="00714AD5">
                  <wp:extent cx="2040338" cy="4435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079" cy="47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53E15" w14:textId="77777777" w:rsidR="00D36C19" w:rsidRDefault="00D36C19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Failure load at room temperature</w:t>
            </w:r>
          </w:p>
          <w:p w14:paraId="6E8F9976" w14:textId="77777777" w:rsidR="00D36C19" w:rsidRDefault="00D36C19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36C19">
              <w:rPr>
                <w:noProof/>
                <w:sz w:val="22"/>
                <w:szCs w:val="22"/>
              </w:rPr>
              <w:drawing>
                <wp:inline distT="0" distB="0" distL="0" distR="0" wp14:anchorId="76442F51" wp14:editId="0CA0CDF6">
                  <wp:extent cx="1862920" cy="543109"/>
                  <wp:effectExtent l="0" t="0" r="444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718" cy="557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0E0A4" w14:textId="77777777" w:rsidR="00D36C19" w:rsidRDefault="00D36C19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Studs deflect laterally causing bending stresses and have to be accounted for in FT calculation.</w:t>
            </w:r>
          </w:p>
          <w:p w14:paraId="658BEEBF" w14:textId="77777777" w:rsidR="00A63929" w:rsidRDefault="00A63929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Section 3.7 in ASTM was used (</w:t>
            </w:r>
            <w:r w:rsidRPr="00A63929">
              <w:rPr>
                <w:color w:val="FF0000"/>
                <w:sz w:val="22"/>
                <w:szCs w:val="22"/>
              </w:rPr>
              <w:t>find the standards</w:t>
            </w:r>
            <w:r>
              <w:rPr>
                <w:sz w:val="22"/>
                <w:szCs w:val="22"/>
              </w:rPr>
              <w:t>)</w:t>
            </w:r>
          </w:p>
          <w:p w14:paraId="728A4982" w14:textId="77777777" w:rsidR="00A63929" w:rsidRDefault="00A63929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Allowable stresses </w:t>
            </w:r>
            <w:r w:rsidR="007234B9">
              <w:rPr>
                <w:sz w:val="22"/>
                <w:szCs w:val="22"/>
              </w:rPr>
              <w:t>for axial load at failure temperatures</w:t>
            </w:r>
          </w:p>
          <w:p w14:paraId="274954FE" w14:textId="77777777" w:rsidR="007234B9" w:rsidRDefault="007234B9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234B9">
              <w:rPr>
                <w:noProof/>
                <w:sz w:val="22"/>
                <w:szCs w:val="22"/>
              </w:rPr>
              <w:drawing>
                <wp:inline distT="0" distB="0" distL="0" distR="0" wp14:anchorId="417AC420" wp14:editId="2CC9638B">
                  <wp:extent cx="2920621" cy="604267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354" cy="617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C8324" w14:textId="77777777" w:rsidR="007234B9" w:rsidRDefault="002A09B8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Proposed LR</w:t>
            </w:r>
          </w:p>
          <w:p w14:paraId="5D89A872" w14:textId="77777777" w:rsidR="002A09B8" w:rsidRDefault="002A09B8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A09B8">
              <w:rPr>
                <w:noProof/>
                <w:sz w:val="22"/>
                <w:szCs w:val="22"/>
              </w:rPr>
              <w:drawing>
                <wp:inline distT="0" distB="0" distL="0" distR="0" wp14:anchorId="4A02FC8F" wp14:editId="6F3BD330">
                  <wp:extent cx="1815153" cy="61758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780" cy="63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63D85" w14:textId="77777777" w:rsidR="002A09B8" w:rsidRDefault="00E37087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Material property tests were done separately to find the variables for the equations.</w:t>
            </w:r>
          </w:p>
          <w:p w14:paraId="197F7B45" w14:textId="77777777" w:rsidR="00E37087" w:rsidRDefault="00E37087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Elastic modulus decreased rapidly for </w:t>
            </w:r>
            <w:r w:rsidR="00772B4D">
              <w:rPr>
                <w:sz w:val="22"/>
                <w:szCs w:val="22"/>
              </w:rPr>
              <w:t>sheet</w:t>
            </w:r>
            <w:r>
              <w:rPr>
                <w:sz w:val="22"/>
                <w:szCs w:val="22"/>
              </w:rPr>
              <w:t xml:space="preserve"> steels than </w:t>
            </w:r>
            <w:r w:rsidR="00772B4D">
              <w:rPr>
                <w:sz w:val="22"/>
                <w:szCs w:val="22"/>
              </w:rPr>
              <w:t>plate</w:t>
            </w:r>
            <w:r>
              <w:rPr>
                <w:sz w:val="22"/>
                <w:szCs w:val="22"/>
              </w:rPr>
              <w:t xml:space="preserve"> steels</w:t>
            </w:r>
            <w:r w:rsidR="00C34C81">
              <w:rPr>
                <w:sz w:val="22"/>
                <w:szCs w:val="22"/>
              </w:rPr>
              <w:t>.</w:t>
            </w:r>
          </w:p>
          <w:p w14:paraId="5BB69210" w14:textId="77777777" w:rsidR="00C34C81" w:rsidRDefault="00C34C81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Stub columns tests were conducted to determine Q</w:t>
            </w:r>
            <w:r w:rsidR="005E1EE0">
              <w:rPr>
                <w:sz w:val="22"/>
                <w:szCs w:val="22"/>
              </w:rPr>
              <w:t>t - strength reduction factors at ambient and elevated temperatures</w:t>
            </w:r>
            <w:r w:rsidR="000A059A">
              <w:rPr>
                <w:sz w:val="22"/>
                <w:szCs w:val="22"/>
              </w:rPr>
              <w:t>.</w:t>
            </w:r>
          </w:p>
          <w:p w14:paraId="4F78335C" w14:textId="77777777" w:rsidR="000A059A" w:rsidRDefault="000A059A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 predictions were conservative in comparison to experiments</w:t>
            </w:r>
          </w:p>
          <w:p w14:paraId="5DD408A8" w14:textId="77777777" w:rsidR="00D94175" w:rsidRDefault="00D94175" w:rsidP="00D9417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Pb 12.7 and 15.9 thick. Studs 600mm apart</w:t>
            </w:r>
          </w:p>
          <w:p w14:paraId="73D16955" w14:textId="77777777" w:rsidR="00E2766B" w:rsidRDefault="00D94175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Hinge conditions were assumed for the tests. Specially made</w:t>
            </w:r>
          </w:p>
          <w:p w14:paraId="35C6D871" w14:textId="1496DD57" w:rsidR="00901120" w:rsidRDefault="00901120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Limitations of the equations- heavily dependent on the empirical </w:t>
            </w:r>
            <w:r w:rsidR="00F71B85">
              <w:rPr>
                <w:sz w:val="22"/>
                <w:szCs w:val="22"/>
              </w:rPr>
              <w:t>determination</w:t>
            </w:r>
            <w:r>
              <w:rPr>
                <w:sz w:val="22"/>
                <w:szCs w:val="22"/>
              </w:rPr>
              <w:t xml:space="preserve"> of the </w:t>
            </w:r>
            <w:r w:rsidR="00F71B85">
              <w:rPr>
                <w:sz w:val="22"/>
                <w:szCs w:val="22"/>
              </w:rPr>
              <w:t xml:space="preserve">variation in </w:t>
            </w:r>
            <w:r>
              <w:rPr>
                <w:sz w:val="22"/>
                <w:szCs w:val="22"/>
              </w:rPr>
              <w:t>stud temperatures</w:t>
            </w:r>
          </w:p>
          <w:p w14:paraId="1F322166" w14:textId="77777777" w:rsidR="00901120" w:rsidRDefault="00C64147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 applies only to uninsulated walls and gypsum pb assemblies. Not sure about other configurations</w:t>
            </w:r>
          </w:p>
          <w:p w14:paraId="23181403" w14:textId="77777777" w:rsidR="00C80890" w:rsidRDefault="00C80890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Uncertainties in the assumed linear </w:t>
            </w:r>
            <w:r w:rsidR="000B6CCC">
              <w:rPr>
                <w:sz w:val="22"/>
                <w:szCs w:val="22"/>
              </w:rPr>
              <w:t>relationship of deflection vs time</w:t>
            </w:r>
            <w:r w:rsidR="00D7023B">
              <w:rPr>
                <w:sz w:val="22"/>
                <w:szCs w:val="22"/>
              </w:rPr>
              <w:t>.</w:t>
            </w:r>
          </w:p>
          <w:p w14:paraId="7D13D867" w14:textId="77777777" w:rsidR="00D7023B" w:rsidRDefault="00D7023B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Usage of average stud temperatures in lower LRs is questionable.</w:t>
            </w:r>
          </w:p>
          <w:p w14:paraId="49C1704B" w14:textId="77777777" w:rsidR="009A694C" w:rsidRDefault="00EF53C2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the data measurements were </w:t>
            </w:r>
            <w:proofErr w:type="gramStart"/>
            <w:r>
              <w:rPr>
                <w:sz w:val="22"/>
                <w:szCs w:val="22"/>
              </w:rPr>
              <w:t>manual</w:t>
            </w:r>
            <w:proofErr w:type="gramEnd"/>
            <w:r>
              <w:rPr>
                <w:sz w:val="22"/>
                <w:szCs w:val="22"/>
              </w:rPr>
              <w:t xml:space="preserve"> and no auto data logging was used.</w:t>
            </w:r>
            <w:r w:rsidR="00B37212">
              <w:rPr>
                <w:sz w:val="22"/>
                <w:szCs w:val="22"/>
              </w:rPr>
              <w:t xml:space="preserve"> </w:t>
            </w:r>
            <w:proofErr w:type="gramStart"/>
            <w:r w:rsidR="00B37212">
              <w:rPr>
                <w:sz w:val="22"/>
                <w:szCs w:val="22"/>
              </w:rPr>
              <w:t>So</w:t>
            </w:r>
            <w:proofErr w:type="gramEnd"/>
            <w:r w:rsidR="00B37212">
              <w:rPr>
                <w:sz w:val="22"/>
                <w:szCs w:val="22"/>
              </w:rPr>
              <w:t xml:space="preserve"> room for human error prevails</w:t>
            </w:r>
            <w:r w:rsidR="00963EC2">
              <w:rPr>
                <w:sz w:val="22"/>
                <w:szCs w:val="22"/>
              </w:rPr>
              <w:t>.</w:t>
            </w:r>
          </w:p>
          <w:p w14:paraId="591950E5" w14:textId="2DB18D98" w:rsidR="00963EC2" w:rsidRPr="00E25D88" w:rsidRDefault="00963EC2" w:rsidP="0083061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equations</w:t>
            </w:r>
            <w:r w:rsidR="00030306">
              <w:rPr>
                <w:sz w:val="22"/>
                <w:szCs w:val="22"/>
              </w:rPr>
              <w:t xml:space="preserve"> can’t</w:t>
            </w:r>
            <w:r>
              <w:rPr>
                <w:sz w:val="22"/>
                <w:szCs w:val="22"/>
              </w:rPr>
              <w:t xml:space="preserve"> predict c sections with different buckling modes but for local. No lateral-torsional effects.</w:t>
            </w:r>
          </w:p>
        </w:tc>
      </w:tr>
      <w:tr w:rsidR="00E230C7" w:rsidRPr="00E25D88" w14:paraId="0ADBE702" w14:textId="77777777" w:rsidTr="00E25D88">
        <w:tc>
          <w:tcPr>
            <w:tcW w:w="1265" w:type="dxa"/>
            <w:vAlign w:val="center"/>
          </w:tcPr>
          <w:p w14:paraId="5FBE3DCB" w14:textId="66A17953" w:rsidR="001F1B70" w:rsidRPr="00E25D88" w:rsidRDefault="001F1B70" w:rsidP="00E25D88">
            <w:pPr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Mehaffey1994</w:t>
            </w:r>
          </w:p>
        </w:tc>
        <w:tc>
          <w:tcPr>
            <w:tcW w:w="7320" w:type="dxa"/>
          </w:tcPr>
          <w:p w14:paraId="20AA0E4D" w14:textId="77777777" w:rsidR="001F1B70" w:rsidRDefault="00277F93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model for predicting heat transfer through gypsum plasterboard assemblies.</w:t>
            </w:r>
            <w:r w:rsidR="00AA4931">
              <w:rPr>
                <w:sz w:val="22"/>
                <w:szCs w:val="22"/>
              </w:rPr>
              <w:t xml:space="preserve"> But with wooden studs.</w:t>
            </w:r>
          </w:p>
          <w:p w14:paraId="69568ED7" w14:textId="33C5001F" w:rsidR="00AA4931" w:rsidRDefault="004C3D9A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2D mathematical model was created.</w:t>
            </w:r>
          </w:p>
          <w:p w14:paraId="405DAD90" w14:textId="36B00AD7" w:rsidR="004C3D9A" w:rsidRDefault="004C3D9A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the </w:t>
            </w:r>
            <w:r w:rsidR="00030306">
              <w:rPr>
                <w:sz w:val="22"/>
                <w:szCs w:val="22"/>
              </w:rPr>
              <w:t>thermophysical properties of gypsum pb was determined.</w:t>
            </w:r>
          </w:p>
          <w:p w14:paraId="1A9C9A06" w14:textId="3DCDB37D" w:rsidR="00690530" w:rsidRDefault="00690530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X and C pb were used. 12.</w:t>
            </w:r>
            <w:r w:rsidR="00043C69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(C) and 15.9 (X) mm thick</w:t>
            </w:r>
          </w:p>
          <w:p w14:paraId="3CA9ACA1" w14:textId="77777777" w:rsidR="00030306" w:rsidRDefault="00690530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Chemically bound water significantly influences the fire performance. Water evaporates as steam during fire test.</w:t>
            </w:r>
          </w:p>
          <w:p w14:paraId="409B1BE6" w14:textId="77777777" w:rsidR="00A47438" w:rsidRDefault="00A47438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Heat transfer through gypsum is significantly retarded till Pb calcinates.</w:t>
            </w:r>
          </w:p>
          <w:p w14:paraId="376012AF" w14:textId="77777777" w:rsidR="00A47438" w:rsidRDefault="00043C69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12.7 has 732 kg/m3 while 15.9 648 kg/m3 - mass density.</w:t>
            </w:r>
          </w:p>
          <w:p w14:paraId="08D1F408" w14:textId="1FCC720A" w:rsidR="00043C69" w:rsidRDefault="00043C69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TGA analysis was carried out.</w:t>
            </w:r>
            <w:r w:rsidR="005B52C3">
              <w:rPr>
                <w:sz w:val="22"/>
                <w:szCs w:val="22"/>
              </w:rPr>
              <w:t xml:space="preserve"> 20 degree/min scanning rate</w:t>
            </w:r>
          </w:p>
          <w:p w14:paraId="46178E95" w14:textId="77777777" w:rsidR="006E3C37" w:rsidRDefault="006E3C37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17.5% mass loss at 100 and 160</w:t>
            </w:r>
            <w:r w:rsidR="00B9039A">
              <w:rPr>
                <w:sz w:val="22"/>
                <w:szCs w:val="22"/>
              </w:rPr>
              <w:t xml:space="preserve"> degree.</w:t>
            </w:r>
            <w:r w:rsidR="00836E74">
              <w:rPr>
                <w:sz w:val="22"/>
                <w:szCs w:val="22"/>
              </w:rPr>
              <w:t xml:space="preserve"> </w:t>
            </w:r>
          </w:p>
          <w:p w14:paraId="45698FCC" w14:textId="77777777" w:rsidR="00836E74" w:rsidRDefault="00836E74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Scanning rate influences mass loss.</w:t>
            </w:r>
          </w:p>
          <w:p w14:paraId="024CB7E6" w14:textId="77777777" w:rsidR="00836E74" w:rsidRDefault="005B52C3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Specific heat calculated by DSC. </w:t>
            </w:r>
            <w:proofErr w:type="gramStart"/>
            <w:r>
              <w:rPr>
                <w:sz w:val="22"/>
                <w:szCs w:val="22"/>
              </w:rPr>
              <w:t>2 &amp; 20 degree</w:t>
            </w:r>
            <w:proofErr w:type="gramEnd"/>
            <w:r>
              <w:rPr>
                <w:sz w:val="22"/>
                <w:szCs w:val="22"/>
              </w:rPr>
              <w:t xml:space="preserve"> C / min was the rate.</w:t>
            </w:r>
          </w:p>
          <w:p w14:paraId="74380BCF" w14:textId="77777777" w:rsidR="005B52C3" w:rsidRPr="005B52C3" w:rsidRDefault="005B52C3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5B52C3">
              <w:rPr>
                <w:color w:val="FF0000"/>
                <w:sz w:val="22"/>
                <w:szCs w:val="22"/>
              </w:rPr>
              <w:t>Use the image from this paper</w:t>
            </w:r>
          </w:p>
          <w:p w14:paraId="7386D1AB" w14:textId="77777777" w:rsidR="005B52C3" w:rsidRDefault="00E81AA5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Core of gypsum pb should not contain less than 65% of gypsum.</w:t>
            </w:r>
          </w:p>
          <w:p w14:paraId="15D1A71F" w14:textId="0F101627" w:rsidR="007D20D8" w:rsidRDefault="007D20D8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Enthalpy of pb at apparent specific heat vs time was proposed.</w:t>
            </w:r>
          </w:p>
          <w:p w14:paraId="772E952E" w14:textId="76A18374" w:rsidR="00F510AE" w:rsidRDefault="00F510AE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F510AE">
              <w:rPr>
                <w:noProof/>
                <w:sz w:val="22"/>
                <w:szCs w:val="22"/>
              </w:rPr>
              <w:drawing>
                <wp:inline distT="0" distB="0" distL="0" distR="0" wp14:anchorId="2D3CE976" wp14:editId="253D503B">
                  <wp:extent cx="1740090" cy="491624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781" cy="50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862D2" w14:textId="77777777" w:rsidR="001D56D2" w:rsidRDefault="001D56D2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Dried sample will yield different results but for the undried ones as the temperature is delayed in undried samples, effect of convection from sample surface, amount of trapped vapour etc.</w:t>
            </w:r>
            <w:r w:rsidR="00EC6EE3">
              <w:rPr>
                <w:sz w:val="22"/>
                <w:szCs w:val="22"/>
              </w:rPr>
              <w:t xml:space="preserve"> But these effects were not considered in the study.</w:t>
            </w:r>
          </w:p>
          <w:p w14:paraId="57BC3FEE" w14:textId="77777777" w:rsidR="001E40E2" w:rsidRDefault="001E40E2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C experienced less shrinkage in comparison with type X</w:t>
            </w:r>
          </w:p>
          <w:p w14:paraId="1E118D89" w14:textId="2BF70637" w:rsidR="000E74E2" w:rsidRDefault="000E74E2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Plasterboard thickness varies with temperature due to paper layer burn and core thickness reduction due to calcination as vapor pores shrink at elevated </w:t>
            </w:r>
            <w:r w:rsidR="006C0BAA">
              <w:rPr>
                <w:sz w:val="22"/>
                <w:szCs w:val="22"/>
              </w:rPr>
              <w:t>temperatures</w:t>
            </w:r>
            <w:r>
              <w:rPr>
                <w:sz w:val="22"/>
                <w:szCs w:val="22"/>
              </w:rPr>
              <w:t>.</w:t>
            </w:r>
          </w:p>
          <w:p w14:paraId="4F8FE7DD" w14:textId="77777777" w:rsidR="006C0BAA" w:rsidRDefault="006C0BAA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Fissures and the effect of joint openings were not considered in this study.</w:t>
            </w:r>
          </w:p>
          <w:p w14:paraId="544FCE87" w14:textId="77777777" w:rsidR="008F7BD9" w:rsidRDefault="008F7BD9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Detailed investigation was carried out for wooden studs as well but out point of interest is on steel studs</w:t>
            </w:r>
          </w:p>
          <w:p w14:paraId="4A3609FF" w14:textId="77777777" w:rsidR="008F7BD9" w:rsidRDefault="008F7BD9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Heat transfer within cavity was studied.</w:t>
            </w:r>
          </w:p>
          <w:p w14:paraId="27593CEF" w14:textId="77777777" w:rsidR="008F7BD9" w:rsidRDefault="008F7BD9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Cavity-grey space, heavily sooted, vapor and soot from boards and wooden studs.</w:t>
            </w:r>
            <w:r w:rsidR="00BF45AA">
              <w:rPr>
                <w:sz w:val="22"/>
                <w:szCs w:val="22"/>
              </w:rPr>
              <w:t xml:space="preserve"> Air density 1.206 kg/m3</w:t>
            </w:r>
          </w:p>
          <w:p w14:paraId="5F7E6835" w14:textId="77777777" w:rsidR="00BF45AA" w:rsidRDefault="00D4613B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Because of low thermal mass detailed investigation was not performed.</w:t>
            </w:r>
          </w:p>
          <w:p w14:paraId="3C1DA713" w14:textId="77777777" w:rsidR="00D4613B" w:rsidRDefault="004C1CF2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Convective heat </w:t>
            </w:r>
            <w:proofErr w:type="gramStart"/>
            <w:r>
              <w:rPr>
                <w:sz w:val="22"/>
                <w:szCs w:val="22"/>
              </w:rPr>
              <w:t>transfer</w:t>
            </w:r>
            <w:proofErr w:type="gramEnd"/>
            <w:r>
              <w:rPr>
                <w:sz w:val="22"/>
                <w:szCs w:val="22"/>
              </w:rPr>
              <w:t xml:space="preserve"> co-eff for model was 9 W/m2C-1 on ambient side.</w:t>
            </w:r>
          </w:p>
          <w:p w14:paraId="12DE2362" w14:textId="3EC7FC30" w:rsidR="004C1CF2" w:rsidRDefault="004C1CF2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emissivity was kept at 0.9 for wooden studs, plasterboards and cavity.</w:t>
            </w:r>
          </w:p>
          <w:p w14:paraId="4CFE829C" w14:textId="77777777" w:rsidR="004C1CF2" w:rsidRDefault="004C1CF2" w:rsidP="00277F9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View factor calculation was reduced by assuming pure radiation within the cavity where heat emitted from fire side cavity is absorbed on the ambient cavity</w:t>
            </w:r>
            <w:r w:rsidR="00B15D71">
              <w:rPr>
                <w:sz w:val="22"/>
                <w:szCs w:val="22"/>
              </w:rPr>
              <w:t>.</w:t>
            </w:r>
          </w:p>
          <w:p w14:paraId="48BE1415" w14:textId="77777777" w:rsidR="00B15D71" w:rsidRDefault="00B15D71" w:rsidP="00B15D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“ </w:t>
            </w:r>
            <w:r w:rsidRPr="00B15D71">
              <w:rPr>
                <w:sz w:val="22"/>
                <w:szCs w:val="22"/>
              </w:rPr>
              <w:t>Radiant</w:t>
            </w:r>
            <w:proofErr w:type="gramEnd"/>
            <w:r w:rsidRPr="00B15D71">
              <w:rPr>
                <w:sz w:val="22"/>
                <w:szCs w:val="22"/>
              </w:rPr>
              <w:t xml:space="preserve"> energy leaving a solid surface is assumed to be</w:t>
            </w:r>
            <w:r>
              <w:rPr>
                <w:sz w:val="22"/>
                <w:szCs w:val="22"/>
              </w:rPr>
              <w:t xml:space="preserve"> </w:t>
            </w:r>
            <w:r w:rsidRPr="00B15D71">
              <w:rPr>
                <w:sz w:val="22"/>
                <w:szCs w:val="22"/>
              </w:rPr>
              <w:t>first absorbed by the cavity gas and subsequently reemitted</w:t>
            </w:r>
            <w:r>
              <w:rPr>
                <w:sz w:val="22"/>
                <w:szCs w:val="22"/>
              </w:rPr>
              <w:t xml:space="preserve"> </w:t>
            </w:r>
            <w:r w:rsidRPr="00B15D71">
              <w:rPr>
                <w:sz w:val="22"/>
                <w:szCs w:val="22"/>
              </w:rPr>
              <w:t>to other surfaces</w:t>
            </w:r>
            <w:r>
              <w:rPr>
                <w:sz w:val="22"/>
                <w:szCs w:val="22"/>
              </w:rPr>
              <w:t xml:space="preserve"> “. This reduces the view factor calculation.</w:t>
            </w:r>
          </w:p>
          <w:p w14:paraId="55DCC9A8" w14:textId="77777777" w:rsidR="00B05F57" w:rsidRDefault="00B92813" w:rsidP="00B15D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Pyrolysis of wood considered, but not moisture and mass transfer</w:t>
            </w:r>
            <w:r w:rsidR="00E230C7">
              <w:rPr>
                <w:sz w:val="22"/>
                <w:szCs w:val="22"/>
              </w:rPr>
              <w:t>.</w:t>
            </w:r>
          </w:p>
          <w:p w14:paraId="462018A8" w14:textId="77777777" w:rsidR="00E230C7" w:rsidRDefault="00E230C7" w:rsidP="00B15D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2D heat transfer through conduction governed by the PDE </w:t>
            </w:r>
          </w:p>
          <w:p w14:paraId="2B347BED" w14:textId="77777777" w:rsidR="00E230C7" w:rsidRDefault="00E230C7" w:rsidP="00B15D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E230C7">
              <w:rPr>
                <w:noProof/>
                <w:sz w:val="22"/>
                <w:szCs w:val="22"/>
              </w:rPr>
              <w:drawing>
                <wp:inline distT="0" distB="0" distL="0" distR="0" wp14:anchorId="0AC82F4F" wp14:editId="56C3372E">
                  <wp:extent cx="3299491" cy="25143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071" cy="30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BA3CE" w14:textId="03318130" w:rsidR="00E230C7" w:rsidRDefault="00A20318" w:rsidP="00B15D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MS-</w:t>
            </w:r>
            <w:r w:rsidR="00F80FFA">
              <w:rPr>
                <w:sz w:val="22"/>
                <w:szCs w:val="22"/>
              </w:rPr>
              <w:t>Fortran was used to solve 2D PDE for calculating the heat transfer.</w:t>
            </w:r>
          </w:p>
          <w:p w14:paraId="77D00D3E" w14:textId="77777777" w:rsidR="001500B2" w:rsidRDefault="001500B2" w:rsidP="00B15D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Segment of the wall was only modelled. Only from stud half to the other half representing symmetry.</w:t>
            </w:r>
          </w:p>
          <w:p w14:paraId="1AE15B91" w14:textId="77777777" w:rsidR="005F6EA4" w:rsidRDefault="005F6EA4" w:rsidP="00B15D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Assumptions in model- Heat transfer from furnace to incident surface by radiation only.</w:t>
            </w:r>
          </w:p>
          <w:p w14:paraId="16305110" w14:textId="77777777" w:rsidR="005F6EA4" w:rsidRDefault="000A5A21" w:rsidP="00B15D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Infinite parallel palates approach was used and effective emissivity of 0.9 was employed.</w:t>
            </w:r>
          </w:p>
          <w:p w14:paraId="0F099574" w14:textId="77777777" w:rsidR="000A5A21" w:rsidRDefault="000A5A21" w:rsidP="00B15D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 side convective heat transfer co-</w:t>
            </w:r>
            <w:proofErr w:type="spellStart"/>
            <w:r>
              <w:rPr>
                <w:sz w:val="22"/>
                <w:szCs w:val="22"/>
              </w:rPr>
              <w:t>rff</w:t>
            </w:r>
            <w:proofErr w:type="spellEnd"/>
            <w:r>
              <w:rPr>
                <w:sz w:val="22"/>
                <w:szCs w:val="22"/>
              </w:rPr>
              <w:t xml:space="preserve"> 25 W/m2C-1</w:t>
            </w:r>
          </w:p>
          <w:p w14:paraId="307C111E" w14:textId="77777777" w:rsidR="000A5A21" w:rsidRDefault="000A5A21" w:rsidP="00B15D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Comparison between exp and model showed the model is over predictive after 500 degree. The flat region in the time-temp curve could not be simulated as the moisture movement is not considered.</w:t>
            </w:r>
          </w:p>
          <w:p w14:paraId="20C37D00" w14:textId="77777777" w:rsidR="002230B7" w:rsidRDefault="002230B7" w:rsidP="00B15D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 predictions high on fire side while low on the ambient side.</w:t>
            </w:r>
          </w:p>
          <w:p w14:paraId="0D9332F0" w14:textId="77777777" w:rsidR="00D41D70" w:rsidRDefault="00D41D70" w:rsidP="00B15D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Zero transmission if heat through cavity gases was assumed. So model was conservative.</w:t>
            </w:r>
          </w:p>
          <w:p w14:paraId="20557E53" w14:textId="1BD6A09E" w:rsidR="00D41D70" w:rsidRPr="00B15D71" w:rsidRDefault="00D41D70" w:rsidP="00B15D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structural modelling was carried out.</w:t>
            </w:r>
          </w:p>
        </w:tc>
      </w:tr>
      <w:tr w:rsidR="009C073B" w:rsidRPr="00E25D88" w14:paraId="1159C81C" w14:textId="77777777" w:rsidTr="00E25D88">
        <w:tc>
          <w:tcPr>
            <w:tcW w:w="1265" w:type="dxa"/>
            <w:vAlign w:val="center"/>
          </w:tcPr>
          <w:p w14:paraId="149ED248" w14:textId="5D6EAF51" w:rsidR="009C073B" w:rsidRPr="00E25D88" w:rsidRDefault="009C073B" w:rsidP="00E25D88">
            <w:pPr>
              <w:ind w:left="0"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Gerlich</w:t>
            </w:r>
            <w:proofErr w:type="spellEnd"/>
            <w:r>
              <w:rPr>
                <w:sz w:val="22"/>
                <w:szCs w:val="22"/>
              </w:rPr>
              <w:t xml:space="preserve"> 1995</w:t>
            </w:r>
          </w:p>
        </w:tc>
        <w:tc>
          <w:tcPr>
            <w:tcW w:w="7320" w:type="dxa"/>
          </w:tcPr>
          <w:p w14:paraId="2BF5D785" w14:textId="13306DEC" w:rsidR="009C073B" w:rsidRDefault="009C073B" w:rsidP="00791CB1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 to thesis and rephrase if needed.</w:t>
            </w:r>
          </w:p>
        </w:tc>
      </w:tr>
      <w:tr w:rsidR="00E230C7" w:rsidRPr="00E25D88" w14:paraId="3D167D9C" w14:textId="77777777" w:rsidTr="00E25D88">
        <w:tc>
          <w:tcPr>
            <w:tcW w:w="1265" w:type="dxa"/>
            <w:vAlign w:val="center"/>
          </w:tcPr>
          <w:p w14:paraId="6EBFD8FB" w14:textId="26C3462E" w:rsidR="00CC37BE" w:rsidRPr="00E25D88" w:rsidRDefault="00CC37BE" w:rsidP="00E25D88">
            <w:pPr>
              <w:ind w:left="0" w:firstLine="0"/>
              <w:jc w:val="center"/>
              <w:rPr>
                <w:sz w:val="22"/>
                <w:szCs w:val="22"/>
              </w:rPr>
            </w:pPr>
            <w:r w:rsidRPr="00E25D88">
              <w:rPr>
                <w:sz w:val="22"/>
                <w:szCs w:val="22"/>
              </w:rPr>
              <w:t>Gerlich199</w:t>
            </w:r>
            <w:r w:rsidR="00791CB1">
              <w:rPr>
                <w:sz w:val="22"/>
                <w:szCs w:val="22"/>
              </w:rPr>
              <w:t>6</w:t>
            </w:r>
          </w:p>
        </w:tc>
        <w:tc>
          <w:tcPr>
            <w:tcW w:w="7320" w:type="dxa"/>
          </w:tcPr>
          <w:p w14:paraId="07B55B90" w14:textId="77777777" w:rsidR="00CC37BE" w:rsidRDefault="00791CB1" w:rsidP="00791CB1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Analytical model to predict LSF walls in standard and real fire.</w:t>
            </w:r>
          </w:p>
          <w:p w14:paraId="1EF2FC7B" w14:textId="77777777" w:rsidR="00764E1B" w:rsidRDefault="00764E1B" w:rsidP="00791CB1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Unlipped</w:t>
            </w:r>
            <w:proofErr w:type="spellEnd"/>
            <w:r>
              <w:rPr>
                <w:sz w:val="22"/>
                <w:szCs w:val="22"/>
              </w:rPr>
              <w:t xml:space="preserve"> C were used for the study</w:t>
            </w:r>
            <w:r w:rsidR="00DF46CD">
              <w:rPr>
                <w:sz w:val="22"/>
                <w:szCs w:val="22"/>
              </w:rPr>
              <w:t>.</w:t>
            </w:r>
          </w:p>
          <w:p w14:paraId="7A086CF6" w14:textId="77777777" w:rsidR="00DF46CD" w:rsidRDefault="00DF46CD" w:rsidP="00791CB1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Degradation of the plasterboard restraints at elevated temperatures were detailed and </w:t>
            </w:r>
            <w:proofErr w:type="gramStart"/>
            <w:r>
              <w:rPr>
                <w:sz w:val="22"/>
                <w:szCs w:val="22"/>
              </w:rPr>
              <w:t>there</w:t>
            </w:r>
            <w:proofErr w:type="gramEnd"/>
            <w:r>
              <w:rPr>
                <w:sz w:val="22"/>
                <w:szCs w:val="22"/>
              </w:rPr>
              <w:t xml:space="preserve"> effects on stud buckling were discussed.</w:t>
            </w:r>
          </w:p>
          <w:p w14:paraId="1D75A386" w14:textId="77777777" w:rsidR="00A14D6B" w:rsidRDefault="00A14D6B" w:rsidP="00791CB1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C-sections are susceptible to local bucking at room temperatures and flexural torsional buckling at elevated temperatures.</w:t>
            </w:r>
          </w:p>
          <w:p w14:paraId="112059AD" w14:textId="77777777" w:rsidR="00A14D6B" w:rsidRDefault="00CF2A8E" w:rsidP="00CF2A8E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CF2A8E">
              <w:rPr>
                <w:sz w:val="22"/>
                <w:szCs w:val="22"/>
              </w:rPr>
              <w:t>AS 1538,3 BS 5950; and the A</w:t>
            </w:r>
            <w:r w:rsidR="007D0BE8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SI </w:t>
            </w:r>
            <w:r w:rsidRPr="00CF2A8E">
              <w:rPr>
                <w:sz w:val="22"/>
                <w:szCs w:val="22"/>
              </w:rPr>
              <w:t>design manual</w:t>
            </w:r>
            <w:r>
              <w:rPr>
                <w:sz w:val="22"/>
                <w:szCs w:val="22"/>
              </w:rPr>
              <w:t xml:space="preserve"> were the general design standards for design of CFS sections. A</w:t>
            </w:r>
            <w:r w:rsidR="007D0BE8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SI manual was found to yield better predictions in comparison with others.</w:t>
            </w:r>
            <w:r w:rsidR="007D0BE8">
              <w:rPr>
                <w:sz w:val="22"/>
                <w:szCs w:val="22"/>
              </w:rPr>
              <w:t xml:space="preserve"> Cumbersome but had design spreadsheets and predictions were precise.</w:t>
            </w:r>
          </w:p>
          <w:p w14:paraId="5A5F51C7" w14:textId="77777777" w:rsidR="00A517BB" w:rsidRDefault="00A517BB" w:rsidP="00CF2A8E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Structural testing </w:t>
            </w:r>
            <w:r w:rsidR="00803065">
              <w:rPr>
                <w:sz w:val="22"/>
                <w:szCs w:val="22"/>
              </w:rPr>
              <w:t xml:space="preserve">for yield strength and </w:t>
            </w:r>
            <w:r>
              <w:rPr>
                <w:sz w:val="22"/>
                <w:szCs w:val="22"/>
              </w:rPr>
              <w:t>combined axial loading and bending was carried out</w:t>
            </w:r>
            <w:r w:rsidR="00803065">
              <w:rPr>
                <w:sz w:val="22"/>
                <w:szCs w:val="22"/>
              </w:rPr>
              <w:t xml:space="preserve"> to determine the ambient capacity of the st</w:t>
            </w:r>
            <w:r w:rsidR="000F3A0F">
              <w:rPr>
                <w:sz w:val="22"/>
                <w:szCs w:val="22"/>
              </w:rPr>
              <w:t>eel framed walls</w:t>
            </w:r>
            <w:r w:rsidR="00803065">
              <w:rPr>
                <w:sz w:val="22"/>
                <w:szCs w:val="22"/>
              </w:rPr>
              <w:t>.</w:t>
            </w:r>
          </w:p>
          <w:p w14:paraId="2022AE12" w14:textId="77777777" w:rsidR="000F3A0F" w:rsidRDefault="000F3A0F" w:rsidP="00CF2A8E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Tensile and compressive stub column testing on individual studs were also carried out.</w:t>
            </w:r>
          </w:p>
          <w:p w14:paraId="69E4D54D" w14:textId="77777777" w:rsidR="00BA0CAA" w:rsidRDefault="00BA0CAA" w:rsidP="00BA0CA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BA0CAA">
              <w:rPr>
                <w:sz w:val="22"/>
                <w:szCs w:val="22"/>
              </w:rPr>
              <w:t>75 x 32 x 1.15 mm and</w:t>
            </w:r>
            <w:r>
              <w:rPr>
                <w:sz w:val="22"/>
                <w:szCs w:val="22"/>
              </w:rPr>
              <w:t xml:space="preserve"> </w:t>
            </w:r>
            <w:r w:rsidRPr="00BA0CAA">
              <w:rPr>
                <w:sz w:val="22"/>
                <w:szCs w:val="22"/>
              </w:rPr>
              <w:t>100 x 50 x 1.0 mm stud C-sections</w:t>
            </w:r>
            <w:r>
              <w:rPr>
                <w:sz w:val="22"/>
                <w:szCs w:val="22"/>
              </w:rPr>
              <w:t xml:space="preserve"> were used for ambient capacity tests.</w:t>
            </w:r>
          </w:p>
          <w:p w14:paraId="032DBEC5" w14:textId="77777777" w:rsidR="00F46FA4" w:rsidRDefault="00F46FA4" w:rsidP="00BA0CA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Both lined and unlined full frames were tested under ambient conditions.</w:t>
            </w:r>
          </w:p>
          <w:p w14:paraId="533D3FD2" w14:textId="77777777" w:rsidR="00F46FA4" w:rsidRDefault="002B18D7" w:rsidP="00BA0CA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Motive to study thermal behaviour under fire, P-delta effects due to thermally induced deflections.</w:t>
            </w:r>
          </w:p>
          <w:p w14:paraId="60ABFAE4" w14:textId="77777777" w:rsidR="00F949F7" w:rsidRDefault="00F949F7" w:rsidP="00BA0CA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 of calcination and reduced plasterboard restraints under fire is explained in detail.</w:t>
            </w:r>
          </w:p>
          <w:p w14:paraId="70583FAA" w14:textId="77777777" w:rsidR="00004108" w:rsidRDefault="00004108" w:rsidP="00BA0CA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Enthalpy values were used in the model to avoid numerical instabilities due to sudden peaks in the specific heat curve.</w:t>
            </w:r>
          </w:p>
          <w:p w14:paraId="32A9AF36" w14:textId="77777777" w:rsidR="004C655B" w:rsidRPr="00AC6590" w:rsidRDefault="004C655B" w:rsidP="00BA0CA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C655B">
              <w:rPr>
                <w:color w:val="FF0000"/>
                <w:sz w:val="22"/>
                <w:szCs w:val="22"/>
              </w:rPr>
              <w:t>Specific volumetric enthalpy graph. Copy from lit</w:t>
            </w:r>
          </w:p>
          <w:p w14:paraId="50F40952" w14:textId="2584F55E" w:rsidR="00AC6590" w:rsidRPr="00BA0CAA" w:rsidRDefault="00AC6590" w:rsidP="00BA0CA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Density of the Pb was not highly influenced by temperature, whereas specific heat, conductivity are. </w:t>
            </w:r>
          </w:p>
        </w:tc>
      </w:tr>
    </w:tbl>
    <w:p w14:paraId="165B6EEB" w14:textId="77777777" w:rsidR="006E3C37" w:rsidRPr="00E25D88" w:rsidRDefault="006E3C37">
      <w:pPr>
        <w:rPr>
          <w:sz w:val="22"/>
          <w:szCs w:val="22"/>
        </w:rPr>
      </w:pPr>
    </w:p>
    <w:sectPr w:rsidR="006E3C37" w:rsidRPr="00E25D88" w:rsidSect="00B9039A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A1EA5"/>
    <w:multiLevelType w:val="hybridMultilevel"/>
    <w:tmpl w:val="BA4ED5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F055B"/>
    <w:multiLevelType w:val="hybridMultilevel"/>
    <w:tmpl w:val="3ACAD6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E71FA"/>
    <w:multiLevelType w:val="hybridMultilevel"/>
    <w:tmpl w:val="ABBA8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3NDM2MjGyNDC1tDRV0lEKTi0uzszPAykwqgUAYtpm4iwAAAA="/>
  </w:docVars>
  <w:rsids>
    <w:rsidRoot w:val="00BA3B44"/>
    <w:rsid w:val="00004108"/>
    <w:rsid w:val="00007DD1"/>
    <w:rsid w:val="00030306"/>
    <w:rsid w:val="00043C69"/>
    <w:rsid w:val="000776B6"/>
    <w:rsid w:val="000912D5"/>
    <w:rsid w:val="000A059A"/>
    <w:rsid w:val="000A5A21"/>
    <w:rsid w:val="000B6CCC"/>
    <w:rsid w:val="000E74E2"/>
    <w:rsid w:val="000F3A0F"/>
    <w:rsid w:val="001370B4"/>
    <w:rsid w:val="001500B2"/>
    <w:rsid w:val="001D56D2"/>
    <w:rsid w:val="001E40E2"/>
    <w:rsid w:val="001F1B70"/>
    <w:rsid w:val="002230B7"/>
    <w:rsid w:val="0026527D"/>
    <w:rsid w:val="00277F93"/>
    <w:rsid w:val="002856DB"/>
    <w:rsid w:val="002958ED"/>
    <w:rsid w:val="002A09B8"/>
    <w:rsid w:val="002B18D7"/>
    <w:rsid w:val="00313583"/>
    <w:rsid w:val="00334335"/>
    <w:rsid w:val="003F5737"/>
    <w:rsid w:val="004C1CF2"/>
    <w:rsid w:val="004C3D9A"/>
    <w:rsid w:val="004C655B"/>
    <w:rsid w:val="00500C06"/>
    <w:rsid w:val="005B52C3"/>
    <w:rsid w:val="005E1EE0"/>
    <w:rsid w:val="005F6EA4"/>
    <w:rsid w:val="00621D01"/>
    <w:rsid w:val="00690530"/>
    <w:rsid w:val="006A0BA2"/>
    <w:rsid w:val="006C0BAA"/>
    <w:rsid w:val="006E3C37"/>
    <w:rsid w:val="006E507D"/>
    <w:rsid w:val="007234B9"/>
    <w:rsid w:val="00764E1B"/>
    <w:rsid w:val="00772B4D"/>
    <w:rsid w:val="00791CB1"/>
    <w:rsid w:val="007D0BE8"/>
    <w:rsid w:val="007D20D8"/>
    <w:rsid w:val="00803065"/>
    <w:rsid w:val="00830616"/>
    <w:rsid w:val="00836E74"/>
    <w:rsid w:val="00874FDB"/>
    <w:rsid w:val="008E40D3"/>
    <w:rsid w:val="008F7BD9"/>
    <w:rsid w:val="00901120"/>
    <w:rsid w:val="00945526"/>
    <w:rsid w:val="00954B60"/>
    <w:rsid w:val="00963EC2"/>
    <w:rsid w:val="00966C4A"/>
    <w:rsid w:val="009A3E0D"/>
    <w:rsid w:val="009A694C"/>
    <w:rsid w:val="009C073B"/>
    <w:rsid w:val="009C71E3"/>
    <w:rsid w:val="00A14D6B"/>
    <w:rsid w:val="00A20318"/>
    <w:rsid w:val="00A427A4"/>
    <w:rsid w:val="00A47438"/>
    <w:rsid w:val="00A517BB"/>
    <w:rsid w:val="00A63929"/>
    <w:rsid w:val="00AA4931"/>
    <w:rsid w:val="00AC6590"/>
    <w:rsid w:val="00B05F57"/>
    <w:rsid w:val="00B15D71"/>
    <w:rsid w:val="00B37212"/>
    <w:rsid w:val="00B702F3"/>
    <w:rsid w:val="00B9039A"/>
    <w:rsid w:val="00B92813"/>
    <w:rsid w:val="00BA0CAA"/>
    <w:rsid w:val="00BA3B44"/>
    <w:rsid w:val="00BF45AA"/>
    <w:rsid w:val="00C34C81"/>
    <w:rsid w:val="00C40C21"/>
    <w:rsid w:val="00C64147"/>
    <w:rsid w:val="00C80890"/>
    <w:rsid w:val="00CC37BE"/>
    <w:rsid w:val="00CF2A8E"/>
    <w:rsid w:val="00D165D1"/>
    <w:rsid w:val="00D36C19"/>
    <w:rsid w:val="00D41D70"/>
    <w:rsid w:val="00D4613B"/>
    <w:rsid w:val="00D7023B"/>
    <w:rsid w:val="00D86E94"/>
    <w:rsid w:val="00D94175"/>
    <w:rsid w:val="00DF46CD"/>
    <w:rsid w:val="00E230C7"/>
    <w:rsid w:val="00E25D88"/>
    <w:rsid w:val="00E2766B"/>
    <w:rsid w:val="00E37087"/>
    <w:rsid w:val="00E81AA5"/>
    <w:rsid w:val="00EC6EE3"/>
    <w:rsid w:val="00EF53C2"/>
    <w:rsid w:val="00F214C0"/>
    <w:rsid w:val="00F46FA4"/>
    <w:rsid w:val="00F510AE"/>
    <w:rsid w:val="00F71B85"/>
    <w:rsid w:val="00F80FFA"/>
    <w:rsid w:val="00F949F7"/>
    <w:rsid w:val="00FA4A20"/>
    <w:rsid w:val="00FE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9217"/>
  <w15:chartTrackingRefBased/>
  <w15:docId w15:val="{F53215E8-0302-4643-BD72-680B11DC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 Unicode MS"/>
        <w:sz w:val="24"/>
        <w:szCs w:val="24"/>
        <w:lang w:val="en-AU" w:eastAsia="en-US" w:bidi="ta-IN"/>
      </w:rPr>
    </w:rPrDefault>
    <w:pPrDefault>
      <w:pPr>
        <w:spacing w:before="100" w:beforeAutospacing="1" w:after="100" w:afterAutospacing="1"/>
        <w:ind w:left="431" w:hanging="43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7B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74297-BAC2-4EBF-8B42-6BF96C915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Magarabooshanam</dc:creator>
  <cp:keywords/>
  <dc:description/>
  <cp:lastModifiedBy>Harikrishnan Magarabooshanam</cp:lastModifiedBy>
  <cp:revision>46</cp:revision>
  <dcterms:created xsi:type="dcterms:W3CDTF">2019-06-12T06:58:00Z</dcterms:created>
  <dcterms:modified xsi:type="dcterms:W3CDTF">2019-07-02T08:03:00Z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http://www.zotero.org/styles/american-sociological-association</vt:lpwstr>
  </property>
  <property fmtid="{D5CDD505-2E9C-101B-9397-08002B2CF9AE}" pid="3" name="Mendeley Recent Style Name 0_1">
    <vt:lpwstr>American Sociological Association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https://csl.mendeley.com/styles/500131731/chicago-author-date</vt:lpwstr>
  </property>
  <property fmtid="{D5CDD505-2E9C-101B-9397-08002B2CF9AE}" pid="7" name="Mendeley Recent Style Name 2_1">
    <vt:lpwstr>Chicago Manual of Style 17th edition (author-date) - Harikrishnan Magarabooshanam</vt:lpwstr>
  </property>
  <property fmtid="{D5CDD505-2E9C-101B-9397-08002B2CF9AE}" pid="8" name="Mendeley Recent Style Id 3_1">
    <vt:lpwstr>http://csl.mendeley.com/styles/500131731/chicago-author-date</vt:lpwstr>
  </property>
  <property fmtid="{D5CDD505-2E9C-101B-9397-08002B2CF9AE}" pid="9" name="Mendeley Recent Style Name 3_1">
    <vt:lpwstr>Chicago Manual of Style 17th edition (author-date) - Harikrishnan Magarabooshanam</vt:lpwstr>
  </property>
  <property fmtid="{D5CDD505-2E9C-101B-9397-08002B2CF9AE}" pid="10" name="Mendeley Recent Style Id 4_1">
    <vt:lpwstr>http://csl.mendeley.com/styles/500131731/harvard-cite-them-right</vt:lpwstr>
  </property>
  <property fmtid="{D5CDD505-2E9C-101B-9397-08002B2CF9AE}" pid="11" name="Mendeley Recent Style Name 4_1">
    <vt:lpwstr>Cite Them Right 10th edition - Harvard - Harikrishnan Magarabooshanam</vt:lpwstr>
  </property>
  <property fmtid="{D5CDD505-2E9C-101B-9397-08002B2CF9AE}" pid="12" name="Mendeley Recent Style Id 5_1">
    <vt:lpwstr>https://csl.mendeley.com/styles/500131731/harvard-cite-them-right</vt:lpwstr>
  </property>
  <property fmtid="{D5CDD505-2E9C-101B-9397-08002B2CF9AE}" pid="13" name="Mendeley Recent Style Name 5_1">
    <vt:lpwstr>Cite Them Right 10th edition - Harvard - Harikrishnan Magarabooshanam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