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beneficiary fixture (v1)</w:t>
      </w:r>
    </w:p>
    <w:p>
      <w:r>
        <w:t>Developer-only synthetic data; no real people or records are represented.</w:t>
      </w:r>
    </w:p>
    <w:p>
      <w:r>
        <w:t>Qualifies when scheme S1 is active and annual income is at most INR 200,000.00 (inclusive).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Scheme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Annual income (INR)</w:t>
            </w:r>
          </w:p>
        </w:tc>
        <w:tc>
          <w:tcPr>
            <w:tcW w:type="dxa" w:w="1728"/>
          </w:tcPr>
          <w:p>
            <w:r>
              <w:t>Grant (INR)</w:t>
            </w:r>
          </w:p>
        </w:tc>
      </w:tr>
      <w:tr>
        <w:tc>
          <w:tcPr>
            <w:tcW w:type="dxa" w:w="1728"/>
          </w:tcPr>
          <w:p>
            <w:r>
              <w:t>APP-001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180000.00</w:t>
            </w:r>
          </w:p>
        </w:tc>
        <w:tc>
          <w:tcPr>
            <w:tcW w:type="dxa" w:w="1728"/>
          </w:tcPr>
          <w:p>
            <w:r>
              <w:t>10000.00</w:t>
            </w:r>
          </w:p>
        </w:tc>
      </w:tr>
      <w:tr>
        <w:tc>
          <w:tcPr>
            <w:tcW w:type="dxa" w:w="1728"/>
          </w:tcPr>
          <w:p>
            <w:r>
              <w:t>APP-002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200000.00</w:t>
            </w:r>
          </w:p>
        </w:tc>
        <w:tc>
          <w:tcPr>
            <w:tcW w:type="dxa" w:w="1728"/>
          </w:tcPr>
          <w:p>
            <w:r>
              <w:t>15000.00</w:t>
            </w:r>
          </w:p>
        </w:tc>
      </w:tr>
      <w:tr>
        <w:tc>
          <w:tcPr>
            <w:tcW w:type="dxa" w:w="1728"/>
          </w:tcPr>
          <w:p>
            <w:r>
              <w:t>APP-003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200000.01</w:t>
            </w:r>
          </w:p>
        </w:tc>
        <w:tc>
          <w:tcPr>
            <w:tcW w:type="dxa" w:w="1728"/>
          </w:tcPr>
          <w:p>
            <w:r>
              <w:t>9000.01</w:t>
            </w:r>
          </w:p>
        </w:tc>
      </w:tr>
      <w:tr>
        <w:tc>
          <w:tcPr>
            <w:tcW w:type="dxa" w:w="1728"/>
          </w:tcPr>
          <w:p>
            <w:r>
              <w:t>APP-004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inactive</w:t>
            </w:r>
          </w:p>
        </w:tc>
        <w:tc>
          <w:tcPr>
            <w:tcW w:type="dxa" w:w="1728"/>
          </w:tcPr>
          <w:p>
            <w:r>
              <w:t>120000.00</w:t>
            </w:r>
          </w:p>
        </w:tc>
        <w:tc>
          <w:tcPr>
            <w:tcW w:type="dxa" w:w="1728"/>
          </w:tcPr>
          <w:p>
            <w:r>
              <w:t>8000.00</w:t>
            </w:r>
          </w:p>
        </w:tc>
      </w:tr>
      <w:tr>
        <w:tc>
          <w:tcPr>
            <w:tcW w:type="dxa" w:w="1728"/>
          </w:tcPr>
          <w:p>
            <w:r>
              <w:t>APP-005</w:t>
            </w:r>
          </w:p>
        </w:tc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150000.00</w:t>
            </w:r>
          </w:p>
        </w:tc>
        <w:tc>
          <w:tcPr>
            <w:tcW w:type="dxa" w:w="1728"/>
          </w:tcPr>
          <w:p>
            <w:r>
              <w:t>5000.50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APP-002 is exactly on the inclusive income threshold.</w:t>
      </w:r>
    </w:p>
    <w:p>
      <w:pPr>
        <w:pStyle w:val="ListBullet"/>
      </w:pPr>
      <w:r>
        <w:t>Amounts are decimal strings with two fractional digits.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2000-01-01T00:00:00Z</dcterms:created>
  <dcterms:modified xsi:type="dcterms:W3CDTF">2000-01-01T00:00:00Z</dcterms:modified>
  <cp:category/>
</cp:coreProperties>
</file>