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rischi e opportunità (IMS)</w:t>
          </w:r>
        </w:p>
        <w:p>
          <w:r>
            <w:t>Codice: PROC_RISK_OPP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