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72" w:type="dxa"/>
        <w:tblW w:w="13892" w:type="dxa"/>
        <w:tblCellMar>
          <w:left w:w="70" w:type="dxa"/>
          <w:right w:w="7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7"/>
        <w:gridCol w:w="844"/>
        <w:gridCol w:w="2826"/>
        <w:gridCol w:w="9"/>
        <w:gridCol w:w="10206"/>
      </w:tblGrid>
      <w:tr>
        <w:trPr>
          <w:gridBefore w:val="1"/>
          <w:trHeight w:val="585"/>
          <w:tblHeader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 w:firstLine="77" w:left="-77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N°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Riferimento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Titolo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561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D.P.R. 19 marzo 1956, n. 303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Norme generali per l’igiene del lavoro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413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Legge 30 aprile 1962, n.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283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Disciplina igienica della produzione e della vendita sostanze alimentari e delle bevande.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D.P.R. 26 marzo 1980, n.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327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Regolamento di esecuzione della Legge 283/1962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e 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s.m.i.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 in materia di disciplina igienica della produzione e della vendita delle sostanze alimentari e delle bevande.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427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D.P.R. maggio 1982, n.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489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Attuazione delle direttive 75/726 CE e 79/168 relative ai succhi di frutta e prodotti simili.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431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Legge 4 maggio 1983, n. 170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Modifica della disciplina relativa all’esportazione delle essenze agrumarie e dei loro derivati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505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pBdr/>
              <w:tabs>
                <w:tab w:val="num" w:leader="none" w:pos="0"/>
                <w:tab w:val="clear" w:leader="none" w:pos="576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D.Lgs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 18/2023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 w:hanging="720" w:left="720"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Q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ualità delle acque destinata al consumo umano.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838"/>
        </w:trPr>
        <w:tc>
          <w:tcPr>
            <w:tcBorders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  <w:lang w:val="en-GB"/>
              </w:rPr>
            </w:r>
          </w:p>
        </w:tc>
        <w:tc>
          <w:tcPr>
            <w:tcBorders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-7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Lgs.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09/04/2008 n. 81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Attuazione delle di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rettive 80/1107 CE, 82/605 CE, 83/477 CE, 86/188 Ce e 88/642 CE in materia di protezione dei lavoratori contro i rischi derivanti da esposizione ad agenti chimici, fisici e biologici durante il lavoro, a norma dell’art. 7 della legge 30 luglio 1990, n.212.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55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tabs>
                <w:tab w:val="num" w:leader="none" w:pos="0"/>
              </w:tabs>
              <w:spacing/>
              <w:ind w:hanging="576" w:left="576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UE 915/2023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Valori minimi di alcuni contaminanti degli alimenti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561"/>
        </w:trPr>
        <w:tc>
          <w:tcPr>
            <w:tcBorders>
              <w:top w:val="single" w:color="auto" w:sz="4" w:space="0"/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tabs>
                <w:tab w:val="num" w:leader="none" w:pos="0"/>
              </w:tabs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UE 382/2021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Style w:val="936"/>
              <w:numPr>
                <w:ilvl w:val="0"/>
                <w:numId w:val="0"/>
              </w:numPr>
              <w:pBdr/>
              <w:spacing/>
              <w:ind/>
              <w:jc w:val="both"/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  <w:t xml:space="preserve">Allergeni e cultura sicurezza alimentare</w:t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bCs w:val="0"/>
                <w:sz w:val="22"/>
                <w:szCs w:val="22"/>
              </w:rPr>
            </w:r>
          </w:p>
        </w:tc>
      </w:tr>
      <w:tr>
        <w:trPr>
          <w:gridBefore w:val="1"/>
          <w:trHeight w:val="433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0"/>
              </w:tabs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-70"/>
              </w:tabs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Lgs. del 27/01/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n. 110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Temperature di stoccaggio degli alimenti surgelati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631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-7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D.M.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/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/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2002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Classificazione e disciplina dell’imballaggio e della etichettatura dei preparati pericolosi in attuazione delle direttive emanate dal Consiglio e dalla Commissione delle Comunità europee.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633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tabs>
                <w:tab w:val="num" w:leader="none" w:pos="-70"/>
              </w:tabs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 Lgs.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09/04/2008 n. 81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Attuazione delle direttive 89/361 CE, 89/654 Ce, 89/655 CE, 89/656 CE, 90/269 CE, 90/270 Ce, 90/394 Ce e 90/679 CE riguardanti il miglioramento della sicurezza e della salute dei lavoratori sul luogo di lavoro.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 Lgs.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06/11/2007 n. 193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Attuazione delle direttive 93/43 Ce e 96/3 Ce concernenti l’igiene dei prodotti alimentari.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 w:hanging="576" w:left="576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Circolare del 11/07/97 n. 6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Disposizioni sulla trasformazione industriale degli agrumi che beneficia del regime di aiuto ai produttori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680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935"/>
              <w:numPr>
                <w:ilvl w:val="0"/>
                <w:numId w:val="0"/>
              </w:numPr>
              <w:pBdr/>
              <w:spacing/>
              <w:ind w:hanging="576" w:left="576"/>
              <w:jc w:val="center"/>
              <w:rPr>
                <w:rFonts w:asciiTheme="minorHAnsi" w:hAnsiTheme="minorHAnsi" w:cstheme="minorHAnsi"/>
                <w:b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  <w:t xml:space="preserve">Reg. CEE/UE del 23/02/2005</w:t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 w:val="0"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Quantità massime di residui antiparassitari sui e in alcuni prodotti di origine vegetale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940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Comunicazione del 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Mi.R.A.A.F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. 24/05/1998, Prot. 16112/P24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Controlli sulla trasformazione industriale degli agrumi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731"/>
        </w:trPr>
        <w:tc>
          <w:tcPr>
            <w:tcBorders>
              <w:left w:val="single" w:color="000000" w:sz="8" w:space="0"/>
              <w:bottom w:val="single" w:color="000000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 Lgs.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17/08/1999 n. 360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Disciplina igienico-sanitaria dei sottoprodotti derivanti da un ciclo di produzione dell’industria agro-alimentare nell’alimentazione animale.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840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Norma UNI EN ISO 9001 (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Settembre 2015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)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Sistemi di gestione per la qualità - Requisiti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660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CE 178/02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Principi e requisiti generali della legislazione Alimentare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istituisce l’Autorità europea per la sicurezza alimentare e fissa procedure nel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campo di sicurezza alimentare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660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UE 10/2011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Material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e plastiche</w:t>
            </w:r>
            <w:r>
              <w:rPr>
                <w:rFonts w:ascii="Calibri" w:hAnsi="Calibri" w:cs="Calibri"/>
                <w:bCs/>
                <w:sz w:val="22"/>
                <w:szCs w:val="22"/>
              </w:rPr>
              <w:t xml:space="preserve"> ed oggetti destinati a venire a contatto con i prodotti alimentari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743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CE n. 1935/2004 del 27/10/2004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Materiali ed oggetti destinati a venire a contatto con i prodotti alimentari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940"/>
        </w:trPr>
        <w:tc>
          <w:tcPr>
            <w:tcBorders>
              <w:left w:val="single" w:color="000000" w:sz="8" w:space="0"/>
              <w:bottom w:val="single" w:color="000000" w:sz="8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left w:val="single" w:color="000000" w:sz="4" w:space="0"/>
              <w:bottom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CE n. 396/2005 del 23/02/2005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Livelli massimi di residui di antiparassitari nei o sui prodotti alimentari e mangimi di origine vegetale e animale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(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modifica la direttiva 91/414/CEE)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47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CE 852/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04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“Igiene dei prodotti alimentari”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47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(UE) 2018/832 del 05/06/2018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gli allegati II, III e V del Regolamento (CE) n. 396/2005 riguardante i livelli massimi di residui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 fitofarmaci.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47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(UE) 2020/1085 del 23 Luglio 2020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gli allegati II e V del Regolamento (CE) n. 396/2005 riguardante i livelli massimi di residui di clorpirifos e clorpirifos metile.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gridBefore w:val="1"/>
          <w:trHeight w:val="47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4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26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(UE) 2021/1110 del 06 Luglio 2021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1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gli allegati II e III del Regolamento (CE) n. 396/2005 riguardante i livelli massimi di residui di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ametoctradin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bixafen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fenazaquin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spinetoram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teflutrin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thiencarbazone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-metile in o su determinati prodotti, tra cui gli agrumi.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279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UNI EN ISO 22005:08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Sistemi di rintracciabilità di filiera agroalimentare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358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Linee guida AIJN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  <w:t xml:space="preserve">Decreto dell’Assessorato alla Sanità della Regione Siciliana del 27/02/2008</w:t>
            </w: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  <w:t xml:space="preserve">Linee di indirizzo e modalità procedurali attuative del regolamento CE n. 852/2004, ai fini delle registrazioni delle attività alimentari.</w:t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  <w:t xml:space="preserve">Decreto dell’Assessorato n° 14/2017</w:t>
            </w: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trike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  <w:t xml:space="preserve">Linee guida concernenti la registrazione degli operatori del settore alimentare (OSA – MASTER LIST 852) e adempimenti delle AA.SS.PP. a seguito di notifica/scia.</w:t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</w:p>
        </w:tc>
      </w:tr>
      <w:tr>
        <w:trPr>
          <w:trHeight w:val="635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 Lgs. 19/11/2008 n. 194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Disciplina delle modalità di rifinanziamento dei controlli sanitari ufficiali in attuazione del regolamento (CE) n. 882/2004.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GURS 03/02/2010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Recapiti allerta alimentare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Reg. (UE) 2018/831 del 05/06/2018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il Reg. (UE) n.10/2011 riguardante i materiali e gli oggetti in plastica destinati a venire in contatto con gli alimenti.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 Lgs 81/08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Testo coordinato con il decreto legislativo 3 agosto 2009, N. 106. Attuazione dell’articolo 1 della legge 3 agosto 2007, N. 123 in materia di tutela della salute e della sicurezza nei luoghi di lavoro.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Testo integrato con: Legge del 2 agosto 2008, N. 129 (conversione del D.L. 97/2008); Legge del 6 agosto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2008,  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133  (conversione del D.L. 112/2008); Legge del 27 febbraio 2009,  N. 14 (conversione del D.L. 207/2008); Legge del 7 luglio 2009,  N. 88.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L. 1/2012 Art. 62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Commercializzazione di prodotti agroalimentari (entrata in vigore 24/10/2012)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D.A. 05/09/2012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GURS N. 43 del 12/10/2012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Direttiva 2012/12/UE del 19/04/2012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Concernente i succhi di frutta e altri prodotti analoghi destinati all’alimentazione umana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Direttiva 2003/89/CE del 10/11/2003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Relativa al ravvicinamento delle legislazioni degli Stati membri concernenti l'etichettatura e la presentazione dei prodotti alimentari, nonché la relativa pubblicità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  <w:t xml:space="preserve">Direttiva 98/83/CE del 03/11/1998</w:t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trike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  <w:t xml:space="preserve">Concernente la qualità delle acque destinate al consumo umano e successive modificazioni.</w:t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trike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Direttiva 2015/1787/UE del 06/10/2015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Relativa a determinati tipi di zucchero destinati all’alimentazione umana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Direttiva 2014/63/UE del 15/05/2014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la Direttiva 2001/110/CE del consiglio concernente il miele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(CE) n° 1333/2008 del 16/12/2008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Relativo agli additivi alimentari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(UE) n° 1130/2011 del 11/11/2011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modifica l’allegato III del regolamento (CE) n° 1333/2008 del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Parlamento Europeo e del Consiglio relativo agli additivi alimentari istituendo un elenco dell’Unione degli additivi alimentari autorizzati negli additivi alimentari, negli enzimi alimentari, negli aromi naturali e nei nutrienti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(UE) n° 231/2012 del 09/03/2012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Che stabilisce le specifiche degli additivi alimentari elencati negli allegati II e III del Regolamento (CE) n° 1333/2008 del Parlamento Europeo e del Consiglio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(UE) n° 257/2010 del 25/03/2010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he istituisce un programma relativo a una nuova valutazione degli additivi alimentari autorizzati conformemente al Regolamento (CE) n° 1333/2008 del Parlamento Europeo e del Consiglio e successive modificazioni. 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Direttive della CE 1830/2003/CE e CE 1829/2003/CE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materia di alimenti e mangimi geneticamente modificati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Reg. (UE) 1169/2011 del 25/10/2011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materia di allergeni e obbligo di etichettatura.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Decreto Legislativo 231/2017 del 15/12/2017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Disciplina sanzionatoria per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la violazione delle disposizioni del Reg. (UE) n.1169/2011, relativo alla fornitura di informazioni sugli alimenti ai consumatori e l’adeguamento della normativa nazionale alle disposizioni del medesimo Reg. (UE) n. 1169/2011 e della Direttiva 2011/91/UE.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Nota Ministero Agricoltura del 08/05/2018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Chiarimento sui contenuti del D. Lgs. 231/2017 disciplina sanzionatoria in caso di omissione in etichetta della presenza di allergeni.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Direttiva EU 1999/2/CE e 1999/3/CE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In materia di ionizzazione.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50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(CE) n° 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48/2018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30/05/2018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Relativo alla produzione biologica e all’etichettatura dei prodotti biologici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1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(CE) n° 889/2008 del 05/09/08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Modalità di applicazione del regolamento (CE) n° 834/2007 del Consiglio relativo alla produzione biologica e all'etichettatura dei prodotti biologici, per quanto riguarda la produzione biologica, l'etichettatura e i controlli e successive modificazioni.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2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Decreto 18/07/2018 Ministero Agricoltura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Disposizioni per l’attuazione dei Regolamenti (CE) n. 834/2007 e 889/2008.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3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(UE) 2018/1584 della Commissione del 22/10/18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Modifica il Regolamento (CE) n.889/2008.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4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Nota Ministero della Salute del 31/05/16 e del 15/12/16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(CE) 178/2002 – Procedure per il richiamo di prodotti non conformi e avvio del sistema di pubblicazione dei dati inerenti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prodotti richiamati.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8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Decreto Assessorato della Salute del 24/09/2018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Piano regionale di controllo ufficiale sui residui di fitofarmaci negli alimenti – 2018.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auto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6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auto" w:sz="4" w:space="0"/>
            </w:tcBorders>
            <w:tcW w:w="283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Decreto Assessorato del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698/2022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auto" w:sz="4" w:space="0"/>
              <w:right w:val="single" w:color="000000" w:sz="8" w:space="0"/>
            </w:tcBorders>
            <w:tcW w:w="10206" w:type="dxa"/>
            <w:vAlign w:val="center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riteri e le procedure per la formazione degli alimentaristi.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57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D.Lgs 102/2025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before="100" w:beforeAutospacing="1"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Disposizioni integrative e correttive del D.Lgs 18/2023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58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Reg.UE 3190/2024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after="17" w:afterAutospacing="1" w:beforeAutospacing="1" w:line="240" w:lineRule="auto"/>
              <w:ind/>
              <w:rPr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Utilizzo del bisfenolo A (BPA) e di altri bisfenoli e derivati di bisfenoli con classificazione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armonizzata per specifiche proprietà pericolose in determinati materiali e oggetti destinati a venire a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contatto con i prodotti alimentari, che modifica il regolamento (UE) n. 10/2011 e che abroga il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regolamento (UE) 2018/213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trHeight w:val="470"/>
        </w:trPr>
        <w:tc>
          <w:tcPr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59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tcW w:w="283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Reg. UE 351/2025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tcW w:w="102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 w:before="100" w:beforeAutospacing="1"/>
              <w:ind/>
              <w:rPr/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Modifica del regolamento (UE) n. 10/2011 riguardante i materiali e gli oggetti di materia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plastica destinati a venire a contatto con i prodotti alimentari, del regolamento (UE) 2022/1616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relativo ai materiali e agli oggetti di materia plastica riciclata destinati a venire a contatto con i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prodotti alimentari e che abroga il regolamento (CE) n. 282/2008, e del regolamento (CE)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n. 2023/2006 sulle buone pratiche di fabbricazione dei materiali e degli oggetti destinati a venire a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contatto con i prodotti alimentari per quanto riguarda la materia plastica riciclata e altre questioni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relative al controllo della qualità e alla fabbricazione di materiali e oggetti di materia plastica destinati 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 venire a contatto con i prodotti alimentari</w:t>
            </w:r>
            <w:r/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rPr/>
      </w:pPr>
      <w:r/>
    </w:p>
    <w:sectPr>
      <w:headerReference w:type="default" r:id="rId9"/>
      <w:footerReference w:type="default" r:id="rId10"/>
      <w:footnotePr>
        <w:pos w:val="beneathText"/>
      </w:footnotePr>
      <w:endnotePr/>
      <w:type w:val="nextPage"/>
      <w:pgSz w:h="11905" w:orient="landscape" w:w="16837"/>
      <w:pgMar w:top="1134" w:right="2009" w:bottom="776" w:left="141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Lucida Sans Unicode">
    <w:panose1 w:val="020B0603030804020204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  <w:tblStyle w:val="752"/>
    </w:tblPr>
    <w:tblGrid>
      <w:gridCol w:w="2551"/>
      <w:gridCol w:w="8220"/>
      <w:gridCol w:w="3118"/>
    </w:tblGrid>
    <w:tr>
      <w:trPr>
        <w:trHeight w:val="1047"/>
      </w:trPr>
      <w:tc>
        <w:tcPr>
          <w:tcBorders/>
          <w:tcW w:w="2551" w:type="dxa"/>
          <w:vAlign w:val="center"/>
          <w:textDirection w:val="lrTb"/>
          <w:noWrap w:val="false"/>
        </w:tcPr>
        <w:p>
          <w:pPr>
            <w:suppressLineNumbers w:val="false"/>
            <w:pBdr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  <w:between w:val="nil" w:color="000000" w:sz="4" w:space="0"/>
            </w:pBdr>
            <w:spacing/>
            <w:ind/>
            <w:rPr>
              <w:rFonts w:asciiTheme="minorHAnsi" w:hAnsiTheme="minorHAnsi" w:cstheme="minorHAnsi"/>
              <w:sz w:val="22"/>
              <w:szCs w:val="22"/>
              <w:highlight w:val="none"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355199" cy="609391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808589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355199" cy="60939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06.71pt;height:47.98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</w:p>
      </w:tc>
      <w:tc>
        <w:tcPr>
          <w:tcBorders/>
          <w:tcW w:w="8220" w:type="dxa"/>
          <w:vAlign w:val="center"/>
          <w:textDirection w:val="lrTb"/>
          <w:noWrap w:val="false"/>
        </w:tcPr>
        <w:p>
          <w:pPr>
            <w:suppressLineNumbers w:val="false"/>
            <w:pBdr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  <w:between w:val="nil" w:color="000000" w:sz="4" w:space="0"/>
            </w:pBdr>
            <w:spacing/>
            <w:ind/>
            <w:jc w:val="center"/>
            <w:rPr>
              <w:rFonts w:asciiTheme="minorHAnsi" w:hAnsiTheme="minorHAnsi" w:cstheme="minorHAnsi"/>
              <w:b/>
              <w:bCs/>
              <w:sz w:val="40"/>
              <w:szCs w:val="40"/>
              <w:highlight w:val="none"/>
            </w:rPr>
          </w:pPr>
          <w:r>
            <w:rPr>
              <w:rFonts w:asciiTheme="minorHAnsi" w:hAnsiTheme="minorHAnsi" w:cstheme="minorHAnsi"/>
              <w:b/>
              <w:bCs/>
              <w:sz w:val="40"/>
              <w:szCs w:val="40"/>
              <w:highlight w:val="none"/>
            </w:rPr>
            <w:t xml:space="preserve">ELENCO DELLA NORMATIVA </w:t>
          </w:r>
          <w:r>
            <w:rPr>
              <w:rFonts w:asciiTheme="minorHAnsi" w:hAnsiTheme="minorHAnsi" w:cstheme="minorHAnsi"/>
              <w:b/>
              <w:bCs/>
              <w:sz w:val="40"/>
              <w:szCs w:val="40"/>
              <w:highlight w:val="none"/>
            </w:rPr>
            <w:t xml:space="preserve">DI </w:t>
          </w:r>
          <w:r>
            <w:rPr>
              <w:rFonts w:asciiTheme="minorHAnsi" w:hAnsiTheme="minorHAnsi" w:cstheme="minorHAnsi"/>
              <w:b/>
              <w:bCs/>
              <w:sz w:val="40"/>
              <w:szCs w:val="40"/>
              <w:highlight w:val="none"/>
            </w:rPr>
            <w:t xml:space="preserve">RIFERIMENTO</w:t>
          </w:r>
          <w:r>
            <w:rPr>
              <w:rFonts w:asciiTheme="minorHAnsi" w:hAnsiTheme="minorHAnsi" w:cstheme="minorHAnsi"/>
              <w:sz w:val="40"/>
              <w:szCs w:val="40"/>
              <w:highlight w:val="none"/>
            </w:rPr>
          </w:r>
          <w:r>
            <w:rPr>
              <w:rFonts w:asciiTheme="minorHAnsi" w:hAnsiTheme="minorHAnsi" w:cstheme="minorHAnsi"/>
              <w:b/>
              <w:bCs/>
              <w:sz w:val="40"/>
              <w:szCs w:val="40"/>
              <w:highlight w:val="none"/>
            </w:rPr>
          </w:r>
        </w:p>
      </w:tc>
      <w:tc>
        <w:tcPr>
          <w:tcBorders/>
          <w:tcW w:w="3118" w:type="dxa"/>
          <w:vAlign w:val="center"/>
          <w:textDirection w:val="lrTb"/>
          <w:noWrap w:val="false"/>
        </w:tcPr>
        <w:p>
          <w:pPr>
            <w:suppressLineNumbers w:val="false"/>
            <w:pBdr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  <w:between w:val="nil" w:color="000000" w:sz="4" w:space="0"/>
            </w:pBdr>
            <w:spacing/>
            <w:ind/>
            <w:rPr>
              <w:rFonts w:asciiTheme="minorHAnsi" w:hAnsiTheme="minorHAnsi" w:cstheme="minorHAnsi"/>
              <w:sz w:val="22"/>
              <w:szCs w:val="22"/>
              <w:highlight w:val="none"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  <w:t xml:space="preserve">D 05.02</w:t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</w:p>
        <w:p>
          <w:pPr>
            <w:suppressLineNumbers w:val="false"/>
            <w:pBdr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  <w:between w:val="nil" w:color="000000" w:sz="4" w:space="0"/>
            </w:pBdr>
            <w:spacing/>
            <w:ind/>
            <w:rPr>
              <w:rFonts w:asciiTheme="minorHAnsi" w:hAnsiTheme="minorHAnsi" w:cstheme="minorHAnsi"/>
              <w:sz w:val="22"/>
              <w:szCs w:val="22"/>
              <w:highlight w:val="none"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  <w:t xml:space="preserve">Rev.22 del 16-09-2025</w:t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</w:p>
        <w:p>
          <w:pPr>
            <w:suppressLineNumbers w:val="false"/>
            <w:pBdr>
              <w:top w:val="nil" w:color="000000" w:sz="4" w:space="0"/>
              <w:left w:val="nil" w:color="000000" w:sz="4" w:space="0"/>
              <w:bottom w:val="nil" w:color="000000" w:sz="4" w:space="0"/>
              <w:right w:val="nil" w:color="000000" w:sz="4" w:space="0"/>
              <w:between w:val="nil" w:color="000000" w:sz="4" w:space="0"/>
            </w:pBdr>
            <w:spacing/>
            <w:ind/>
            <w:rPr>
              <w:rFonts w:asciiTheme="minorHAnsi" w:hAnsiTheme="minorHAnsi" w:cstheme="minorHAnsi"/>
              <w:sz w:val="22"/>
              <w:szCs w:val="22"/>
              <w:highlight w:val="none"/>
            </w:rPr>
          </w:pP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  <w:t xml:space="preserve">Pag.</w:t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  <w:r>
            <w:rPr>
              <w:rFonts w:asciiTheme="minorHAnsi" w:hAnsiTheme="minorHAnsi" w:cstheme="minorHAnsi"/>
              <w:sz w:val="22"/>
              <w:szCs w:val="22"/>
              <w:highlight w:val="none"/>
            </w:rPr>
          </w:r>
        </w:p>
      </w:tc>
    </w:tr>
  </w:tbl>
  <w:p>
    <w:pPr>
      <w:pBdr/>
      <w:spacing/>
      <w:ind/>
      <w:rPr>
        <w:rFonts w:asciiTheme="minorHAnsi" w:hAnsiTheme="minorHAnsi" w:cstheme="minorHAnsi"/>
        <w:sz w:val="22"/>
        <w:szCs w:val="22"/>
        <w:highlight w:val="none"/>
      </w:rPr>
    </w:pPr>
    <w:r>
      <w:rPr>
        <w:rFonts w:asciiTheme="minorHAnsi" w:hAnsiTheme="minorHAnsi" w:cstheme="minorHAnsi"/>
        <w:sz w:val="22"/>
        <w:szCs w:val="22"/>
        <w:highlight w:val="none"/>
      </w:rPr>
    </w:r>
    <w:r>
      <w:rPr>
        <w:rFonts w:asciiTheme="minorHAnsi" w:hAnsiTheme="minorHAnsi" w:cstheme="minorHAnsi"/>
        <w:sz w:val="22"/>
        <w:szCs w:val="22"/>
        <w:highlight w:val="none"/>
      </w:rPr>
    </w:r>
    <w:r>
      <w:rPr>
        <w:rFonts w:asciiTheme="minorHAnsi" w:hAnsiTheme="minorHAnsi" w:cstheme="minorHAnsi"/>
        <w:sz w:val="22"/>
        <w:szCs w:val="22"/>
        <w:highlight w:val="none"/>
      </w:rPr>
    </w:r>
  </w:p>
  <w:p>
    <w:pPr>
      <w:pBdr/>
      <w:spacing/>
      <w:ind/>
      <w:rPr>
        <w:rFonts w:asciiTheme="minorHAnsi" w:hAnsiTheme="minorHAnsi" w:cstheme="minorHAnsi"/>
        <w:sz w:val="22"/>
        <w:szCs w:val="22"/>
        <w:highlight w:val="none"/>
      </w:rPr>
    </w:pP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  <w:t xml:space="preserve">L’azienda assicura l’aggiornamento normativo attraverso l’abbonamento a riviste di settore, gli organismi di controllo ufficiale, la consultazione di specifici siti internet, (newsletter di siti riguardanti il settore alimentare, GIFT, Gruppo Maurizi, </w:t>
    </w:r>
    <w:r>
      <w:rPr>
        <w:rFonts w:asciiTheme="minorHAnsi" w:hAnsiTheme="minorHAnsi" w:cstheme="minorHAnsi"/>
        <w:sz w:val="22"/>
        <w:szCs w:val="22"/>
      </w:rPr>
      <w:t xml:space="preserve">etc</w:t>
    </w:r>
    <w:r>
      <w:rPr>
        <w:rFonts w:asciiTheme="minorHAnsi" w:hAnsiTheme="minorHAnsi" w:cstheme="minorHAnsi"/>
        <w:sz w:val="22"/>
        <w:szCs w:val="22"/>
      </w:rPr>
      <w:t xml:space="preserve">, di IFS, BRC, FSSC 22000) e attraverso i consulenti esterni. </w:t>
    </w:r>
    <w:r>
      <w:rPr>
        <w:rFonts w:asciiTheme="minorHAnsi" w:hAnsiTheme="minorHAnsi" w:cstheme="minorHAnsi"/>
        <w:sz w:val="22"/>
        <w:szCs w:val="22"/>
        <w:highlight w:val="none"/>
      </w:rPr>
    </w:r>
    <w:r>
      <w:rPr>
        <w:rFonts w:asciiTheme="minorHAnsi" w:hAnsiTheme="minorHAnsi" w:cstheme="minorHAnsi"/>
        <w:sz w:val="22"/>
        <w:szCs w:val="22"/>
        <w:highlight w:val="none"/>
      </w:rPr>
    </w:r>
  </w:p>
  <w:p>
    <w:pPr>
      <w:pBdr>
        <w:bottom w:val="single" w:color="000000" w:sz="4" w:space="1"/>
      </w:pBdr>
      <w:spacing/>
      <w:ind/>
      <w:rPr>
        <w:rFonts w:asciiTheme="minorHAnsi" w:hAnsiTheme="minorHAnsi" w:cstheme="minorHAnsi"/>
        <w:sz w:val="22"/>
        <w:szCs w:val="22"/>
      </w:rPr>
    </w:pPr>
    <w:r>
      <w:rPr>
        <w:rFonts w:asciiTheme="minorHAnsi" w:hAnsiTheme="minorHAnsi" w:cstheme="minorHAnsi"/>
        <w:sz w:val="22"/>
        <w:szCs w:val="22"/>
      </w:rPr>
      <w:t xml:space="preserve">Si effettuata una verifica della normativa almeno ogni due mesi, indicando sul modulo la data di ultimo aggiornamento, solo se presenti nuovi norme o documenti di interesse.</w:t>
    </w:r>
    <w:r>
      <w:rPr>
        <w:rFonts w:asciiTheme="minorHAnsi" w:hAnsiTheme="minorHAnsi" w:cstheme="minorHAnsi"/>
        <w:sz w:val="22"/>
        <w:szCs w:val="22"/>
      </w:rPr>
    </w:r>
    <w:r>
      <w:rPr>
        <w:rFonts w:asciiTheme="minorHAnsi" w:hAnsiTheme="minorHAnsi" w:cstheme="minorHAnsi"/>
        <w:sz w:val="22"/>
        <w:szCs w:val="22"/>
      </w:rPr>
    </w:r>
  </w:p>
  <w:p>
    <w:pPr>
      <w:pStyle w:val="95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none"/>
      <w:pPr>
        <w:pBdr/>
        <w:tabs>
          <w:tab w:val="num" w:leader="none" w:pos="432"/>
        </w:tabs>
        <w:spacing/>
        <w:ind w:hanging="432" w:left="432"/>
      </w:pPr>
      <w:pStyle w:val="934"/>
      <w:rPr/>
      <w:start w:val="1"/>
      <w:suff w:val="tab"/>
    </w:lvl>
    <w:lvl w:ilvl="1">
      <w:isLgl w:val="false"/>
      <w:lvlJc w:val="left"/>
      <w:lvlText/>
      <w:numFmt w:val="none"/>
      <w:pPr>
        <w:pBdr/>
        <w:tabs>
          <w:tab w:val="num" w:leader="none" w:pos="576"/>
        </w:tabs>
        <w:spacing/>
        <w:ind w:hanging="576" w:left="576"/>
      </w:pPr>
      <w:pStyle w:val="935"/>
      <w:rPr/>
      <w:start w:val="1"/>
      <w:suff w:val="tab"/>
    </w:lvl>
    <w:lvl w:ilvl="2">
      <w:isLgl w:val="false"/>
      <w:lvlJc w:val="left"/>
      <w:lvlText/>
      <w:numFmt w:val="none"/>
      <w:pPr>
        <w:pBdr/>
        <w:tabs>
          <w:tab w:val="num" w:leader="none" w:pos="720"/>
        </w:tabs>
        <w:spacing/>
        <w:ind w:hanging="720" w:left="720"/>
      </w:pPr>
      <w:pStyle w:val="936"/>
      <w:rPr/>
      <w:start w:val="1"/>
      <w:suff w:val="tab"/>
    </w:lvl>
    <w:lvl w:ilvl="3">
      <w:isLgl w:val="false"/>
      <w:lvlJc w:val="left"/>
      <w:lvlText/>
      <w:numFmt w:val="none"/>
      <w:pPr>
        <w:pBdr/>
        <w:tabs>
          <w:tab w:val="num" w:leader="none" w:pos="864"/>
        </w:tabs>
        <w:spacing/>
        <w:ind w:hanging="864" w:left="864"/>
      </w:pPr>
      <w:rPr/>
      <w:start w:val="1"/>
      <w:suff w:val="tab"/>
    </w:lvl>
    <w:lvl w:ilvl="4">
      <w:isLgl w:val="false"/>
      <w:lvlJc w:val="left"/>
      <w:lvlText/>
      <w:numFmt w:val="none"/>
      <w:pPr>
        <w:pBdr/>
        <w:tabs>
          <w:tab w:val="num" w:leader="none" w:pos="1008"/>
        </w:tabs>
        <w:spacing/>
        <w:ind w:hanging="1008" w:left="1008"/>
      </w:pPr>
      <w:rPr/>
      <w:start w:val="1"/>
      <w:suff w:val="tab"/>
    </w:lvl>
    <w:lvl w:ilvl="5">
      <w:isLgl w:val="false"/>
      <w:lvlJc w:val="left"/>
      <w:lvlText/>
      <w:numFmt w:val="none"/>
      <w:pPr>
        <w:pBdr/>
        <w:tabs>
          <w:tab w:val="num" w:leader="none" w:pos="1152"/>
        </w:tabs>
        <w:spacing/>
        <w:ind w:hanging="1152" w:left="1152"/>
      </w:pPr>
      <w:rPr/>
      <w:start w:val="1"/>
      <w:suff w:val="tab"/>
    </w:lvl>
    <w:lvl w:ilvl="6">
      <w:isLgl w:val="false"/>
      <w:lvlJc w:val="left"/>
      <w:lvlText/>
      <w:numFmt w:val="none"/>
      <w:pPr>
        <w:pBdr/>
        <w:tabs>
          <w:tab w:val="num" w:leader="none" w:pos="1296"/>
        </w:tabs>
        <w:spacing/>
        <w:ind w:hanging="1296" w:left="1296"/>
      </w:pPr>
      <w:rPr/>
      <w:start w:val="1"/>
      <w:suff w:val="tab"/>
    </w:lvl>
    <w:lvl w:ilvl="7">
      <w:isLgl w:val="false"/>
      <w:lvlJc w:val="left"/>
      <w:lvlText/>
      <w:numFmt w:val="none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/>
      <w:numFmt w:val="none"/>
      <w:pPr>
        <w:pBdr/>
        <w:tabs>
          <w:tab w:val="num" w:leader="none" w:pos="1584"/>
        </w:tabs>
        <w:spacing/>
        <w:ind w:hanging="1584" w:left="1584"/>
      </w:pPr>
      <w:rPr/>
      <w:start w:val="1"/>
      <w:suff w:val="tab"/>
    </w:lvl>
  </w:abstractNum>
  <w:abstractNum w:abstractNumId="1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beneathText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2">
    <w:name w:val="Table Grid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Table Grid Light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1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2"/>
    <w:basedOn w:val="9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1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2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3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4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5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6"/>
    <w:basedOn w:val="9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1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2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3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4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5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6"/>
    <w:basedOn w:val="93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1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2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3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4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5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6"/>
    <w:basedOn w:val="9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8">
    <w:name w:val="Heading 4"/>
    <w:basedOn w:val="933"/>
    <w:next w:val="933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3"/>
    <w:next w:val="933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3"/>
    <w:next w:val="933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3"/>
    <w:next w:val="933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3"/>
    <w:next w:val="933"/>
    <w:link w:val="8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3"/>
    <w:next w:val="933"/>
    <w:link w:val="8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>
    <w:name w:val="Heading 1 Char"/>
    <w:basedOn w:val="937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5">
    <w:name w:val="Heading 2 Char"/>
    <w:basedOn w:val="937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6">
    <w:name w:val="Heading 3 Char"/>
    <w:basedOn w:val="937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7">
    <w:name w:val="Heading 4 Char"/>
    <w:basedOn w:val="937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8">
    <w:name w:val="Heading 5 Char"/>
    <w:basedOn w:val="937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9">
    <w:name w:val="Heading 6 Char"/>
    <w:basedOn w:val="937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0">
    <w:name w:val="Heading 7 Char"/>
    <w:basedOn w:val="937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1">
    <w:name w:val="Heading 8 Char"/>
    <w:basedOn w:val="937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9 Char"/>
    <w:basedOn w:val="937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3">
    <w:name w:val="Title"/>
    <w:basedOn w:val="933"/>
    <w:next w:val="933"/>
    <w:link w:val="8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4">
    <w:name w:val="Title Char"/>
    <w:basedOn w:val="937"/>
    <w:link w:val="8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5">
    <w:name w:val="Subtitle"/>
    <w:basedOn w:val="933"/>
    <w:next w:val="933"/>
    <w:link w:val="89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6">
    <w:name w:val="Subtitle Char"/>
    <w:basedOn w:val="937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7">
    <w:name w:val="Quote"/>
    <w:basedOn w:val="933"/>
    <w:next w:val="933"/>
    <w:link w:val="8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8">
    <w:name w:val="Quote Char"/>
    <w:basedOn w:val="937"/>
    <w:link w:val="8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9">
    <w:name w:val="List Paragraph"/>
    <w:basedOn w:val="933"/>
    <w:uiPriority w:val="34"/>
    <w:qFormat/>
    <w:pPr>
      <w:pBdr/>
      <w:spacing/>
      <w:ind w:left="720"/>
      <w:contextualSpacing w:val="true"/>
    </w:pPr>
  </w:style>
  <w:style w:type="character" w:styleId="900">
    <w:name w:val="Intense Emphasis"/>
    <w:basedOn w:val="9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3"/>
    <w:next w:val="933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937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9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4">
    <w:name w:val="No Spacing"/>
    <w:basedOn w:val="933"/>
    <w:uiPriority w:val="1"/>
    <w:qFormat/>
    <w:pPr>
      <w:pBdr/>
      <w:spacing w:after="0" w:line="240" w:lineRule="auto"/>
      <w:ind/>
    </w:pPr>
  </w:style>
  <w:style w:type="character" w:styleId="905">
    <w:name w:val="Subtle Emphasis"/>
    <w:basedOn w:val="9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Emphasis"/>
    <w:basedOn w:val="937"/>
    <w:uiPriority w:val="20"/>
    <w:qFormat/>
    <w:pPr>
      <w:pBdr/>
      <w:spacing/>
      <w:ind/>
    </w:pPr>
    <w:rPr>
      <w:i/>
      <w:iCs/>
    </w:rPr>
  </w:style>
  <w:style w:type="character" w:styleId="907">
    <w:name w:val="Strong"/>
    <w:basedOn w:val="937"/>
    <w:uiPriority w:val="22"/>
    <w:qFormat/>
    <w:pPr>
      <w:pBdr/>
      <w:spacing/>
      <w:ind/>
    </w:pPr>
    <w:rPr>
      <w:b/>
      <w:bCs/>
    </w:rPr>
  </w:style>
  <w:style w:type="character" w:styleId="908">
    <w:name w:val="Subtle Reference"/>
    <w:basedOn w:val="9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9">
    <w:name w:val="Book Title"/>
    <w:basedOn w:val="93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0">
    <w:name w:val="Header Char"/>
    <w:basedOn w:val="937"/>
    <w:link w:val="959"/>
    <w:uiPriority w:val="99"/>
    <w:pPr>
      <w:pBdr/>
      <w:spacing/>
      <w:ind/>
    </w:pPr>
  </w:style>
  <w:style w:type="character" w:styleId="911">
    <w:name w:val="Footer Char"/>
    <w:basedOn w:val="937"/>
    <w:link w:val="955"/>
    <w:uiPriority w:val="99"/>
    <w:pPr>
      <w:pBdr/>
      <w:spacing/>
      <w:ind/>
    </w:pPr>
  </w:style>
  <w:style w:type="paragraph" w:styleId="912">
    <w:name w:val="Caption"/>
    <w:basedOn w:val="933"/>
    <w:next w:val="9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3">
    <w:name w:val="footnote text"/>
    <w:basedOn w:val="933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7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endnote text"/>
    <w:basedOn w:val="933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Endnote Text Char"/>
    <w:basedOn w:val="937"/>
    <w:link w:val="916"/>
    <w:uiPriority w:val="99"/>
    <w:semiHidden/>
    <w:pPr>
      <w:pBdr/>
      <w:spacing/>
      <w:ind/>
    </w:pPr>
    <w:rPr>
      <w:sz w:val="20"/>
      <w:szCs w:val="20"/>
    </w:rPr>
  </w:style>
  <w:style w:type="character" w:styleId="918">
    <w:name w:val="endnote reference"/>
    <w:basedOn w:val="937"/>
    <w:uiPriority w:val="99"/>
    <w:semiHidden/>
    <w:unhideWhenUsed/>
    <w:pPr>
      <w:pBdr/>
      <w:spacing/>
      <w:ind/>
    </w:pPr>
    <w:rPr>
      <w:vertAlign w:val="superscript"/>
    </w:rPr>
  </w:style>
  <w:style w:type="character" w:styleId="919">
    <w:name w:val="Hyperlink"/>
    <w:basedOn w:val="93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0">
    <w:name w:val="FollowedHyperlink"/>
    <w:basedOn w:val="9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1">
    <w:name w:val="toc 1"/>
    <w:basedOn w:val="933"/>
    <w:next w:val="933"/>
    <w:uiPriority w:val="39"/>
    <w:unhideWhenUsed/>
    <w:pPr>
      <w:pBdr/>
      <w:spacing w:after="100"/>
      <w:ind/>
    </w:pPr>
  </w:style>
  <w:style w:type="paragraph" w:styleId="922">
    <w:name w:val="toc 2"/>
    <w:basedOn w:val="933"/>
    <w:next w:val="933"/>
    <w:uiPriority w:val="39"/>
    <w:unhideWhenUsed/>
    <w:pPr>
      <w:pBdr/>
      <w:spacing w:after="100"/>
      <w:ind w:left="220"/>
    </w:pPr>
  </w:style>
  <w:style w:type="paragraph" w:styleId="923">
    <w:name w:val="toc 3"/>
    <w:basedOn w:val="933"/>
    <w:next w:val="933"/>
    <w:uiPriority w:val="39"/>
    <w:unhideWhenUsed/>
    <w:pPr>
      <w:pBdr/>
      <w:spacing w:after="100"/>
      <w:ind w:left="440"/>
    </w:pPr>
  </w:style>
  <w:style w:type="paragraph" w:styleId="924">
    <w:name w:val="toc 4"/>
    <w:basedOn w:val="933"/>
    <w:next w:val="933"/>
    <w:uiPriority w:val="39"/>
    <w:unhideWhenUsed/>
    <w:pPr>
      <w:pBdr/>
      <w:spacing w:after="100"/>
      <w:ind w:left="660"/>
    </w:pPr>
  </w:style>
  <w:style w:type="paragraph" w:styleId="925">
    <w:name w:val="toc 5"/>
    <w:basedOn w:val="933"/>
    <w:next w:val="933"/>
    <w:uiPriority w:val="39"/>
    <w:unhideWhenUsed/>
    <w:pPr>
      <w:pBdr/>
      <w:spacing w:after="100"/>
      <w:ind w:left="880"/>
    </w:pPr>
  </w:style>
  <w:style w:type="paragraph" w:styleId="926">
    <w:name w:val="toc 6"/>
    <w:basedOn w:val="933"/>
    <w:next w:val="933"/>
    <w:uiPriority w:val="39"/>
    <w:unhideWhenUsed/>
    <w:pPr>
      <w:pBdr/>
      <w:spacing w:after="100"/>
      <w:ind w:left="1100"/>
    </w:pPr>
  </w:style>
  <w:style w:type="paragraph" w:styleId="927">
    <w:name w:val="toc 7"/>
    <w:basedOn w:val="933"/>
    <w:next w:val="933"/>
    <w:uiPriority w:val="39"/>
    <w:unhideWhenUsed/>
    <w:pPr>
      <w:pBdr/>
      <w:spacing w:after="100"/>
      <w:ind w:left="1320"/>
    </w:pPr>
  </w:style>
  <w:style w:type="paragraph" w:styleId="928">
    <w:name w:val="toc 8"/>
    <w:basedOn w:val="933"/>
    <w:next w:val="933"/>
    <w:uiPriority w:val="39"/>
    <w:unhideWhenUsed/>
    <w:pPr>
      <w:pBdr/>
      <w:spacing w:after="100"/>
      <w:ind w:left="1540"/>
    </w:pPr>
  </w:style>
  <w:style w:type="paragraph" w:styleId="929">
    <w:name w:val="toc 9"/>
    <w:basedOn w:val="933"/>
    <w:next w:val="933"/>
    <w:uiPriority w:val="39"/>
    <w:unhideWhenUsed/>
    <w:pPr>
      <w:pBdr/>
      <w:spacing w:after="100"/>
      <w:ind w:left="1760"/>
    </w:pPr>
  </w:style>
  <w:style w:type="character" w:styleId="930">
    <w:name w:val="Placeholder Text"/>
    <w:basedOn w:val="937"/>
    <w:uiPriority w:val="99"/>
    <w:semiHidden/>
    <w:pPr>
      <w:pBdr/>
      <w:spacing/>
      <w:ind/>
    </w:pPr>
    <w:rPr>
      <w:color w:val="666666"/>
    </w:rPr>
  </w:style>
  <w:style w:type="paragraph" w:styleId="931">
    <w:name w:val="TOC Heading"/>
    <w:uiPriority w:val="39"/>
    <w:unhideWhenUsed/>
    <w:pPr>
      <w:pBdr/>
      <w:spacing/>
      <w:ind/>
    </w:pPr>
  </w:style>
  <w:style w:type="paragraph" w:styleId="932">
    <w:name w:val="table of figures"/>
    <w:basedOn w:val="933"/>
    <w:next w:val="933"/>
    <w:uiPriority w:val="99"/>
    <w:unhideWhenUsed/>
    <w:pPr>
      <w:pBdr/>
      <w:spacing w:after="0" w:afterAutospacing="0"/>
      <w:ind/>
    </w:pPr>
  </w:style>
  <w:style w:type="paragraph" w:styleId="933" w:default="1">
    <w:name w:val="Normal"/>
    <w:qFormat/>
    <w:pPr>
      <w:pBdr/>
      <w:spacing/>
      <w:ind/>
    </w:pPr>
    <w:rPr>
      <w:sz w:val="24"/>
      <w:szCs w:val="24"/>
      <w:lang w:eastAsia="ar-SA"/>
    </w:rPr>
  </w:style>
  <w:style w:type="paragraph" w:styleId="934">
    <w:name w:val="Heading 1"/>
    <w:basedOn w:val="933"/>
    <w:next w:val="933"/>
    <w:qFormat/>
    <w:pPr>
      <w:keepNext w:val="true"/>
      <w:numPr>
        <w:numId w:val="1"/>
      </w:numPr>
      <w:pBdr/>
      <w:spacing/>
      <w:ind/>
      <w:jc w:val="center"/>
      <w:outlineLvl w:val="0"/>
    </w:pPr>
    <w:rPr>
      <w:b/>
      <w:sz w:val="17"/>
    </w:rPr>
  </w:style>
  <w:style w:type="paragraph" w:styleId="935">
    <w:name w:val="Heading 2"/>
    <w:basedOn w:val="933"/>
    <w:next w:val="933"/>
    <w:qFormat/>
    <w:pPr>
      <w:keepNext w:val="true"/>
      <w:numPr>
        <w:ilvl w:val="1"/>
        <w:numId w:val="1"/>
      </w:numPr>
      <w:pBdr/>
      <w:spacing/>
      <w:ind/>
      <w:outlineLvl w:val="1"/>
    </w:pPr>
    <w:rPr>
      <w:b/>
      <w:bCs/>
    </w:rPr>
  </w:style>
  <w:style w:type="paragraph" w:styleId="936">
    <w:name w:val="Heading 3"/>
    <w:basedOn w:val="933"/>
    <w:next w:val="933"/>
    <w:qFormat/>
    <w:pPr>
      <w:keepNext w:val="true"/>
      <w:numPr>
        <w:ilvl w:val="2"/>
        <w:numId w:val="1"/>
      </w:numPr>
      <w:pBdr/>
      <w:spacing/>
      <w:ind/>
      <w:jc w:val="center"/>
      <w:outlineLvl w:val="2"/>
    </w:pPr>
    <w:rPr>
      <w:b/>
      <w:bCs/>
    </w:rPr>
  </w:style>
  <w:style w:type="character" w:styleId="937" w:default="1">
    <w:name w:val="Default Paragraph Font"/>
    <w:uiPriority w:val="1"/>
    <w:semiHidden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9" w:default="1">
    <w:name w:val="No List"/>
    <w:uiPriority w:val="99"/>
    <w:semiHidden/>
    <w:unhideWhenUsed/>
    <w:pPr>
      <w:pBdr/>
      <w:spacing/>
      <w:ind/>
    </w:pPr>
  </w:style>
  <w:style w:type="character" w:styleId="940" w:customStyle="1">
    <w:name w:val="Car. predefinito paragrafo2"/>
    <w:pPr>
      <w:pBdr/>
      <w:spacing/>
      <w:ind/>
    </w:pPr>
  </w:style>
  <w:style w:type="character" w:styleId="941" w:customStyle="1">
    <w:name w:val="Absatz-Standardschriftart"/>
    <w:pPr>
      <w:pBdr/>
      <w:spacing/>
      <w:ind/>
    </w:pPr>
  </w:style>
  <w:style w:type="character" w:styleId="942" w:customStyle="1">
    <w:name w:val="WW-Absatz-Standardschriftart"/>
    <w:pPr>
      <w:pBdr/>
      <w:spacing/>
      <w:ind/>
    </w:pPr>
  </w:style>
  <w:style w:type="character" w:styleId="943" w:customStyle="1">
    <w:name w:val="WW-Absatz-Standardschriftart1"/>
    <w:pPr>
      <w:pBdr/>
      <w:spacing/>
      <w:ind/>
    </w:pPr>
  </w:style>
  <w:style w:type="character" w:styleId="944" w:customStyle="1">
    <w:name w:val="Car. predefinito paragrafo1"/>
    <w:pPr>
      <w:pBdr/>
      <w:spacing/>
      <w:ind/>
    </w:pPr>
  </w:style>
  <w:style w:type="character" w:styleId="945" w:customStyle="1">
    <w:name w:val="Carattere predefinito paragrafo"/>
    <w:pPr>
      <w:pBdr/>
      <w:spacing/>
      <w:ind/>
    </w:pPr>
  </w:style>
  <w:style w:type="paragraph" w:styleId="946" w:customStyle="1">
    <w:name w:val="Intestazione3"/>
    <w:basedOn w:val="933"/>
    <w:next w:val="94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947">
    <w:name w:val="Body Text"/>
    <w:basedOn w:val="933"/>
    <w:pPr>
      <w:pBdr/>
      <w:spacing w:after="120"/>
      <w:ind/>
    </w:pPr>
  </w:style>
  <w:style w:type="paragraph" w:styleId="948">
    <w:name w:val="List"/>
    <w:basedOn w:val="947"/>
    <w:pPr>
      <w:pBdr/>
      <w:spacing/>
      <w:ind/>
    </w:pPr>
    <w:rPr>
      <w:rFonts w:cs="Tahoma"/>
    </w:rPr>
  </w:style>
  <w:style w:type="paragraph" w:styleId="949" w:customStyle="1">
    <w:name w:val="Didascalia2"/>
    <w:basedOn w:val="93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50" w:customStyle="1">
    <w:name w:val="Indice"/>
    <w:basedOn w:val="933"/>
    <w:pPr>
      <w:suppressLineNumbers w:val="true"/>
      <w:pBdr/>
      <w:spacing/>
      <w:ind/>
    </w:pPr>
    <w:rPr>
      <w:rFonts w:cs="Tahoma"/>
    </w:rPr>
  </w:style>
  <w:style w:type="paragraph" w:styleId="951" w:customStyle="1">
    <w:name w:val="Intestazione2"/>
    <w:basedOn w:val="933"/>
    <w:next w:val="947"/>
    <w:pPr>
      <w:keepNext w:val="true"/>
      <w:pBdr/>
      <w:spacing w:after="120" w:before="240"/>
      <w:ind/>
    </w:pPr>
    <w:rPr>
      <w:rFonts w:ascii="Arial" w:hAnsi="Arial" w:eastAsia="Arial Unicode MS" w:cs="Tahoma"/>
      <w:sz w:val="28"/>
      <w:szCs w:val="28"/>
    </w:rPr>
  </w:style>
  <w:style w:type="paragraph" w:styleId="952" w:customStyle="1">
    <w:name w:val="Didascalia1"/>
    <w:basedOn w:val="933"/>
    <w:pPr>
      <w:suppressLineNumbers w:val="true"/>
      <w:pBdr/>
      <w:spacing w:after="120" w:before="120"/>
      <w:ind/>
    </w:pPr>
    <w:rPr>
      <w:rFonts w:cs="Tahoma"/>
      <w:i/>
      <w:iCs/>
    </w:rPr>
  </w:style>
  <w:style w:type="paragraph" w:styleId="953" w:customStyle="1">
    <w:name w:val="Dicitura"/>
    <w:basedOn w:val="933"/>
    <w:pPr>
      <w:suppressLineNumbers w:val="true"/>
      <w:pBdr/>
      <w:spacing w:after="120" w:before="120"/>
      <w:ind/>
    </w:pPr>
    <w:rPr>
      <w:rFonts w:cs="Tahoma"/>
      <w:i/>
      <w:iCs/>
      <w:sz w:val="20"/>
      <w:szCs w:val="20"/>
    </w:rPr>
  </w:style>
  <w:style w:type="paragraph" w:styleId="954" w:customStyle="1">
    <w:name w:val="Intestazione1"/>
    <w:basedOn w:val="933"/>
    <w:next w:val="947"/>
    <w:pPr>
      <w:keepNext w:val="true"/>
      <w:pBdr/>
      <w:spacing w:after="120" w:before="240"/>
      <w:ind/>
    </w:pPr>
    <w:rPr>
      <w:rFonts w:ascii="Arial" w:hAnsi="Arial" w:eastAsia="Lucida Sans Unicode" w:cs="Tahoma"/>
      <w:sz w:val="28"/>
      <w:szCs w:val="28"/>
    </w:rPr>
  </w:style>
  <w:style w:type="paragraph" w:styleId="955">
    <w:name w:val="Footer"/>
    <w:basedOn w:val="933"/>
    <w:link w:val="960"/>
    <w:pPr>
      <w:pBdr/>
      <w:tabs>
        <w:tab w:val="center" w:leader="none" w:pos="4819"/>
        <w:tab w:val="right" w:leader="none" w:pos="9638"/>
      </w:tabs>
      <w:spacing/>
      <w:ind/>
    </w:pPr>
    <w:rPr>
      <w:sz w:val="20"/>
      <w:szCs w:val="20"/>
    </w:rPr>
  </w:style>
  <w:style w:type="paragraph" w:styleId="956" w:customStyle="1">
    <w:name w:val="Contenuto tabella"/>
    <w:basedOn w:val="933"/>
    <w:pPr>
      <w:suppressLineNumbers w:val="true"/>
      <w:pBdr/>
      <w:spacing/>
      <w:ind/>
    </w:pPr>
  </w:style>
  <w:style w:type="paragraph" w:styleId="957" w:customStyle="1">
    <w:name w:val="Intestazione tabella"/>
    <w:basedOn w:val="956"/>
    <w:pPr>
      <w:pBdr/>
      <w:spacing/>
      <w:ind/>
      <w:jc w:val="center"/>
    </w:pPr>
    <w:rPr>
      <w:b/>
      <w:bCs/>
      <w:i/>
      <w:iCs/>
    </w:rPr>
  </w:style>
  <w:style w:type="paragraph" w:styleId="958" w:customStyle="1">
    <w:name w:val="Contenuto cornice"/>
    <w:basedOn w:val="947"/>
    <w:pPr>
      <w:pBdr/>
      <w:spacing/>
      <w:ind/>
    </w:pPr>
  </w:style>
  <w:style w:type="paragraph" w:styleId="959">
    <w:name w:val="Header"/>
    <w:basedOn w:val="933"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960" w:customStyle="1">
    <w:name w:val="Piè di pagina Carattere"/>
    <w:link w:val="955"/>
    <w:pPr>
      <w:pBdr/>
      <w:spacing/>
      <w:ind/>
    </w:pPr>
    <w:rPr>
      <w:lang w:eastAsia="ar-SA"/>
    </w:rPr>
  </w:style>
  <w:style w:type="character" w:styleId="961">
    <w:name w:val="page number"/>
    <w:basedOn w:val="937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</dc:title>
  <dc:creator>Francesco San Martino</dc:creator>
  <cp:keywords>ISO 9001</cp:keywords>
  <cp:lastModifiedBy>Francesco Scavello</cp:lastModifiedBy>
  <cp:revision>9</cp:revision>
  <dcterms:created xsi:type="dcterms:W3CDTF">2024-05-21T14:24:00Z</dcterms:created>
  <dcterms:modified xsi:type="dcterms:W3CDTF">2025-11-10T12:08:35Z</dcterms:modified>
</cp:coreProperties>
</file>