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45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2268"/>
        <w:gridCol w:w="7371"/>
        <w:gridCol w:w="3345"/>
      </w:tblGrid>
      <w:tr>
        <w:trPr>
          <w:tblHeader/>
        </w:trPr>
        <w:tc>
          <w:tcPr>
            <w:shd w:val="clear" w:color="auto" w:fill="auto"/>
            <w:tcBorders/>
            <w:tcW w:w="1589" w:type="dxa"/>
            <w:vAlign w:val="center"/>
            <w:textDirection w:val="lrTb"/>
            <w:noWrap w:val="false"/>
          </w:tcPr>
          <w:p>
            <w:pPr>
              <w:pBdr/>
              <w:spacing/>
              <w:ind w:hanging="34" w:left="34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LOCALIZZAZIONE</w:t>
            </w:r>
            <w:r>
              <w:rPr>
                <w:rFonts w:ascii="Verdana" w:hAnsi="Verdana"/>
                <w:b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RISCHIO</w:t>
            </w:r>
            <w:r>
              <w:rPr>
                <w:rFonts w:ascii="Verdana" w:hAnsi="Verdana"/>
                <w:b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AZIONI PREVENTIVE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CONTROLLO</w:t>
            </w:r>
            <w:r>
              <w:rPr>
                <w:rFonts w:ascii="Verdana" w:hAnsi="Verdana"/>
                <w:b/>
              </w:rPr>
            </w:r>
          </w:p>
        </w:tc>
      </w:tr>
      <w:tr>
        <w:trPr>
          <w:trHeight w:val="1638"/>
        </w:trPr>
        <w:tc>
          <w:tcPr>
            <w:shd w:val="clear" w:color="auto" w:fill="auto"/>
            <w:tcBorders/>
            <w:tcW w:w="15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b/>
                <w:bCs/>
                <w:color w:val="000000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SPAZIO ESTERNO</w:t>
            </w:r>
            <w:r>
              <w:rPr>
                <w:rFonts w:ascii="Verdana" w:hAnsi="Verdana" w:cs="Arial"/>
                <w:b/>
                <w:bCs/>
                <w:color w:val="000000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 w:cs="Arial"/>
                <w:b/>
                <w:bCs/>
                <w:color w:val="000000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E INTERNO</w:t>
            </w:r>
            <w:r>
              <w:rPr>
                <w:rFonts w:ascii="Verdana" w:hAnsi="Verdana" w:cs="Arial"/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Possibilità che un malintenzionato possa introdursi indisturbato dal perimetro e danneggiare il prodotto.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struttura è dotata di un perimetro munito di recinzione metallica.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Nelle ore notturne il perimetro risulta adeguatamente illuminato.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Controllo </w:t>
            </w:r>
            <w:r>
              <w:rPr>
                <w:rFonts w:ascii="Arial" w:hAnsi="Arial" w:cs="Arial"/>
              </w:rPr>
              <w:t xml:space="preserve">mensile </w:t>
            </w:r>
            <w:r>
              <w:rPr>
                <w:rFonts w:ascii="Arial" w:hAnsi="Arial" w:cs="Arial"/>
              </w:rPr>
              <w:t xml:space="preserve">dell’integrità della recinzione 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(M</w:t>
            </w:r>
            <w:r>
              <w:rPr>
                <w:rFonts w:ascii="Arial" w:hAnsi="Arial" w:cs="Arial"/>
              </w:rPr>
              <w:t xml:space="preserve"> 01.01 F</w:t>
            </w:r>
            <w:r>
              <w:rPr>
                <w:rFonts w:ascii="Arial" w:hAnsi="Arial" w:cs="Arial"/>
              </w:rPr>
              <w:t xml:space="preserve"> - M 09.04</w:t>
            </w:r>
            <w:r>
              <w:rPr>
                <w:rFonts w:ascii="Arial" w:hAnsi="Arial" w:cs="Arial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Verbale di prova della procedura di Food defense - Annuale </w:t>
            </w:r>
            <w:r>
              <w:rPr>
                <w:rFonts w:ascii="Arial" w:hAnsi="Arial" w:cs="Arial"/>
              </w:rPr>
              <w:t xml:space="preserve">M 09.05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Possibilità che chiunque possa accedere a qualsiasi area e/o informazione nello stabilimento senza alcun controllo.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Sono istituite delle procedure di registrazione degli orari di ingresso e di uscita dei visitatori, previa esibizione di un documento di riconoscimento e dopo aver fornito una valida motivazione per l’incontro</w:t>
            </w:r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Tutte le ditte che svolgono il proprio lavoro all’interno dei locali dell’azienda (</w:t>
            </w:r>
            <w:r>
              <w:rPr>
                <w:rFonts w:ascii="Arial" w:hAnsi="Arial" w:cs="Arial"/>
              </w:rPr>
              <w:t xml:space="preserve">pest</w:t>
            </w:r>
            <w:r>
              <w:rPr>
                <w:rFonts w:ascii="Arial" w:hAnsi="Arial" w:cs="Arial"/>
              </w:rPr>
              <w:t xml:space="preserve"> control-manutenzioni) sono soggette a supervisione ed accompagnamento da parte di un membro dello staff.</w:t>
            </w:r>
            <w:r>
              <w:rPr>
                <w:rFonts w:ascii="Arial" w:hAnsi="Arial" w:cs="Arial"/>
              </w:rPr>
              <w:t xml:space="preserve"> Gli ingressi sono monitorati da telecamere.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Registro delle presenze</w:t>
            </w:r>
            <w:r>
              <w:rPr>
                <w:rFonts w:ascii="Arial" w:hAnsi="Arial" w:cs="Arial"/>
              </w:rPr>
              <w:t xml:space="preserve"> (M 09.15)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Possibilità che gli autisti addetti alle merci in ingresso e/o in uscita possano circolare liberamente ed essere liberi di effettuare manomissioni.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 gli autisti</w:t>
            </w:r>
            <w:r>
              <w:rPr>
                <w:rFonts w:ascii="Arial" w:hAnsi="Arial" w:cs="Arial"/>
              </w:rPr>
              <w:t xml:space="preserve"> possono entrare in azienda solo dopo essere stati autorizzati e autenticati mediante videocitofono dal personale.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Gli autisti </w:t>
            </w:r>
            <w:r>
              <w:rPr>
                <w:rFonts w:ascii="Arial" w:hAnsi="Arial" w:cs="Arial"/>
              </w:rPr>
              <w:t xml:space="preserve">addetti allo scarico materie prime possono sostare solo nelle aree di accettazione merce monitorate a vista dall’addetto all’accettazione, o al di fuori del perimetro aziendale</w:t>
            </w:r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Tutte le operazioni di scarico sono supervisionate da un responsabile aziendale che stabilisce l’ordine di scarico.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Quando richiesto dal cliente</w:t>
            </w:r>
            <w:r>
              <w:rPr>
                <w:rFonts w:ascii="Arial" w:hAnsi="Arial" w:cs="Arial"/>
              </w:rPr>
              <w:t xml:space="preserve">/paese di destinazione, sono applicati dei sigilli numerati su ciascuna unità di vendita e registrati in un apposito registro. Anche l’automezzo è sottoposto all’applicazione di un sigillo numerato il cui valore è riportato sul documento di accompagnamento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 i prodotti in cisterna possono essere caricati solo se l’automezzo arriva in loco con i sigilli integri e previa apposizione di sigilli numerati a carico completato.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Controllo da parte del personale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Introduzione nello stabilimento di oggetti pericolosi/armi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Tutte le divise sono riposte all’interno di appositi armadietti e ispezionabili all’occorrenza.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È</w:t>
            </w:r>
            <w:r>
              <w:rPr>
                <w:rFonts w:ascii="Arial" w:hAnsi="Arial" w:cs="Arial"/>
              </w:rPr>
              <w:t xml:space="preserve"> fatto esplicito divieto di introdurre oggetti personali, alimenti, medicinali all’interno dello stabilimento.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Verifica ispettiva interna</w:t>
            </w:r>
            <w:r>
              <w:rPr>
                <w:rFonts w:ascii="Arial" w:hAnsi="Arial" w:cs="Arial"/>
              </w:rPr>
              <w:t xml:space="preserve"> e supervisione da parte dei responsabili di reparto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Possibilità che una contaminazione intenzionale possa aver luogo in qualsiasi fase del processo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La natura del prodotto, ottenuto dalla trasformazione esclusivamente di agrumi, e la tipologia di processo, che ha luogo per la quasi totalità in impianti chiusi, ne rende la contaminazione intenzionale non di facile realizzazione</w:t>
            </w:r>
            <w:r>
              <w:rPr>
                <w:rFonts w:ascii="Arial" w:hAnsi="Arial" w:cs="Arial"/>
              </w:rPr>
              <w:t xml:space="preserve">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L</w:t>
            </w:r>
            <w:r>
              <w:rPr>
                <w:rFonts w:ascii="Arial" w:hAnsi="Arial" w:cs="Arial"/>
              </w:rPr>
              <w:t xml:space="preserve">e attività di controllo chimico fisico e microbiologico di ciascun batch, nonché il controllo organolettico a più fasi rappresentano un’ulteriore garanzia di tutela alimentare.</w:t>
            </w:r>
            <w:r>
              <w:rPr>
                <w:rFonts w:ascii="Verdana" w:hAnsi="Verdana" w:cs="Arial"/>
                <w:color w:val="000000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200"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Rischi</w:t>
            </w:r>
            <w:r>
              <w:rPr>
                <w:rFonts w:ascii="Arial" w:hAnsi="Arial" w:cs="Arial"/>
              </w:rPr>
              <w:t xml:space="preserve"> derivanti da un’inadeguata gestione delle crisi</w:t>
            </w:r>
            <w:r>
              <w:rPr>
                <w:rFonts w:ascii="Arial" w:hAnsi="Arial" w:cs="Arial"/>
              </w:rPr>
              <w:t xml:space="preserve">/emergenze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relazione ad eventuali crisi, è stato istituito un apposito Team e nominato un responsabile tutela alimentare e gestione crisi</w:t>
            </w:r>
            <w:r>
              <w:rPr>
                <w:rFonts w:ascii="Arial" w:hAnsi="Arial" w:cs="Arial"/>
              </w:rPr>
              <w:t xml:space="preserve">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Uno scenario delle possibili situazioni di emergenza che potrebbero verosimilmente presentarsi si riscontra nell’apposita procedura di sicurezza che fornisce linee guida e recapiti utili per la corretta gestione delle emergenze.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Es. ritiro</w:t>
            </w:r>
            <w:r>
              <w:rPr>
                <w:rFonts w:ascii="Arial" w:hAnsi="Arial" w:cs="Arial"/>
              </w:rPr>
              <w:t xml:space="preserve"> del prodotto </w:t>
            </w:r>
            <w:r>
              <w:rPr>
                <w:rFonts w:ascii="Arial" w:hAnsi="Arial" w:cs="Arial"/>
              </w:rPr>
              <w:t xml:space="preserve">(IL 08.01)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b/>
                <w:bCs/>
                <w:color w:val="000000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MATERIE PRIME</w:t>
            </w:r>
            <w:r>
              <w:rPr>
                <w:rFonts w:ascii="Verdana" w:hAnsi="Verdana" w:cs="Arial"/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Possibilità che possa aver luogo una contaminazione intenzionale mediante le fonti di approvvigionamento impiegate.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L’approvvigionamento della materia </w:t>
            </w:r>
            <w:r>
              <w:rPr>
                <w:rFonts w:ascii="Arial" w:hAnsi="Arial" w:cs="Arial"/>
              </w:rPr>
              <w:t xml:space="preserve">prima è affidata interamente</w:t>
            </w:r>
            <w:r>
              <w:rPr>
                <w:rFonts w:ascii="Arial" w:hAnsi="Arial" w:cs="Arial"/>
              </w:rPr>
              <w:t xml:space="preserve"> a fornitori locali </w:t>
            </w:r>
            <w:r>
              <w:rPr>
                <w:rFonts w:ascii="Arial" w:hAnsi="Arial" w:cs="Arial"/>
              </w:rPr>
              <w:t xml:space="preserve">qualificati, </w:t>
            </w:r>
            <w:r>
              <w:rPr>
                <w:rFonts w:ascii="Arial" w:hAnsi="Arial" w:cs="Arial"/>
              </w:rPr>
              <w:t xml:space="preserve">con i quali intercorre un pluriennale rapporto di reciproca e proficua collaborazione.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Ogni batch di materia prima è ispezionato per </w:t>
            </w:r>
            <w:r>
              <w:rPr>
                <w:rFonts w:ascii="Arial" w:hAnsi="Arial" w:cs="Arial"/>
              </w:rPr>
              <w:t xml:space="preserve">il </w:t>
            </w:r>
            <w:r>
              <w:rPr>
                <w:rFonts w:ascii="Arial" w:hAnsi="Arial" w:cs="Arial"/>
              </w:rPr>
              <w:t xml:space="preserve">controllo di conformità.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L’approvvigionamento idrico è affidato alla rete urbana. L’acqua fornita è soggetta a controlli di potabilità, sia da parte del fornitore che internamente. I serbatoi dell’acqua sono in posizione definita e non facilmente accessibili.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 vengono utilizzati ingredienti minori nelle formulazioni dei prodotti.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Gli imballi sono stoccati all’interno di aree definite il cui accesso è consentito solo al personale deputato all’approntamento dei materiali.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Controlli in ogni fase di approvvigionamento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(D10.08</w:t>
            </w:r>
            <w:r>
              <w:rPr>
                <w:rFonts w:ascii="Arial" w:hAnsi="Arial" w:cs="Arial"/>
              </w:rPr>
              <w:t xml:space="preserve"> - </w:t>
            </w:r>
            <w:r>
              <w:rPr>
                <w:rFonts w:ascii="Arial" w:hAnsi="Arial" w:cs="Arial"/>
              </w:rPr>
              <w:t xml:space="preserve">D10.05</w:t>
            </w:r>
            <w:r>
              <w:rPr>
                <w:rFonts w:ascii="Arial" w:hAnsi="Arial" w:cs="Arial"/>
              </w:rPr>
              <w:t xml:space="preserve"> - M 09.14</w:t>
            </w:r>
            <w:r>
              <w:rPr>
                <w:rFonts w:ascii="Arial" w:hAnsi="Arial" w:cs="Arial"/>
              </w:rPr>
              <w:t xml:space="preserve">)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Controllo microbiologico dell’acqua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b/>
                <w:bCs/>
                <w:color w:val="000000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PERSONALE</w:t>
            </w:r>
            <w:r>
              <w:rPr>
                <w:rFonts w:ascii="Verdana" w:hAnsi="Verdana" w:cs="Arial"/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Assunzione di </w:t>
            </w:r>
            <w:r>
              <w:rPr>
                <w:rFonts w:ascii="Arial" w:hAnsi="Arial" w:cs="Arial"/>
              </w:rPr>
              <w:t xml:space="preserve">personale </w:t>
            </w:r>
            <w:r>
              <w:rPr>
                <w:rFonts w:ascii="Arial" w:hAnsi="Arial" w:cs="Arial"/>
              </w:rPr>
              <w:t xml:space="preserve">malintenzionat</w:t>
            </w:r>
            <w:r>
              <w:rPr>
                <w:rFonts w:ascii="Arial" w:hAnsi="Arial" w:cs="Arial"/>
              </w:rPr>
              <w:t xml:space="preserve">o o</w:t>
            </w:r>
            <w:r>
              <w:rPr>
                <w:rFonts w:ascii="Arial" w:hAnsi="Arial" w:cs="Arial"/>
              </w:rPr>
              <w:t xml:space="preserve"> criminali.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 w:left="3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Tutto il personale assunto deve fornire adeguata documentazione identificativa (C.ID.) e dietro presentazione di adeguate referenze.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Arial" w:hAnsi="Arial" w:cs="Arial"/>
              </w:rPr>
              <w:t xml:space="preserve">Di norma, il nuovo personale assunto no</w:t>
            </w:r>
            <w:r>
              <w:rPr>
                <w:rFonts w:ascii="Arial" w:hAnsi="Arial" w:cs="Arial"/>
              </w:rPr>
              <w:t xml:space="preserve">n viene selezionato mediante inserzioni pubbliche ma mediante conoscenza diretta. Tutto il personale operante in posizioni sensibili rispetto alla tutela alimentare (confezionamento/pastorizzazione) è assunto con un contratto diretto a tempo indeterminato.</w:t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  <w:p>
            <w:pPr>
              <w:pBdr/>
              <w:spacing/>
              <w:ind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  <w:p>
            <w:pPr>
              <w:pBdr/>
              <w:spacing/>
              <w:ind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  <w:t xml:space="preserve">Documentazione di assunzione</w:t>
            </w:r>
            <w:r>
              <w:rPr>
                <w:rFonts w:ascii="Verdana" w:hAnsi="Verdana" w:cs="Arial"/>
                <w:color w:val="000000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Rischio di contaminazione del prodotto da parte del personale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Tutto il personale è soggetto a formazione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Verbali di formazione e verifica di efficacia della formazione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(M 18.01)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auto"/>
            <w:tcBorders/>
            <w:tcW w:w="158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</w:r>
            <w:r>
              <w:rPr>
                <w:rFonts w:ascii="Verdana" w:hAnsi="Verdana" w:cs="Arial"/>
                <w:color w:val="000000"/>
              </w:rPr>
            </w:r>
          </w:p>
        </w:tc>
        <w:tc>
          <w:tcPr>
            <w:shd w:val="clear" w:color="auto" w:fill="auto"/>
            <w:tcBorders/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</w:t>
            </w:r>
            <w:r>
              <w:rPr>
                <w:rFonts w:ascii="Arial" w:hAnsi="Arial" w:cs="Arial"/>
              </w:rPr>
              <w:t xml:space="preserve">ossibile rischio di contaminazione del prodotto per il passaggio del personale, dopo il cambio della divisa, attraverso le aree esterne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</w:t>
            </w:r>
            <w:r>
              <w:rPr>
                <w:rFonts w:ascii="Arial" w:hAnsi="Arial" w:cs="Arial"/>
              </w:rPr>
              <w:t xml:space="preserve">’area in cui sorge lo stabilimento </w:t>
            </w:r>
            <w:r>
              <w:rPr>
                <w:rFonts w:ascii="Arial" w:hAnsi="Arial" w:cs="Arial"/>
              </w:rPr>
              <w:t xml:space="preserve">è</w:t>
            </w:r>
            <w:r>
              <w:rPr>
                <w:rFonts w:ascii="Arial" w:hAnsi="Arial" w:cs="Arial"/>
              </w:rPr>
              <w:t xml:space="preserve"> lontana da centri abitati o altri siti di produzione.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</w:t>
            </w:r>
            <w:r>
              <w:rPr>
                <w:rFonts w:ascii="Arial" w:hAnsi="Arial" w:cs="Arial"/>
              </w:rPr>
              <w:t xml:space="preserve">l percorso del personale </w:t>
            </w:r>
            <w:r>
              <w:rPr>
                <w:rFonts w:ascii="Arial" w:hAnsi="Arial" w:cs="Arial"/>
              </w:rPr>
              <w:t xml:space="preserve">è</w:t>
            </w:r>
            <w:r>
              <w:rPr>
                <w:rFonts w:ascii="Arial" w:hAnsi="Arial" w:cs="Arial"/>
              </w:rPr>
              <w:t xml:space="preserve"> segnato da apposite strisce.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</w:t>
            </w:r>
            <w:r>
              <w:rPr>
                <w:rFonts w:ascii="Arial" w:hAnsi="Arial" w:cs="Arial"/>
              </w:rPr>
              <w:t xml:space="preserve">’accesso al magazzino imballaggi e additivi/coadiuvanti/sostanze chimiche </w:t>
            </w:r>
            <w:r>
              <w:rPr>
                <w:rFonts w:ascii="Arial" w:hAnsi="Arial" w:cs="Arial"/>
              </w:rPr>
              <w:t xml:space="preserve">è </w:t>
            </w:r>
            <w:r>
              <w:rPr>
                <w:rFonts w:ascii="Arial" w:hAnsi="Arial" w:cs="Arial"/>
              </w:rPr>
              <w:t xml:space="preserve">protetto da una grande tettoia.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</w:t>
            </w:r>
            <w:r>
              <w:rPr>
                <w:rFonts w:ascii="Arial" w:hAnsi="Arial" w:cs="Arial"/>
              </w:rPr>
              <w:t xml:space="preserve">l prodotto non subisce manipolazioni da parte del personale, tale da poter causare una contaminazione a causa degli indumenti indossati.</w:t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prodotto è soggetto a controlli di laboratorio nelle diverse fasi di lavorazione.</w:t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<wp:simplePos x="0" y="0"/>
                <wp:positionH relativeFrom="column">
                  <wp:posOffset>7774305</wp:posOffset>
                </wp:positionH>
                <wp:positionV relativeFrom="paragraph">
                  <wp:posOffset>3894</wp:posOffset>
                </wp:positionV>
                <wp:extent cx="1695450" cy="723900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1196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695449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096;o:allowoverlap:true;o:allowincell:true;mso-position-horizontal-relative:text;margin-left:612.15pt;mso-position-horizontal:absolute;mso-position-vertical-relative:text;margin-top:0.31pt;mso-position-vertical:absolute;width:133.50pt;height:57.00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Verdana" w:hAnsi="Verdana"/>
        </w:rPr>
        <w:t xml:space="preserve">Barcellona Pozzo di Gotto,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04/11/202</w:t>
      </w:r>
      <w:r>
        <w:rPr>
          <w:rFonts w:ascii="Verdana" w:hAnsi="Verdana"/>
        </w:rPr>
        <w:t xml:space="preserve">5               </w:t>
      </w:r>
      <w:r>
        <w:rPr>
          <w:rFonts w:ascii="Verdana" w:hAnsi="Verdana"/>
        </w:rPr>
        <w:t xml:space="preserve">                                                                                                   Firma</w:t>
      </w:r>
      <w:r>
        <w:rPr>
          <w:rFonts w:ascii="Verdana" w:hAnsi="Verdana"/>
        </w:rPr>
        <w:t xml:space="preserve">                                                                                        </w:t>
      </w:r>
      <w:r>
        <w:rPr>
          <w:rFonts w:ascii="Verdana" w:hAnsi="Verdana"/>
        </w:rPr>
      </w:r>
    </w:p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Verdana" w:hAnsi="Verdana"/>
        </w:rPr>
      </w:r>
    </w:p>
    <w:p>
      <w:pPr>
        <w:pBdr/>
        <w:tabs>
          <w:tab w:val="left" w:leader="none" w:pos="10566"/>
        </w:tabs>
        <w:spacing/>
        <w:ind/>
        <w:jc w:val="left"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  <w:tab/>
      </w:r>
      <w:r>
        <w:rPr>
          <w:rFonts w:ascii="Verdana" w:hAnsi="Verdana"/>
        </w:rPr>
      </w:r>
    </w:p>
    <w:sectPr>
      <w:headerReference w:type="default" r:id="rId9"/>
      <w:headerReference w:type="first" r:id="rId10"/>
      <w:footerReference w:type="first" r:id="rId11"/>
      <w:footnotePr>
        <w:pos w:val="beneathText"/>
      </w:footnotePr>
      <w:endnotePr/>
      <w:type w:val="nextPage"/>
      <w:pgSz w:h="11905" w:orient="landscape" w:w="16837"/>
      <w:pgMar w:top="1701" w:right="1673" w:bottom="1134" w:left="851" w:header="56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9269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>
      <w:trPr/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15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09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2014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31"/>
            <w:pBdr/>
            <w:tabs>
              <w:tab w:val="left" w:leader="none" w:pos="1124"/>
              <w:tab w:val="clear" w:leader="none" w:pos="4819"/>
              <w:tab w:val="clear" w:leader="none" w:pos="9638"/>
            </w:tabs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 xml:space="preserve">campionamento prodotti biologici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  <w:tr>
      <w:trPr/>
      <w:tc>
        <w:tcPr>
          <w:tcBorders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Rev.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Data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Motivo della revisione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Emesso da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Approvato da</w:t>
          </w:r>
          <w:r>
            <w:rPr>
              <w:rFonts w:ascii="Verdana" w:hAnsi="Verdana"/>
            </w:rPr>
          </w:r>
        </w:p>
      </w:tc>
    </w:tr>
  </w:tbl>
  <w:p>
    <w:pPr>
      <w:pStyle w:val="10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039"/>
    </w:tblPr>
    <w:tblGrid>
      <w:gridCol w:w="1984"/>
      <w:gridCol w:w="9780"/>
      <w:gridCol w:w="2550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984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7793292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9780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jc w:val="center"/>
            <w:rPr>
              <w:rFonts w:ascii="Verdana" w:hAnsi="Verdana" w:cs="Verdana"/>
              <w:b/>
              <w:bCs/>
            </w:rPr>
          </w:pPr>
          <w:r>
            <w:rPr>
              <w:rFonts w:ascii="Verdana" w:hAnsi="Verdana" w:eastAsia="Verdana" w:cs="Verdana"/>
              <w:b/>
              <w:bCs/>
              <w:sz w:val="24"/>
              <w:szCs w:val="24"/>
            </w:rPr>
            <w:t xml:space="preserve">ANALISI DEI RISCHI LEGATI ALLA PROTEZIONE DEL PRODOTTO (FOOD DEFENSE)</w:t>
          </w:r>
          <w:r>
            <w:rPr>
              <w:rFonts w:ascii="Verdana" w:hAnsi="Verdana" w:eastAsia="Verdana" w:cs="Verdana"/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50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D 09.04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103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103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</w:tc>
    </w:tr>
  </w:tbl>
  <w:p>
    <w:pPr>
      <w:pStyle w:val="103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0" w:type="auto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1896"/>
      <w:gridCol w:w="5545"/>
      <w:gridCol w:w="1741"/>
    </w:tblGrid>
    <w:tr>
      <w:trPr>
        <w:trHeight w:val="8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s.r.l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.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545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 xml:space="preserve">CONTROLLO DEL PROCESSO DI TRASFORMAZIONE AGRUMI</w:t>
          </w:r>
          <w:r>
            <w:rPr>
              <w:rFonts w:ascii="Verdana" w:hAnsi="Verdana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41" w:type="dxa"/>
          <w:vAlign w:val="center"/>
          <w:textDirection w:val="lrTb"/>
          <w:noWrap w:val="false"/>
        </w:tcPr>
        <w:p>
          <w:pPr>
            <w:pStyle w:val="10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</w:t>
          </w:r>
          <w:r>
            <w:rPr>
              <w:rFonts w:ascii="Verdana" w:hAnsi="Verdana"/>
              <w:bCs/>
              <w:sz w:val="24"/>
              <w:szCs w:val="24"/>
            </w:rPr>
            <w:t xml:space="preserve"> </w:t>
          </w:r>
          <w:r>
            <w:rPr>
              <w:rFonts w:ascii="Verdana" w:hAnsi="Verdana"/>
              <w:bCs/>
              <w:sz w:val="24"/>
              <w:szCs w:val="24"/>
            </w:rPr>
            <w:t xml:space="preserve">09.01</w:t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0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Pag. </w:t>
          </w:r>
          <w:r>
            <w:rPr>
              <w:rFonts w:ascii="Verdana" w:hAnsi="Verdana"/>
              <w:bCs/>
              <w:sz w:val="24"/>
              <w:szCs w:val="24"/>
            </w:rPr>
            <w:fldChar w:fldCharType="begin"/>
          </w:r>
          <w:r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sz w:val="24"/>
              <w:szCs w:val="24"/>
            </w:rPr>
            <w:t xml:space="preserve">1</w:t>
          </w:r>
          <w:r>
            <w:rPr>
              <w:rFonts w:ascii="Verdana" w:hAnsi="Verdana"/>
              <w:bCs/>
              <w:sz w:val="24"/>
              <w:szCs w:val="24"/>
            </w:rPr>
            <w:fldChar w:fldCharType="end"/>
          </w:r>
          <w:r>
            <w:rPr>
              <w:rFonts w:ascii="Verdana" w:hAnsi="Verdana"/>
              <w:bCs/>
              <w:sz w:val="24"/>
              <w:szCs w:val="24"/>
            </w:rPr>
            <w:t xml:space="preserve">/6</w:t>
          </w:r>
          <w:r>
            <w:rPr>
              <w:rFonts w:ascii="Verdana" w:hAnsi="Verdana"/>
              <w:bCs/>
              <w:sz w:val="24"/>
              <w:szCs w:val="24"/>
            </w:rPr>
          </w:r>
        </w:p>
      </w:tc>
    </w:tr>
  </w:tbl>
  <w:p>
    <w:pPr>
      <w:pStyle w:val="103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/>
      </w:rPr>
      <w:start w:val="1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71"/>
        </w:tabs>
        <w:spacing/>
        <w:ind w:hanging="360" w:left="771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2">
    <w:lvl w:ilvl="0">
      <w:isLgl w:val="false"/>
      <w:lvlJc w:val="left"/>
      <w:lvlText w:val="%1)"/>
      <w:numFmt w:val="upperLetter"/>
      <w:pPr>
        <w:pBdr/>
        <w:spacing/>
        <w:ind w:hanging="375" w:left="6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3">
    <w:lvl w:ilvl="0">
      <w:isLgl w:val="false"/>
      <w:lvlJc w:val="left"/>
      <w:lvlText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decimal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50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12"/>
  </w:num>
  <w:num w:numId="8">
    <w:abstractNumId w:val="10"/>
  </w:num>
  <w:num w:numId="9">
    <w:abstractNumId w:val="11"/>
  </w:num>
  <w:num w:numId="10">
    <w:abstractNumId w:val="14"/>
  </w:num>
  <w:num w:numId="11">
    <w:abstractNumId w:val="5"/>
  </w:num>
  <w:num w:numId="12">
    <w:abstractNumId w:val="13"/>
  </w:num>
  <w:num w:numId="13">
    <w:abstractNumId w:val="9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993"/>
    <w:next w:val="99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993"/>
    <w:next w:val="99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993"/>
    <w:next w:val="99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1000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000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000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000"/>
    <w:link w:val="9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000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000"/>
    <w:link w:val="9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00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00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0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993"/>
    <w:next w:val="99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00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993"/>
    <w:next w:val="99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00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93"/>
    <w:next w:val="99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00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0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993"/>
    <w:next w:val="99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00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0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99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0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00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00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0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0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1000"/>
    <w:link w:val="1030"/>
    <w:uiPriority w:val="99"/>
    <w:pPr>
      <w:pBdr/>
      <w:spacing/>
      <w:ind/>
    </w:pPr>
  </w:style>
  <w:style w:type="character" w:styleId="178">
    <w:name w:val="Footer Char"/>
    <w:basedOn w:val="1000"/>
    <w:link w:val="1031"/>
    <w:uiPriority w:val="99"/>
    <w:pPr>
      <w:pBdr/>
      <w:spacing/>
      <w:ind/>
    </w:pPr>
  </w:style>
  <w:style w:type="paragraph" w:styleId="179">
    <w:name w:val="Caption"/>
    <w:basedOn w:val="993"/>
    <w:next w:val="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99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00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00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99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00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00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0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0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993"/>
    <w:next w:val="993"/>
    <w:uiPriority w:val="39"/>
    <w:unhideWhenUsed/>
    <w:pPr>
      <w:pBdr/>
      <w:spacing w:after="100"/>
      <w:ind/>
    </w:pPr>
  </w:style>
  <w:style w:type="paragraph" w:styleId="189">
    <w:name w:val="toc 2"/>
    <w:basedOn w:val="993"/>
    <w:next w:val="993"/>
    <w:uiPriority w:val="39"/>
    <w:unhideWhenUsed/>
    <w:pPr>
      <w:pBdr/>
      <w:spacing w:after="100"/>
      <w:ind w:left="220"/>
    </w:pPr>
  </w:style>
  <w:style w:type="paragraph" w:styleId="190">
    <w:name w:val="toc 3"/>
    <w:basedOn w:val="993"/>
    <w:next w:val="993"/>
    <w:uiPriority w:val="39"/>
    <w:unhideWhenUsed/>
    <w:pPr>
      <w:pBdr/>
      <w:spacing w:after="100"/>
      <w:ind w:left="440"/>
    </w:pPr>
  </w:style>
  <w:style w:type="paragraph" w:styleId="191">
    <w:name w:val="toc 4"/>
    <w:basedOn w:val="993"/>
    <w:next w:val="993"/>
    <w:uiPriority w:val="39"/>
    <w:unhideWhenUsed/>
    <w:pPr>
      <w:pBdr/>
      <w:spacing w:after="100"/>
      <w:ind w:left="660"/>
    </w:pPr>
  </w:style>
  <w:style w:type="paragraph" w:styleId="192">
    <w:name w:val="toc 5"/>
    <w:basedOn w:val="993"/>
    <w:next w:val="993"/>
    <w:uiPriority w:val="39"/>
    <w:unhideWhenUsed/>
    <w:pPr>
      <w:pBdr/>
      <w:spacing w:after="100"/>
      <w:ind w:left="880"/>
    </w:pPr>
  </w:style>
  <w:style w:type="paragraph" w:styleId="193">
    <w:name w:val="toc 6"/>
    <w:basedOn w:val="993"/>
    <w:next w:val="993"/>
    <w:uiPriority w:val="39"/>
    <w:unhideWhenUsed/>
    <w:pPr>
      <w:pBdr/>
      <w:spacing w:after="100"/>
      <w:ind w:left="1100"/>
    </w:pPr>
  </w:style>
  <w:style w:type="paragraph" w:styleId="194">
    <w:name w:val="toc 7"/>
    <w:basedOn w:val="993"/>
    <w:next w:val="993"/>
    <w:uiPriority w:val="39"/>
    <w:unhideWhenUsed/>
    <w:pPr>
      <w:pBdr/>
      <w:spacing w:after="100"/>
      <w:ind w:left="1320"/>
    </w:pPr>
  </w:style>
  <w:style w:type="paragraph" w:styleId="195">
    <w:name w:val="toc 8"/>
    <w:basedOn w:val="993"/>
    <w:next w:val="993"/>
    <w:uiPriority w:val="39"/>
    <w:unhideWhenUsed/>
    <w:pPr>
      <w:pBdr/>
      <w:spacing w:after="100"/>
      <w:ind w:left="1540"/>
    </w:pPr>
  </w:style>
  <w:style w:type="paragraph" w:styleId="196">
    <w:name w:val="toc 9"/>
    <w:basedOn w:val="993"/>
    <w:next w:val="993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000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993"/>
    <w:next w:val="993"/>
    <w:uiPriority w:val="99"/>
    <w:unhideWhenUsed/>
    <w:pPr>
      <w:pBdr/>
      <w:spacing w:after="0" w:afterAutospacing="0"/>
      <w:ind/>
    </w:pPr>
  </w:style>
  <w:style w:type="paragraph" w:styleId="993" w:default="1">
    <w:name w:val="Normal"/>
    <w:qFormat/>
    <w:pPr>
      <w:pBdr/>
      <w:spacing/>
      <w:ind/>
    </w:pPr>
    <w:rPr>
      <w:lang w:eastAsia="ar-SA"/>
    </w:rPr>
  </w:style>
  <w:style w:type="paragraph" w:styleId="994">
    <w:name w:val="Heading 1"/>
    <w:basedOn w:val="993"/>
    <w:next w:val="993"/>
    <w:qFormat/>
    <w:pPr>
      <w:keepNext w:val="true"/>
      <w:widowControl w:val="false"/>
      <w:pBdr/>
      <w:spacing/>
      <w:ind/>
      <w:outlineLvl w:val="0"/>
    </w:pPr>
    <w:rPr>
      <w:b/>
      <w:bCs/>
    </w:rPr>
  </w:style>
  <w:style w:type="paragraph" w:styleId="995">
    <w:name w:val="Heading 2"/>
    <w:basedOn w:val="993"/>
    <w:next w:val="993"/>
    <w:qFormat/>
    <w:pPr>
      <w:keepNext w:val="true"/>
      <w:widowControl w:val="false"/>
      <w:pBdr/>
      <w:spacing/>
      <w:ind/>
      <w:jc w:val="center"/>
      <w:outlineLvl w:val="1"/>
    </w:pPr>
    <w:rPr>
      <w:b/>
      <w:bCs/>
      <w:sz w:val="24"/>
      <w:szCs w:val="24"/>
    </w:rPr>
  </w:style>
  <w:style w:type="paragraph" w:styleId="996">
    <w:name w:val="Heading 3"/>
    <w:basedOn w:val="993"/>
    <w:next w:val="993"/>
    <w:qFormat/>
    <w:pPr>
      <w:keepNext w:val="true"/>
      <w:pBdr/>
      <w:spacing/>
      <w:ind/>
      <w:jc w:val="both"/>
      <w:outlineLvl w:val="2"/>
    </w:pPr>
    <w:rPr>
      <w:b/>
      <w:bCs/>
    </w:rPr>
  </w:style>
  <w:style w:type="paragraph" w:styleId="997">
    <w:name w:val="Heading 4"/>
    <w:basedOn w:val="993"/>
    <w:next w:val="993"/>
    <w:qFormat/>
    <w:pPr>
      <w:keepNext w:val="true"/>
      <w:pBdr/>
      <w:spacing/>
      <w:ind/>
      <w:jc w:val="both"/>
      <w:outlineLvl w:val="3"/>
    </w:pPr>
    <w:rPr>
      <w:b/>
      <w:bCs/>
      <w:sz w:val="24"/>
      <w:szCs w:val="24"/>
    </w:rPr>
  </w:style>
  <w:style w:type="paragraph" w:styleId="998">
    <w:name w:val="Heading 5"/>
    <w:basedOn w:val="993"/>
    <w:next w:val="993"/>
    <w:qFormat/>
    <w:pPr>
      <w:keepNext w:val="true"/>
      <w:pBdr/>
      <w:spacing/>
      <w:ind/>
      <w:jc w:val="both"/>
      <w:outlineLvl w:val="4"/>
    </w:pPr>
    <w:rPr>
      <w:i/>
      <w:iCs/>
    </w:rPr>
  </w:style>
  <w:style w:type="paragraph" w:styleId="999">
    <w:name w:val="Heading 6"/>
    <w:basedOn w:val="993"/>
    <w:next w:val="993"/>
    <w:qFormat/>
    <w:pPr>
      <w:keepNext w:val="true"/>
      <w:suppressLineNumbers w:val="true"/>
      <w:pBdr/>
      <w:spacing/>
      <w:ind/>
      <w:jc w:val="center"/>
      <w:outlineLvl w:val="5"/>
    </w:pPr>
    <w:rPr>
      <w:b/>
      <w:bCs/>
    </w:rPr>
  </w:style>
  <w:style w:type="character" w:styleId="1000" w:default="1">
    <w:name w:val="Default Paragraph Font"/>
    <w:uiPriority w:val="1"/>
    <w:semiHidden/>
    <w:unhideWhenUsed/>
    <w:pPr>
      <w:pBdr/>
      <w:spacing/>
      <w:ind/>
    </w:pPr>
  </w:style>
  <w:style w:type="table" w:styleId="10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2" w:default="1">
    <w:name w:val="No List"/>
    <w:uiPriority w:val="99"/>
    <w:semiHidden/>
    <w:unhideWhenUsed/>
    <w:pPr>
      <w:pBdr/>
      <w:spacing/>
      <w:ind/>
    </w:pPr>
  </w:style>
  <w:style w:type="character" w:styleId="1003" w:customStyle="1">
    <w:name w:val="WW8Num1z0"/>
    <w:pPr>
      <w:pBdr/>
      <w:spacing/>
      <w:ind/>
    </w:pPr>
    <w:rPr>
      <w:rFonts w:ascii="Times New Roman" w:hAnsi="Times New Roman" w:cs="Times New Roman"/>
    </w:rPr>
  </w:style>
  <w:style w:type="character" w:styleId="1004" w:customStyle="1">
    <w:name w:val="WW8Num2z0"/>
    <w:pPr>
      <w:pBdr/>
      <w:spacing/>
      <w:ind/>
    </w:pPr>
    <w:rPr>
      <w:rFonts w:ascii="Symbol" w:hAnsi="Symbol" w:cs="Times New Roman"/>
    </w:rPr>
  </w:style>
  <w:style w:type="character" w:styleId="1005" w:customStyle="1">
    <w:name w:val="Absatz-Standardschriftart"/>
    <w:pPr>
      <w:pBdr/>
      <w:spacing/>
      <w:ind/>
    </w:pPr>
  </w:style>
  <w:style w:type="character" w:styleId="1006" w:customStyle="1">
    <w:name w:val="WW-Absatz-Standardschriftart"/>
    <w:pPr>
      <w:pBdr/>
      <w:spacing/>
      <w:ind/>
    </w:pPr>
  </w:style>
  <w:style w:type="character" w:styleId="1007" w:customStyle="1">
    <w:name w:val="Car. predefinito paragrafo1"/>
    <w:pPr>
      <w:pBdr/>
      <w:spacing/>
      <w:ind/>
    </w:pPr>
  </w:style>
  <w:style w:type="character" w:styleId="1008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1009" w:customStyle="1">
    <w:name w:val="WW8Num2z2"/>
    <w:pPr>
      <w:pBdr/>
      <w:spacing/>
      <w:ind/>
    </w:pPr>
    <w:rPr>
      <w:rFonts w:ascii="Wingdings" w:hAnsi="Wingdings" w:cs="Times New Roman"/>
    </w:rPr>
  </w:style>
  <w:style w:type="character" w:styleId="1010" w:customStyle="1">
    <w:name w:val="WW8Num4z0"/>
    <w:pPr>
      <w:pBdr/>
      <w:spacing/>
      <w:ind/>
    </w:pPr>
    <w:rPr>
      <w:rFonts w:ascii="Symbol" w:hAnsi="Symbol" w:cs="Times New Roman"/>
    </w:rPr>
  </w:style>
  <w:style w:type="character" w:styleId="1011" w:customStyle="1">
    <w:name w:val="WW8Num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12" w:customStyle="1">
    <w:name w:val="WW8Num6z1"/>
    <w:pPr>
      <w:pBdr/>
      <w:spacing/>
      <w:ind/>
    </w:pPr>
    <w:rPr>
      <w:rFonts w:ascii="Courier New" w:hAnsi="Courier New"/>
    </w:rPr>
  </w:style>
  <w:style w:type="character" w:styleId="1013" w:customStyle="1">
    <w:name w:val="WW8Num6z2"/>
    <w:pPr>
      <w:pBdr/>
      <w:spacing/>
      <w:ind/>
    </w:pPr>
    <w:rPr>
      <w:rFonts w:ascii="Wingdings" w:hAnsi="Wingdings"/>
    </w:rPr>
  </w:style>
  <w:style w:type="character" w:styleId="1014" w:customStyle="1">
    <w:name w:val="WW8Num6z3"/>
    <w:pPr>
      <w:pBdr/>
      <w:spacing/>
      <w:ind/>
    </w:pPr>
    <w:rPr>
      <w:rFonts w:ascii="Symbol" w:hAnsi="Symbol"/>
    </w:rPr>
  </w:style>
  <w:style w:type="character" w:styleId="1015" w:customStyle="1">
    <w:name w:val="WW8Num7z0"/>
    <w:pPr>
      <w:pBdr/>
      <w:spacing/>
      <w:ind/>
    </w:pPr>
    <w:rPr>
      <w:rFonts w:ascii="Symbol" w:hAnsi="Symbol" w:cs="Times New Roman"/>
    </w:rPr>
  </w:style>
  <w:style w:type="character" w:styleId="1016" w:customStyle="1">
    <w:name w:val="WW8Num8z0"/>
    <w:pPr>
      <w:pBdr/>
      <w:spacing/>
      <w:ind/>
    </w:pPr>
    <w:rPr>
      <w:rFonts w:ascii="Symbol" w:hAnsi="Symbol" w:cs="Times New Roman"/>
    </w:rPr>
  </w:style>
  <w:style w:type="character" w:styleId="1017" w:customStyle="1">
    <w:name w:val="WW8Num8z1"/>
    <w:pPr>
      <w:pBdr/>
      <w:spacing/>
      <w:ind/>
    </w:pPr>
    <w:rPr>
      <w:rFonts w:ascii="Courier New" w:hAnsi="Courier New" w:cs="Courier New"/>
    </w:rPr>
  </w:style>
  <w:style w:type="character" w:styleId="1018" w:customStyle="1">
    <w:name w:val="WW8Num8z2"/>
    <w:pPr>
      <w:pBdr/>
      <w:spacing/>
      <w:ind/>
    </w:pPr>
    <w:rPr>
      <w:rFonts w:ascii="Wingdings" w:hAnsi="Wingdings" w:cs="Times New Roman"/>
    </w:rPr>
  </w:style>
  <w:style w:type="character" w:styleId="1019" w:customStyle="1">
    <w:name w:val="WW8Num11z0"/>
    <w:pPr>
      <w:pBdr/>
      <w:spacing/>
      <w:ind/>
    </w:pPr>
    <w:rPr>
      <w:rFonts w:ascii="Symbol" w:hAnsi="Symbol" w:cs="Times New Roman"/>
    </w:rPr>
  </w:style>
  <w:style w:type="character" w:styleId="1020" w:customStyle="1">
    <w:name w:val="WW8Num12z0"/>
    <w:pPr>
      <w:pBdr/>
      <w:spacing/>
      <w:ind/>
    </w:pPr>
    <w:rPr>
      <w:rFonts w:ascii="Symbol" w:hAnsi="Symbol" w:cs="Times New Roman"/>
    </w:rPr>
  </w:style>
  <w:style w:type="character" w:styleId="1021" w:customStyle="1">
    <w:name w:val="WW8NumSt1z0"/>
    <w:pPr>
      <w:pBdr/>
      <w:spacing/>
      <w:ind/>
    </w:pPr>
    <w:rPr>
      <w:rFonts w:ascii="Symbol" w:hAnsi="Symbol" w:cs="Times New Roman"/>
    </w:rPr>
  </w:style>
  <w:style w:type="character" w:styleId="1022" w:customStyle="1">
    <w:name w:val="Carattere predefinito paragrafo"/>
    <w:pPr>
      <w:pBdr/>
      <w:spacing/>
      <w:ind/>
    </w:pPr>
  </w:style>
  <w:style w:type="character" w:styleId="1023">
    <w:name w:val="page number"/>
    <w:basedOn w:val="1022"/>
    <w:pPr>
      <w:pBdr/>
      <w:spacing/>
      <w:ind/>
    </w:pPr>
  </w:style>
  <w:style w:type="paragraph" w:styleId="1024">
    <w:name w:val="Body Text"/>
    <w:basedOn w:val="993"/>
    <w:pPr>
      <w:pBdr/>
      <w:spacing/>
      <w:ind/>
      <w:jc w:val="both"/>
    </w:pPr>
  </w:style>
  <w:style w:type="paragraph" w:styleId="1025">
    <w:name w:val="List"/>
    <w:basedOn w:val="1024"/>
    <w:pPr>
      <w:pBdr/>
      <w:spacing/>
      <w:ind/>
    </w:pPr>
    <w:rPr>
      <w:rFonts w:cs="Tahoma"/>
    </w:rPr>
  </w:style>
  <w:style w:type="paragraph" w:styleId="1026" w:customStyle="1">
    <w:name w:val="Dicitura"/>
    <w:basedOn w:val="99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27" w:customStyle="1">
    <w:name w:val="Indice"/>
    <w:basedOn w:val="993"/>
    <w:pPr>
      <w:suppressLineNumbers w:val="true"/>
      <w:pBdr/>
      <w:spacing/>
      <w:ind/>
    </w:pPr>
    <w:rPr>
      <w:rFonts w:cs="Tahoma"/>
    </w:rPr>
  </w:style>
  <w:style w:type="paragraph" w:styleId="1028" w:customStyle="1">
    <w:name w:val="Intestazione2"/>
    <w:basedOn w:val="993"/>
    <w:next w:val="102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29" w:customStyle="1">
    <w:name w:val="Intestazione1"/>
    <w:basedOn w:val="993"/>
    <w:next w:val="102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30">
    <w:name w:val="Header"/>
    <w:basedOn w:val="99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31">
    <w:name w:val="Footer"/>
    <w:basedOn w:val="99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32" w:customStyle="1">
    <w:name w:val="Didascalia1"/>
    <w:basedOn w:val="993"/>
    <w:next w:val="993"/>
    <w:pPr>
      <w:pBdr/>
      <w:spacing/>
      <w:ind/>
    </w:pPr>
    <w:rPr>
      <w:b/>
      <w:bCs/>
    </w:rPr>
  </w:style>
  <w:style w:type="paragraph" w:styleId="1033">
    <w:name w:val="Body Text Indent"/>
    <w:basedOn w:val="993"/>
    <w:pPr>
      <w:pBdr/>
      <w:spacing/>
      <w:ind/>
      <w:jc w:val="both"/>
    </w:pPr>
    <w:rPr>
      <w:i/>
      <w:iCs/>
    </w:rPr>
  </w:style>
  <w:style w:type="paragraph" w:styleId="1034" w:customStyle="1">
    <w:name w:val="Contenuto tabella"/>
    <w:basedOn w:val="993"/>
    <w:pPr>
      <w:suppressLineNumbers w:val="true"/>
      <w:pBdr/>
      <w:spacing/>
      <w:ind/>
    </w:pPr>
  </w:style>
  <w:style w:type="paragraph" w:styleId="1035" w:customStyle="1">
    <w:name w:val="Intestazione tabella"/>
    <w:basedOn w:val="1034"/>
    <w:pPr>
      <w:pBdr/>
      <w:spacing/>
      <w:ind/>
      <w:jc w:val="center"/>
    </w:pPr>
    <w:rPr>
      <w:b/>
      <w:bCs/>
      <w:i/>
      <w:iCs/>
    </w:rPr>
  </w:style>
  <w:style w:type="paragraph" w:styleId="1036">
    <w:name w:val="List Paragraph"/>
    <w:basedOn w:val="993"/>
    <w:uiPriority w:val="34"/>
    <w:qFormat/>
    <w:pPr>
      <w:pBdr/>
      <w:spacing/>
      <w:ind w:left="708"/>
    </w:pPr>
  </w:style>
  <w:style w:type="paragraph" w:styleId="1037">
    <w:name w:val="Balloon Text"/>
    <w:basedOn w:val="993"/>
    <w:link w:val="1038"/>
    <w:pPr>
      <w:pBdr/>
      <w:spacing/>
      <w:ind/>
    </w:pPr>
    <w:rPr>
      <w:rFonts w:ascii="Tahoma" w:hAnsi="Tahoma" w:cs="Tahoma"/>
      <w:sz w:val="16"/>
      <w:szCs w:val="16"/>
    </w:rPr>
  </w:style>
  <w:style w:type="character" w:styleId="1038" w:customStyle="1">
    <w:name w:val="Testo fumetto Carattere"/>
    <w:link w:val="103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table" w:styleId="1039">
    <w:name w:val="Table Grid"/>
    <w:basedOn w:val="100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F26DC-5691-44C7-98C6-4219323B8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Francesco Scavello</cp:lastModifiedBy>
  <cp:revision>58</cp:revision>
  <dcterms:created xsi:type="dcterms:W3CDTF">2022-11-21T19:40:00Z</dcterms:created>
  <dcterms:modified xsi:type="dcterms:W3CDTF">2025-11-18T11:03:27Z</dcterms:modified>
</cp:coreProperties>
</file>