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58A98" w14:textId="46648DEB" w:rsidR="00A02B7A" w:rsidRPr="00DF005F" w:rsidRDefault="00A02B7A">
      <w:pPr>
        <w:rPr>
          <w:sz w:val="20"/>
          <w:szCs w:val="20"/>
        </w:rPr>
      </w:pPr>
    </w:p>
    <w:p w14:paraId="19E2AA7C" w14:textId="77777777" w:rsidR="00FC4B1F" w:rsidRPr="00DF005F" w:rsidRDefault="00FC4B1F">
      <w:pPr>
        <w:rPr>
          <w:sz w:val="20"/>
          <w:szCs w:val="20"/>
        </w:rPr>
      </w:pPr>
    </w:p>
    <w:p w14:paraId="27B3128B" w14:textId="77777777" w:rsidR="00FC4B1F" w:rsidRPr="00DF005F" w:rsidRDefault="00FC4B1F"/>
    <w:p w14:paraId="1BDB1A84" w14:textId="77777777" w:rsidR="00FC4B1F" w:rsidRPr="00DF005F" w:rsidRDefault="00FC4B1F" w:rsidP="00FC4B1F">
      <w:pPr>
        <w:jc w:val="center"/>
        <w:rPr>
          <w:rFonts w:cstheme="minorHAnsi"/>
          <w:b/>
        </w:rPr>
      </w:pPr>
      <w:r w:rsidRPr="00DF005F">
        <w:rPr>
          <w:rFonts w:cstheme="minorHAnsi"/>
          <w:b/>
        </w:rPr>
        <w:t>GIUSTIFICAZIONE ALL' IMPOSTAZIONE DEI LIMITI CRITICI DEI CCP</w:t>
      </w:r>
    </w:p>
    <w:p w14:paraId="523CA5EA" w14:textId="77777777" w:rsidR="00FC4B1F" w:rsidRPr="00DF005F" w:rsidRDefault="00FC4B1F" w:rsidP="00E00A1D">
      <w:pPr>
        <w:jc w:val="both"/>
        <w:rPr>
          <w:rFonts w:cstheme="minorHAnsi"/>
          <w:b/>
        </w:rPr>
      </w:pPr>
      <w:r w:rsidRPr="00DF005F">
        <w:rPr>
          <w:rFonts w:cstheme="minorHAnsi"/>
          <w:b/>
        </w:rPr>
        <w:t>CCP 1</w:t>
      </w:r>
    </w:p>
    <w:p w14:paraId="7BB5D493" w14:textId="77777777" w:rsidR="00FC4B1F" w:rsidRPr="00DF005F" w:rsidRDefault="00FC4B1F" w:rsidP="00DF005F">
      <w:pPr>
        <w:jc w:val="both"/>
        <w:rPr>
          <w:rFonts w:cstheme="minorHAnsi"/>
        </w:rPr>
      </w:pPr>
      <w:r w:rsidRPr="00DF005F">
        <w:rPr>
          <w:rFonts w:cstheme="minorHAnsi"/>
        </w:rPr>
        <w:t xml:space="preserve">Il CCP1 è il punto critico relativo alla fase della pastorizzazione. </w:t>
      </w:r>
    </w:p>
    <w:p w14:paraId="09A9120D" w14:textId="77777777" w:rsidR="00E00A1D" w:rsidRPr="00DF005F" w:rsidRDefault="00FC4B1F" w:rsidP="00DF005F">
      <w:pPr>
        <w:jc w:val="both"/>
        <w:rPr>
          <w:rFonts w:cstheme="minorHAnsi"/>
        </w:rPr>
      </w:pPr>
      <w:r w:rsidRPr="00DF005F">
        <w:rPr>
          <w:rFonts w:cstheme="minorHAnsi"/>
        </w:rPr>
        <w:t xml:space="preserve">L’Agrumi-Gel ha </w:t>
      </w:r>
      <w:r w:rsidR="00EC70DF" w:rsidRPr="00DF005F">
        <w:rPr>
          <w:rFonts w:cstheme="minorHAnsi"/>
        </w:rPr>
        <w:t>fissa</w:t>
      </w:r>
      <w:r w:rsidRPr="00DF005F">
        <w:rPr>
          <w:rFonts w:cstheme="minorHAnsi"/>
        </w:rPr>
        <w:t>to il limite critico</w:t>
      </w:r>
      <w:r w:rsidR="00EC70DF" w:rsidRPr="00DF005F">
        <w:rPr>
          <w:rFonts w:cstheme="minorHAnsi"/>
        </w:rPr>
        <w:t xml:space="preserve"> affidandosi ad una delle fonti bibliografiche maggiormente riconosciute in materia di Sicurezza Alimentare: il</w:t>
      </w:r>
      <w:r w:rsidR="00EC4778" w:rsidRPr="00DF005F">
        <w:rPr>
          <w:rFonts w:cstheme="minorHAnsi"/>
        </w:rPr>
        <w:t xml:space="preserve"> “Journal of Food </w:t>
      </w:r>
      <w:proofErr w:type="spellStart"/>
      <w:r w:rsidR="00EC4778" w:rsidRPr="00DF005F">
        <w:rPr>
          <w:rFonts w:cstheme="minorHAnsi"/>
        </w:rPr>
        <w:t>Protection</w:t>
      </w:r>
      <w:proofErr w:type="spellEnd"/>
      <w:r w:rsidR="00EC4778" w:rsidRPr="00DF005F">
        <w:rPr>
          <w:rFonts w:cstheme="minorHAnsi"/>
        </w:rPr>
        <w:t>”</w:t>
      </w:r>
      <w:r w:rsidR="00EC70DF" w:rsidRPr="00DF005F">
        <w:rPr>
          <w:rFonts w:cstheme="minorHAnsi"/>
        </w:rPr>
        <w:t>.</w:t>
      </w:r>
    </w:p>
    <w:p w14:paraId="36263FEF" w14:textId="77777777" w:rsidR="00E00A1D" w:rsidRPr="00DF005F" w:rsidRDefault="00EC70DF" w:rsidP="00DF005F">
      <w:pPr>
        <w:jc w:val="both"/>
        <w:rPr>
          <w:rFonts w:cstheme="minorHAnsi"/>
        </w:rPr>
      </w:pPr>
      <w:r w:rsidRPr="00DF005F">
        <w:rPr>
          <w:rFonts w:cstheme="minorHAnsi"/>
        </w:rPr>
        <w:t xml:space="preserve">In particolare si fa riferimento al </w:t>
      </w:r>
      <w:r w:rsidR="00EC4778" w:rsidRPr="00DF005F">
        <w:rPr>
          <w:rFonts w:cstheme="minorHAnsi"/>
          <w:i/>
        </w:rPr>
        <w:t>Vol. 64, Numero 3</w:t>
      </w:r>
      <w:r w:rsidRPr="00DF005F">
        <w:rPr>
          <w:rFonts w:cstheme="minorHAnsi"/>
          <w:i/>
        </w:rPr>
        <w:t>,</w:t>
      </w:r>
      <w:r w:rsidR="00EC4778" w:rsidRPr="00DF005F">
        <w:rPr>
          <w:rFonts w:cstheme="minorHAnsi"/>
          <w:i/>
        </w:rPr>
        <w:t xml:space="preserve"> </w:t>
      </w:r>
      <w:r w:rsidRPr="00DF005F">
        <w:rPr>
          <w:rFonts w:cstheme="minorHAnsi"/>
          <w:i/>
        </w:rPr>
        <w:t xml:space="preserve">Anno 2001 </w:t>
      </w:r>
      <w:r w:rsidRPr="00DF005F">
        <w:rPr>
          <w:rFonts w:cstheme="minorHAnsi"/>
        </w:rPr>
        <w:t>ed all’articolo</w:t>
      </w:r>
      <w:r w:rsidRPr="00DF005F">
        <w:rPr>
          <w:rFonts w:cstheme="minorHAnsi"/>
          <w:i/>
        </w:rPr>
        <w:t xml:space="preserve"> “</w:t>
      </w:r>
      <w:r w:rsidR="00EC4778" w:rsidRPr="00DF005F">
        <w:rPr>
          <w:rFonts w:cstheme="minorHAnsi"/>
          <w:i/>
        </w:rPr>
        <w:t xml:space="preserve">Thermal </w:t>
      </w:r>
      <w:proofErr w:type="spellStart"/>
      <w:r w:rsidR="00EC4778" w:rsidRPr="00DF005F">
        <w:rPr>
          <w:rFonts w:cstheme="minorHAnsi"/>
          <w:i/>
        </w:rPr>
        <w:t>Inactivation</w:t>
      </w:r>
      <w:proofErr w:type="spellEnd"/>
      <w:r w:rsidR="00EC4778" w:rsidRPr="00DF005F">
        <w:rPr>
          <w:rFonts w:cstheme="minorHAnsi"/>
          <w:i/>
        </w:rPr>
        <w:t xml:space="preserve"> of </w:t>
      </w:r>
      <w:proofErr w:type="spellStart"/>
      <w:r w:rsidR="00EC4778" w:rsidRPr="00DF005F">
        <w:rPr>
          <w:rFonts w:cstheme="minorHAnsi"/>
          <w:i/>
        </w:rPr>
        <w:t>Stationary-Phase</w:t>
      </w:r>
      <w:proofErr w:type="spellEnd"/>
      <w:r w:rsidR="00EC4778" w:rsidRPr="00DF005F">
        <w:rPr>
          <w:rFonts w:cstheme="minorHAnsi"/>
          <w:i/>
        </w:rPr>
        <w:t xml:space="preserve"> and Acid-</w:t>
      </w:r>
      <w:proofErr w:type="spellStart"/>
      <w:r w:rsidR="00EC4778" w:rsidRPr="00DF005F">
        <w:rPr>
          <w:rFonts w:cstheme="minorHAnsi"/>
          <w:i/>
        </w:rPr>
        <w:t>Adapted</w:t>
      </w:r>
      <w:proofErr w:type="spellEnd"/>
      <w:r w:rsidR="00EC4778" w:rsidRPr="00DF005F">
        <w:rPr>
          <w:rFonts w:cstheme="minorHAnsi"/>
          <w:i/>
        </w:rPr>
        <w:t xml:space="preserve"> Escherichia coli O157:H7, Salmonella, and Listeria </w:t>
      </w:r>
      <w:proofErr w:type="spellStart"/>
      <w:r w:rsidR="00EC4778" w:rsidRPr="00DF005F">
        <w:rPr>
          <w:rFonts w:cstheme="minorHAnsi"/>
          <w:i/>
        </w:rPr>
        <w:t>monocytogenes</w:t>
      </w:r>
      <w:proofErr w:type="spellEnd"/>
      <w:r w:rsidR="00EC4778" w:rsidRPr="00DF005F">
        <w:rPr>
          <w:rFonts w:cstheme="minorHAnsi"/>
          <w:i/>
        </w:rPr>
        <w:t xml:space="preserve"> in Fruit </w:t>
      </w:r>
      <w:proofErr w:type="spellStart"/>
      <w:r w:rsidR="00EC4778" w:rsidRPr="00DF005F">
        <w:rPr>
          <w:rFonts w:cstheme="minorHAnsi"/>
          <w:i/>
        </w:rPr>
        <w:t>Juices</w:t>
      </w:r>
      <w:proofErr w:type="spellEnd"/>
      <w:r w:rsidRPr="00DF005F">
        <w:rPr>
          <w:rFonts w:cstheme="minorHAnsi"/>
          <w:i/>
        </w:rPr>
        <w:t>”</w:t>
      </w:r>
      <w:r w:rsidRPr="00DF005F">
        <w:rPr>
          <w:rFonts w:cstheme="minorHAnsi"/>
        </w:rPr>
        <w:t xml:space="preserve"> di Aleandro Mazzotta. Lo studio espletato in questo articolo mostra come la carica patogena si riduca di 5 Log con la pastorizzazione effettuata alla temperatura di 71,1 °C con 6 secondi di sosta. </w:t>
      </w:r>
    </w:p>
    <w:p w14:paraId="746F8B0A" w14:textId="77777777" w:rsidR="00E00A1D" w:rsidRPr="00DF005F" w:rsidRDefault="00E00A1D" w:rsidP="00DF005F">
      <w:pPr>
        <w:jc w:val="both"/>
        <w:rPr>
          <w:rFonts w:cstheme="minorHAnsi"/>
        </w:rPr>
      </w:pPr>
      <w:r w:rsidRPr="00DF005F">
        <w:rPr>
          <w:rFonts w:cstheme="minorHAnsi"/>
        </w:rPr>
        <w:t>In relazione alla fonte bibliografica sopra citata, l’</w:t>
      </w:r>
      <w:r w:rsidR="00EC70DF" w:rsidRPr="00DF005F">
        <w:rPr>
          <w:rFonts w:cstheme="minorHAnsi"/>
        </w:rPr>
        <w:t>Agrumi-Gel</w:t>
      </w:r>
      <w:r w:rsidRPr="00DF005F">
        <w:rPr>
          <w:rFonts w:cstheme="minorHAnsi"/>
        </w:rPr>
        <w:t>, fissa come limite critico per la fase della pastorizzazione, la temperatura di 71,2 °C con 6 secondi di sosta.</w:t>
      </w:r>
    </w:p>
    <w:p w14:paraId="7635E8F4" w14:textId="77777777" w:rsidR="00E00A1D" w:rsidRPr="00DF005F" w:rsidRDefault="00E00A1D" w:rsidP="00DF005F">
      <w:pPr>
        <w:jc w:val="both"/>
        <w:rPr>
          <w:rFonts w:cstheme="minorHAnsi"/>
        </w:rPr>
      </w:pPr>
      <w:r w:rsidRPr="00DF005F">
        <w:rPr>
          <w:rFonts w:cstheme="minorHAnsi"/>
          <w:b/>
        </w:rPr>
        <w:t>CCP 2</w:t>
      </w:r>
    </w:p>
    <w:p w14:paraId="0D36CF41" w14:textId="4630E9EF" w:rsidR="0027053F" w:rsidRPr="00DF005F" w:rsidRDefault="0027053F" w:rsidP="00DF005F">
      <w:pPr>
        <w:jc w:val="both"/>
        <w:rPr>
          <w:rFonts w:cstheme="minorHAnsi"/>
        </w:rPr>
      </w:pPr>
      <w:r w:rsidRPr="00DF005F">
        <w:rPr>
          <w:rFonts w:cstheme="minorHAnsi"/>
        </w:rPr>
        <w:t xml:space="preserve">Il CCP2 è il punto critico relativo alla fase della filtrazione finale. </w:t>
      </w:r>
    </w:p>
    <w:p w14:paraId="0AB9B8C6" w14:textId="73523F1D" w:rsidR="0027053F" w:rsidRPr="00DF005F" w:rsidRDefault="0027053F" w:rsidP="00DF005F">
      <w:pPr>
        <w:jc w:val="both"/>
        <w:rPr>
          <w:rFonts w:cstheme="minorHAnsi"/>
        </w:rPr>
      </w:pPr>
      <w:r w:rsidRPr="00DF005F">
        <w:rPr>
          <w:rFonts w:cstheme="minorHAnsi"/>
        </w:rPr>
        <w:t>L’Agrumi-Gel ha fissato il limite critico affidandosi ad una line</w:t>
      </w:r>
      <w:r w:rsidR="008D4144">
        <w:rPr>
          <w:rFonts w:cstheme="minorHAnsi"/>
        </w:rPr>
        <w:t>a</w:t>
      </w:r>
      <w:r w:rsidRPr="00DF005F">
        <w:rPr>
          <w:rFonts w:cstheme="minorHAnsi"/>
        </w:rPr>
        <w:t xml:space="preserve"> guida della FDA, una fonte normativa globalmente riconosciuta in materia di Sicurezza Alimentare.</w:t>
      </w:r>
    </w:p>
    <w:p w14:paraId="11F23456" w14:textId="77777777" w:rsidR="0034647C" w:rsidRPr="00DF005F" w:rsidRDefault="0027053F" w:rsidP="00DF005F">
      <w:pPr>
        <w:jc w:val="both"/>
        <w:rPr>
          <w:rFonts w:cstheme="minorHAnsi"/>
        </w:rPr>
      </w:pPr>
      <w:r w:rsidRPr="00DF005F">
        <w:rPr>
          <w:rFonts w:cstheme="minorHAnsi"/>
        </w:rPr>
        <w:t>In particolare si fa riferimento al</w:t>
      </w:r>
      <w:r w:rsidR="0034647C" w:rsidRPr="00DF005F">
        <w:rPr>
          <w:rFonts w:cstheme="minorHAnsi"/>
        </w:rPr>
        <w:t xml:space="preserve">la linea guida “CPG Sec. 555.425 Foods, </w:t>
      </w:r>
      <w:proofErr w:type="spellStart"/>
      <w:r w:rsidR="0034647C" w:rsidRPr="00DF005F">
        <w:rPr>
          <w:rFonts w:cstheme="minorHAnsi"/>
        </w:rPr>
        <w:t>Adulteration</w:t>
      </w:r>
      <w:proofErr w:type="spellEnd"/>
      <w:r w:rsidR="0034647C" w:rsidRPr="00DF005F">
        <w:rPr>
          <w:rFonts w:cstheme="minorHAnsi"/>
        </w:rPr>
        <w:t xml:space="preserve"> </w:t>
      </w:r>
      <w:proofErr w:type="spellStart"/>
      <w:r w:rsidR="0034647C" w:rsidRPr="00DF005F">
        <w:rPr>
          <w:rFonts w:cstheme="minorHAnsi"/>
        </w:rPr>
        <w:t>Involving</w:t>
      </w:r>
      <w:proofErr w:type="spellEnd"/>
      <w:r w:rsidR="0034647C" w:rsidRPr="00DF005F">
        <w:rPr>
          <w:rFonts w:cstheme="minorHAnsi"/>
        </w:rPr>
        <w:t xml:space="preserve"> hard or Sharp Foreign Objects”</w:t>
      </w:r>
      <w:r w:rsidRPr="00DF005F">
        <w:rPr>
          <w:rFonts w:cstheme="minorHAnsi"/>
        </w:rPr>
        <w:t xml:space="preserve"> </w:t>
      </w:r>
      <w:r w:rsidR="0034647C" w:rsidRPr="00DF005F">
        <w:rPr>
          <w:rFonts w:cstheme="minorHAnsi"/>
        </w:rPr>
        <w:t>ed al “</w:t>
      </w:r>
      <w:proofErr w:type="spellStart"/>
      <w:r w:rsidR="0034647C" w:rsidRPr="00DF005F">
        <w:rPr>
          <w:rFonts w:cstheme="minorHAnsi"/>
        </w:rPr>
        <w:t>Division</w:t>
      </w:r>
      <w:proofErr w:type="spellEnd"/>
      <w:r w:rsidR="0034647C" w:rsidRPr="00DF005F">
        <w:rPr>
          <w:rFonts w:cstheme="minorHAnsi"/>
        </w:rPr>
        <w:t xml:space="preserve"> of Compliance Management and Operations (HFC-210)” che stabilisce che sono pericolosi per la salute, i prodotti che contengono corpi estranei che misurano da 7 a 25 mm.</w:t>
      </w:r>
    </w:p>
    <w:p w14:paraId="4B126CF7" w14:textId="77777777" w:rsidR="00DF005F" w:rsidRPr="00DF005F" w:rsidRDefault="0034647C" w:rsidP="00DF005F">
      <w:pPr>
        <w:jc w:val="both"/>
        <w:rPr>
          <w:rFonts w:cstheme="minorHAnsi"/>
        </w:rPr>
      </w:pPr>
      <w:r w:rsidRPr="00DF005F">
        <w:rPr>
          <w:rFonts w:cstheme="minorHAnsi"/>
        </w:rPr>
        <w:t>In relazione alla fonte normativa sopra citata, l’Agrumi-Gel, fissa come limite critico per la fase della filtrazione finale l’integrità del filtro. Tutti i filtri utilizzati sono inoltre inferiori a 7 mm.</w:t>
      </w:r>
      <w:r w:rsidR="00DF005F" w:rsidRPr="00DF005F">
        <w:rPr>
          <w:rFonts w:cstheme="minorHAnsi"/>
        </w:rPr>
        <w:t xml:space="preserve"> </w:t>
      </w:r>
    </w:p>
    <w:p w14:paraId="70307119" w14:textId="5E15408E" w:rsidR="00DF005F" w:rsidRPr="00DF005F" w:rsidRDefault="00DF005F" w:rsidP="00DF005F">
      <w:pPr>
        <w:jc w:val="both"/>
        <w:rPr>
          <w:rFonts w:cstheme="minorHAnsi"/>
        </w:rPr>
      </w:pPr>
      <w:r w:rsidRPr="00DF005F">
        <w:rPr>
          <w:rFonts w:cstheme="minorHAnsi"/>
        </w:rPr>
        <w:t>Barcellona Pozzo di Gotto (ME), 2</w:t>
      </w:r>
      <w:r w:rsidR="00395B35">
        <w:rPr>
          <w:rFonts w:cstheme="minorHAnsi"/>
        </w:rPr>
        <w:t>0</w:t>
      </w:r>
      <w:r w:rsidRPr="00DF005F">
        <w:rPr>
          <w:rFonts w:cstheme="minorHAnsi"/>
        </w:rPr>
        <w:t>/05/202</w:t>
      </w:r>
      <w:r w:rsidR="00395B35">
        <w:rPr>
          <w:rFonts w:cstheme="minorHAnsi"/>
        </w:rPr>
        <w:t>4</w:t>
      </w:r>
      <w:r w:rsidRPr="00DF005F">
        <w:rPr>
          <w:rFonts w:cstheme="minorHAnsi"/>
        </w:rPr>
        <w:t xml:space="preserve">                                  </w:t>
      </w:r>
    </w:p>
    <w:p w14:paraId="753AE003" w14:textId="5B8DF658" w:rsidR="00FC4B1F" w:rsidRPr="00DF005F" w:rsidRDefault="00DF005F" w:rsidP="00DF005F">
      <w:pPr>
        <w:jc w:val="right"/>
        <w:rPr>
          <w:rFonts w:cstheme="minorHAnsi"/>
          <w:sz w:val="20"/>
          <w:szCs w:val="20"/>
        </w:rPr>
      </w:pPr>
      <w:r w:rsidRPr="00DF005F">
        <w:rPr>
          <w:rFonts w:cstheme="minorHAnsi"/>
          <w:noProof/>
        </w:rPr>
        <w:drawing>
          <wp:inline distT="0" distB="0" distL="0" distR="0" wp14:anchorId="1C29181E" wp14:editId="43D81CE6">
            <wp:extent cx="2131120" cy="824948"/>
            <wp:effectExtent l="0" t="0" r="2540" b="0"/>
            <wp:docPr id="4431836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83615" name="Immagine 443183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754" cy="84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05F">
        <w:rPr>
          <w:rFonts w:cstheme="minorHAnsi"/>
          <w:sz w:val="20"/>
          <w:szCs w:val="20"/>
        </w:rPr>
        <w:t xml:space="preserve">                </w:t>
      </w:r>
    </w:p>
    <w:sectPr w:rsidR="00FC4B1F" w:rsidRPr="00DF005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C66"/>
    <w:rsid w:val="0027053F"/>
    <w:rsid w:val="0034647C"/>
    <w:rsid w:val="00395B35"/>
    <w:rsid w:val="007F6C66"/>
    <w:rsid w:val="008D4144"/>
    <w:rsid w:val="00A02B7A"/>
    <w:rsid w:val="00DF005F"/>
    <w:rsid w:val="00E00A1D"/>
    <w:rsid w:val="00EC4778"/>
    <w:rsid w:val="00EC70DF"/>
    <w:rsid w:val="00F447EA"/>
    <w:rsid w:val="00FC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BE48E"/>
  <w15:docId w15:val="{9B619C2C-8DFC-42FD-B310-53CC4301E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37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Giustificazione all'impostazione dei limiti critici dei CCP</dc:title>
  <dc:subject/>
  <dc:creator>Francesco San Martino</dc:creator>
  <cp:keywords>HACCP</cp:keywords>
  <dc:description/>
  <cp:lastModifiedBy>Giovanna</cp:lastModifiedBy>
  <cp:revision>5</cp:revision>
  <cp:lastPrinted>2024-05-20T14:40:00Z</cp:lastPrinted>
  <dcterms:created xsi:type="dcterms:W3CDTF">2015-06-03T07:19:00Z</dcterms:created>
  <dcterms:modified xsi:type="dcterms:W3CDTF">2024-05-20T14:40:00Z</dcterms:modified>
  <cp:category>QUALITA'</cp:category>
</cp:coreProperties>
</file>