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12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12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12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12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IO-01: Uso in Sicurezza dell’Impianto ad Ammoniaca (Refrigerazione)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085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1012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2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2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2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2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2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12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1012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Spacing w:w="0" w:type="dxa"/>
        <w:tblLook w:val="04A0" w:firstRow="1" w:lastRow="0" w:firstColumn="1" w:lastColumn="0" w:noHBand="0" w:noVBand="1"/>
      </w:tblPr>
      <w:tblGrid>
        <w:gridCol w:w="776"/>
        <w:gridCol w:w="4299"/>
        <w:gridCol w:w="1568"/>
        <w:gridCol w:w="1466"/>
        <w:gridCol w:w="2110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643" w:type="dxa"/>
            <w:vAlign w:val="center"/>
            <w:textDirection w:val="lrTb"/>
            <w:noWrap w:val="false"/>
          </w:tcPr>
          <w:p>
            <w:pPr>
              <w:pStyle w:val="1012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75" w:type="dxa"/>
            <w:vAlign w:val="center"/>
            <w:textDirection w:val="lrTb"/>
            <w:noWrap w:val="false"/>
          </w:tcPr>
          <w:p>
            <w:pPr>
              <w:pStyle w:val="1012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6" w:type="dxa"/>
            <w:vAlign w:val="center"/>
            <w:textDirection w:val="lrTb"/>
            <w:noWrap w:val="false"/>
          </w:tcPr>
          <w:p>
            <w:pPr>
              <w:pStyle w:val="101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299" w:type="dxa"/>
            <w:vAlign w:val="center"/>
            <w:textDirection w:val="lrTb"/>
            <w:noWrap w:val="false"/>
          </w:tcPr>
          <w:p>
            <w:pPr>
              <w:pStyle w:val="101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68" w:type="dxa"/>
            <w:vAlign w:val="center"/>
            <w:textDirection w:val="lrTb"/>
            <w:noWrap w:val="false"/>
          </w:tcPr>
          <w:p>
            <w:pPr>
              <w:pStyle w:val="101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Style w:val="101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10" w:type="dxa"/>
            <w:vAlign w:val="center"/>
            <w:textDirection w:val="lrTb"/>
            <w:noWrap w:val="false"/>
          </w:tcPr>
          <w:p>
            <w:pPr>
              <w:pStyle w:val="101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6" w:type="dxa"/>
            <w:vAlign w:val="center"/>
            <w:textDirection w:val="lrTb"/>
            <w:noWrap w:val="false"/>
          </w:tcPr>
          <w:p>
            <w:pPr>
              <w:pStyle w:val="101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299" w:type="dxa"/>
            <w:vAlign w:val="center"/>
            <w:textDirection w:val="lrTb"/>
            <w:noWrap w:val="false"/>
          </w:tcPr>
          <w:p>
            <w:pPr>
              <w:pStyle w:val="101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68" w:type="dxa"/>
            <w:vAlign w:val="center"/>
            <w:textDirection w:val="lrTb"/>
            <w:noWrap w:val="false"/>
          </w:tcPr>
          <w:p>
            <w:pPr>
              <w:pStyle w:val="101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6" w:type="dxa"/>
            <w:vAlign w:val="center"/>
            <w:textDirection w:val="lrTb"/>
            <w:noWrap w:val="false"/>
          </w:tcPr>
          <w:p>
            <w:pPr>
              <w:pStyle w:val="101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10" w:type="dxa"/>
            <w:vAlign w:val="center"/>
            <w:textDirection w:val="lrTb"/>
            <w:noWrap w:val="false"/>
          </w:tcPr>
          <w:p>
            <w:pPr>
              <w:pStyle w:val="101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12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1003"/>
        <w:numPr>
          <w:ilvl w:val="0"/>
          <w:numId w:val="0"/>
        </w:numPr>
        <w:pBdr/>
        <w:spacing/>
        <w:ind w:hanging="1008" w:left="1008"/>
        <w:rPr/>
      </w:pPr>
      <w:r/>
      <w:bookmarkStart w:id="2" w:name="citations"/>
      <w:r/>
      <w:bookmarkEnd w:id="0"/>
      <w:r/>
      <w:bookmarkEnd w:id="1"/>
      <w:r>
        <w:br w:type="page" w:clear="all"/>
      </w:r>
      <w:bookmarkStart w:id="3" w:name="X175e4185b6764b234794f3b203cc582b3780343"/>
      <w:r>
        <w:t xml:space="preserve">Versione per affissione (sintesi) – </w:t>
      </w:r>
      <w:r>
        <w:rPr>
          <w:b/>
          <w:bCs/>
        </w:rPr>
        <w:t xml:space="preserve">SICUREZZA IMPIANTO NH₃</w:t>
      </w:r>
      <w:r/>
    </w:p>
    <w:p>
      <w:pPr>
        <w:pStyle w:val="1013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Accesso Limitato:</w:t>
      </w:r>
      <w:r>
        <w:t xml:space="preserve"> Solo personale autorizzato può accedere al locale dei gruppi frigoriferi ad ammoniaca. Tenere la porta chiusa a chiave; segnalare il pericolo di gas tossico.</w:t>
      </w:r>
      <w:r/>
    </w:p>
    <w:p>
      <w:pPr>
        <w:pStyle w:val="1013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DPI Obbligatori:</w:t>
      </w:r>
      <w:r>
        <w:t xml:space="preserve"> In area </w:t>
      </w:r>
      <w:r>
        <w:rPr>
          <w:highlight w:val="none"/>
        </w:rPr>
        <w:t xml:space="preserve">centrali frigo</w:t>
      </w:r>
      <w:r>
        <w:t xml:space="preserve">, occhiali a tenuta, guanti chimici. </w:t>
      </w:r>
      <w:r>
        <w:rPr>
          <w:b/>
          <w:bCs/>
        </w:rPr>
        <w:t xml:space="preserve">Maschera con filtro adatto NH₃</w:t>
      </w:r>
      <w:r>
        <w:t xml:space="preserve"> a portata di mano. Per interventi su impianto carico, usare autorespiratore.</w:t>
      </w:r>
      <w:r/>
    </w:p>
    <w:p>
      <w:pPr>
        <w:pStyle w:val="1013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Rilevatori di Gas:</w:t>
      </w:r>
      <w:r>
        <w:t xml:space="preserve"> Verificare che il sistema di allarme ammoniaca sia attivo (spia verde accesa). In presenza di odore di ammoniaca o allarme sonoro/luminoso: </w:t>
      </w:r>
      <w:r>
        <w:rPr>
          <w:b/>
          <w:bCs/>
        </w:rPr>
        <w:t xml:space="preserve">non entrare da soli!</w:t>
      </w:r>
      <w:r>
        <w:t xml:space="preserve"> Evacuare l’area, avvisare immediatamente il responsabile e la squadra d’emergenza.</w:t>
      </w:r>
      <w:r/>
    </w:p>
    <w:p>
      <w:pPr>
        <w:pStyle w:val="1013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Divieti:</w:t>
      </w:r>
      <w:r>
        <w:t xml:space="preserve"> Vietato fumare o usare fiamme libere vicino all’impianto (l’ammoniaca è infiammabile ad alte concentrazioni). Vietato lavorare sull’impianto in pressione senza aver scaricato il circuito e senza supervisione.</w:t>
      </w:r>
      <w:r/>
    </w:p>
    <w:p>
      <w:pPr>
        <w:pStyle w:val="1013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Manutenzione Sicura:</w:t>
      </w:r>
      <w:r>
        <w:t xml:space="preserve"> Prima di qualunque manutenzione, far evacuare l’ammoniaca in apposita bombola o nel serbatoio di accumulo acqua. Mettere cartello “Lavori in corso – Divieto di accesso”. Lavorare sempre in due operatori addestrati.</w:t>
      </w:r>
      <w:r/>
    </w:p>
    <w:p>
      <w:pPr>
        <w:pStyle w:val="1013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In caso di Perdita:</w:t>
      </w:r>
      <w:r>
        <w:t xml:space="preserve"> Non tentare interventi a mani nude. Se la perdita è piccola e localizzata, e si è addestrati e protetti, si può provare a chiudere una valvola. </w:t>
      </w:r>
      <w:r>
        <w:rPr>
          <w:b/>
          <w:bCs/>
        </w:rPr>
        <w:t xml:space="preserve">Altrimenti evacuare</w:t>
      </w:r>
      <w:r>
        <w:t xml:space="preserve"> e attendere i Vigili del Fuoco. Nebulizzare acqua da distanza per abbattere i vapori solo se sicuro.</w:t>
      </w:r>
      <w:r/>
    </w:p>
    <w:p>
      <w:pPr>
        <w:pStyle w:val="1013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Primo Soccorso:</w:t>
      </w:r>
      <w:r>
        <w:t xml:space="preserve"> Inalazione d</w:t>
      </w:r>
      <w:r>
        <w:t xml:space="preserve">i ammoniaca: portare l’infortunato all’aria aperta subito, chiamare 112. Contatto con occhi/pelle: lavare immediatamente e abbondantemente con acqua per almeno 15 minuti. Togliere indumenti contaminati. Non somministrare nulla per via orale se incosciente.</w:t>
      </w:r>
      <w:r/>
    </w:p>
    <w:p>
      <w:pPr>
        <w:pStyle w:val="1013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Segnalazione Guasti:</w:t>
      </w:r>
      <w:r>
        <w:t xml:space="preserve"> Qualsiasi anomalia (rumori strani, vibrazioni, brina anomala su tubi, odore lieve persistente) va segnalata subito al reparto manutenzione. Non ignorare i piccoli segnali: prevenire è meglio che affrontare emergenze!</w:t>
      </w:r>
      <w:bookmarkEnd w:id="3"/>
      <w:r/>
      <w:r/>
    </w:p>
    <w:p>
      <w:pPr>
        <w:pBdr/>
        <w:spacing/>
        <w:ind/>
        <w:rPr>
          <w:rFonts w:eastAsiaTheme="majorEastAsia" w:cstheme="majorBidi"/>
          <w:color w:val="0f4761" w:themeColor="accent1" w:themeShade="BF"/>
        </w:rPr>
      </w:pPr>
      <w:r>
        <w:br w:type="page" w:clear="all"/>
      </w:r>
      <w:r>
        <w:rPr>
          <w:rFonts w:eastAsiaTheme="majorEastAsia" w:cstheme="majorBidi"/>
          <w:color w:val="0f4761" w:themeColor="accent1" w:themeShade="BF"/>
        </w:rPr>
      </w:r>
      <w:r>
        <w:rPr>
          <w:rFonts w:eastAsiaTheme="majorEastAsia" w:cstheme="majorBidi"/>
          <w:color w:val="0f4761" w:themeColor="accent1" w:themeShade="BF"/>
        </w:rPr>
      </w:r>
    </w:p>
    <w:p>
      <w:pPr>
        <w:pStyle w:val="1003"/>
        <w:numPr>
          <w:ilvl w:val="0"/>
          <w:numId w:val="0"/>
        </w:numPr>
        <w:pBdr/>
        <w:spacing/>
        <w:ind w:hanging="1008" w:left="1008"/>
        <w:rPr/>
      </w:pPr>
      <w:r>
        <w:t xml:space="preserve">Versione estesa – </w:t>
      </w:r>
      <w:r>
        <w:rPr>
          <w:b/>
          <w:bCs/>
        </w:rPr>
        <w:t xml:space="preserve">Uso e Manutenzione in Sicurezza del Sistema Frigorifero ad Ammoniaca</w:t>
      </w:r>
      <w:r/>
    </w:p>
    <w:p>
      <w:pPr>
        <w:pStyle w:val="1012"/>
        <w:pBdr/>
        <w:spacing/>
        <w:ind/>
        <w:rPr/>
      </w:pPr>
      <w:r>
        <w:rPr>
          <w:b/>
          <w:bCs/>
        </w:rPr>
        <w:t xml:space="preserve">Descrizione impianto:</w:t>
      </w:r>
      <w:r>
        <w:t xml:space="preserve"> L’impianto di refrigerazione utilizza ~80 kg di ammoniaca (NH₃) come fluido primario in un circuito chiuso, all’interno </w:t>
      </w:r>
      <w:commentRangeStart w:id="0"/>
      <w:r>
        <w:t xml:space="preserve">di un locale centrale frigo</w:t>
      </w:r>
      <w:commentRangeEnd w:id="0"/>
      <w:r>
        <w:commentReference w:id="0"/>
      </w:r>
      <w:r>
        <w:t xml:space="preserve"> all’est</w:t>
      </w:r>
      <w:r>
        <w:t xml:space="preserve">erno del reparto celle frigo. L’ammoniaca evapora nei condensatori per raffreddare anidride carbonica (CO₂) nel circuito secondario, che a sua volta raffredda le celle frigorifere. Il locale ospita compressori, condensatori e ricevitori di ammoniaca, do</w:t>
      </w:r>
      <w:r>
        <w:t xml:space="preserve">tati di valvole di sicurezza convogliate a un serbatoio d’acqua di emergenza. Sono installati sensori di rilevazione NH₃ collegati a sirene e lampeggianti. </w:t>
      </w:r>
      <w:r>
        <w:rPr>
          <w:highlight w:val="yellow"/>
        </w:rPr>
        <w:t xml:space="preserve">L’impianto è presidiato da un tecnico frigorista interno (o reperibile</w:t>
      </w:r>
      <w:r>
        <w:t xml:space="preserve">) e monitorato con centralina.</w:t>
      </w:r>
      <w:r/>
    </w:p>
    <w:p>
      <w:pPr>
        <w:pStyle w:val="1011"/>
        <w:pBdr/>
        <w:spacing/>
        <w:ind/>
        <w:rPr/>
      </w:pPr>
      <w:r>
        <w:rPr>
          <w:b/>
          <w:bCs/>
        </w:rPr>
        <w:t xml:space="preserve">Rischi principali:</w:t>
      </w:r>
      <w:r>
        <w:t xml:space="preserve"> Ammoniaca è tossica (irritante intenso per occhi, vie respiratorie; ad alte concentrazioni può causare edema polmonare e morte), ha odore pungente che funge da al</w:t>
      </w:r>
      <w:r>
        <w:t xml:space="preserve">larme naturale. È infiammabile oltre il 15% v/v </w:t>
      </w:r>
      <w:r>
        <w:rPr>
          <w:highlight w:val="yellow"/>
        </w:rPr>
        <w:t xml:space="preserve">ma in locale </w:t>
      </w:r>
      <w:commentRangeStart w:id="1"/>
      <w:r>
        <w:rPr>
          <w:highlight w:val="yellow"/>
        </w:rPr>
        <w:t xml:space="preserve">ventilato </w:t>
      </w:r>
      <w:commentRangeEnd w:id="1"/>
      <w:r>
        <w:commentReference w:id="1"/>
      </w:r>
      <w:r>
        <w:rPr>
          <w:highlight w:val="yellow"/>
        </w:rPr>
        <w:t xml:space="preserve">è improbabile</w:t>
      </w:r>
      <w:r>
        <w:t xml:space="preserve"> accumulo esplosivo. Inoltre, l’espansione rapida liquido-&gt;gas causa forte raffreddamento: contatto con liquido/gas sotto pressione può provocare ustioni da congelamento</w:t>
      </w:r>
      <w:r>
        <w:t xml:space="preserve">. Rischio di sovrapressione se il sistema non è controllato (ma ci sono pressostati e valvole tarate). Rischio asfissia meno rilevante perché l’odore pungente allerta prima di sostituzione ossigeno, ma in spazi chiusi saturi di NH₃ c’è anche carenza di O₂.</w:t>
      </w:r>
      <w:r/>
    </w:p>
    <w:p>
      <w:pPr>
        <w:pStyle w:val="1011"/>
        <w:pBdr/>
        <w:spacing/>
        <w:ind/>
        <w:rPr>
          <w:highlight w:val="red"/>
        </w:rPr>
      </w:pPr>
      <w:r>
        <w:rPr>
          <w:b/>
          <w:bCs/>
        </w:rPr>
        <w:t xml:space="preserve">Misure tecniche e protezioni:</w:t>
      </w:r>
      <w:r>
        <w:t xml:space="preserve"> - </w:t>
      </w:r>
      <w:r>
        <w:rPr>
          <w:b/>
          <w:bCs/>
        </w:rPr>
        <w:t xml:space="preserve">Rilevazione e allarme:</w:t>
      </w:r>
      <w:r>
        <w:t xml:space="preserve"> 4 sensori (2 in alto, 2 in basso) nel locale rilevano concentrazioni &gt;300 ppm (preallarme) e &gt;5000 ppm (allarme evacuazione). Preallarme attiva segnale giallo e notifica manute</w:t>
      </w:r>
      <w:r>
        <w:t xml:space="preserve">ntore; allarme attiva sirena, lampeggiante rosso all’esterno locale</w:t>
      </w:r>
      <w:r>
        <w:rPr>
          <w:highlight w:val="none"/>
        </w:rPr>
        <w:t xml:space="preserve">.</w:t>
      </w:r>
      <w:r>
        <w:rPr>
          <w:highlight w:val="none"/>
        </w:rPr>
        <w:t xml:space="preserve">Verificare mensilmente il funzionamento del sistema (test di allarme</w:t>
      </w:r>
      <w:commentRangeStart w:id="2"/>
      <w:r>
        <w:rPr>
          <w:highlight w:val="none"/>
        </w:rPr>
        <w:t xml:space="preserve"> </w:t>
      </w:r>
      <w:r>
        <w:rPr>
          <w:highlight w:val="magenta"/>
        </w:rPr>
        <w:t xml:space="preserve">).</w:t>
      </w:r>
      <w:commentRangeEnd w:id="2"/>
      <w:r>
        <w:commentReference w:id="2"/>
      </w:r>
      <w:r>
        <w:br/>
        <w:t xml:space="preserve">- </w:t>
      </w:r>
      <w:r>
        <w:rPr>
          <w:b/>
          <w:bCs/>
        </w:rPr>
        <w:t xml:space="preserve">Valvole di sicurezza e acqua di abbattimento:</w:t>
      </w:r>
      <w:r>
        <w:t xml:space="preserve"> Il ricevitore di ammoniaca e altri componenti critici hanno valvole di sicur</w:t>
      </w:r>
      <w:r>
        <w:t xml:space="preserve">ezza tarate che scaricano in una tubazione immersa in un serbatoio d’acqua (</w:t>
      </w:r>
      <w:commentRangeStart w:id="3"/>
      <w:r>
        <w:t xml:space="preserve">abbattitore</w:t>
      </w:r>
      <w:commentRangeEnd w:id="3"/>
      <w:r>
        <w:commentReference w:id="3"/>
      </w:r>
      <w:r>
        <w:t xml:space="preserve">). L’acqua dissolve l’ammoniaca limitando l’emissione in aria. Mantenere il livello d’acqua nel serbatoio secondo specifica; il manutentore lo controlla settimanalmente.</w:t>
      </w:r>
      <w:r>
        <w:br/>
        <w:t xml:space="preserve">- </w:t>
      </w:r>
      <w:r>
        <w:rPr>
          <w:b/>
          <w:bCs/>
        </w:rPr>
        <w:t xml:space="preserve">Segregazione e ventilazione:</w:t>
      </w:r>
      <w:r>
        <w:t xml:space="preserve"> </w:t>
      </w:r>
      <w:commentRangeStart w:id="4"/>
      <w:r>
        <w:t xml:space="preserve">Il locale centrale frigo</w:t>
      </w:r>
      <w:commentRangeEnd w:id="4"/>
      <w:r>
        <w:commentReference w:id="4"/>
      </w:r>
      <w:r>
        <w:t xml:space="preserve"> è separ</w:t>
      </w:r>
      <w:r>
        <w:t xml:space="preserve">ato dalle aree di lavoro ordinarie; solo personale autorizzato ha la chiave. Ciò impedisce ingressi casuali. È dotato di aperture per ventilazione naturale</w:t>
      </w:r>
      <w:r>
        <w:t xml:space="preserve">. Non ostruire mai queste aperture.</w:t>
      </w:r>
      <w:r>
        <w:br/>
        <w:t xml:space="preserve">- </w:t>
      </w:r>
      <w:r>
        <w:rPr>
          <w:b/>
          <w:bCs/>
        </w:rPr>
        <w:t xml:space="preserve">DPI e attrezzature emergenza:</w:t>
      </w:r>
      <w:r>
        <w:t xml:space="preserve"> Nell’</w:t>
      </w:r>
      <w:r>
        <w:rPr>
          <w:highlight w:val="none"/>
        </w:rPr>
        <w:t xml:space="preserve">armadietto posizionato all’ingresso del locale sono disponibili DPI e strumenti: autorespiratore isolante (o almeno una </w:t>
      </w:r>
      <w:commentRangeStart w:id="5"/>
      <w:r>
        <w:rPr>
          <w:highlight w:val="none"/>
        </w:rPr>
        <w:t xml:space="preserve">semimaschera </w:t>
      </w:r>
      <w:commentRangeEnd w:id="5"/>
      <w:r>
        <w:commentReference w:id="5"/>
      </w:r>
      <w:r>
        <w:rPr>
          <w:highlight w:val="none"/>
        </w:rPr>
        <w:t xml:space="preserve">con filtro combinato B IP3 specifico per ammoniaca per uso emergenza limitato), g</w:t>
      </w:r>
      <w:r>
        <w:rPr>
          <w:highlight w:val="yellow"/>
        </w:rPr>
        <w:t xml:space="preserve">uanti neoprene pesanti</w:t>
      </w:r>
      <w:r>
        <w:rPr>
          <w:highlight w:val="none"/>
        </w:rPr>
        <w:t xml:space="preserve">, </w:t>
      </w:r>
      <w:commentRangeStart w:id="6"/>
      <w:r>
        <w:rPr>
          <w:highlight w:val="none"/>
        </w:rPr>
        <w:t xml:space="preserve">occhiali a mascherina</w:t>
      </w:r>
      <w:commentRangeEnd w:id="6"/>
      <w:r>
        <w:commentReference w:id="6"/>
      </w:r>
      <w:r>
        <w:rPr>
          <w:highlight w:val="none"/>
        </w:rPr>
        <w:t xml:space="preserve">, </w:t>
      </w:r>
      <w:r>
        <w:rPr>
          <w:highlight w:val="none"/>
        </w:rPr>
        <w:t xml:space="preserve">docc</w:t>
      </w:r>
      <w:r>
        <w:rPr>
          <w:highlight w:val="none"/>
        </w:rPr>
        <w:t xml:space="preserve">ia oculare </w:t>
      </w:r>
      <w:commentRangeStart w:id="7"/>
      <w:r>
        <w:rPr>
          <w:highlight w:val="yellow"/>
        </w:rPr>
        <w:t xml:space="preserve">portatile</w:t>
      </w:r>
      <w:r>
        <w:rPr>
          <w:highlight w:val="none"/>
        </w:rPr>
      </w:r>
      <w:commentRangeEnd w:id="7"/>
      <w:r>
        <w:commentReference w:id="7"/>
      </w:r>
      <w:r>
        <w:rPr>
          <w:highlight w:val="none"/>
        </w:rPr>
        <w:t xml:space="preserve">.</w:t>
      </w:r>
      <w:r>
        <w:t xml:space="preserve"> Presente anche un estintore CO₂ (utile più che altro per l’eventuale olio infiammato, ammoniaca in sé preferibile acqua nebulizzata). </w:t>
      </w:r>
      <w:commentRangeStart w:id="8"/>
      <w:r>
        <w:rPr>
          <w:highlight w:val="yellow"/>
        </w:rPr>
        <w:t xml:space="preserve">Termometro IR</w:t>
      </w:r>
      <w:commentRangeEnd w:id="8"/>
      <w:r>
        <w:commentReference w:id="8"/>
      </w:r>
      <w:r>
        <w:rPr>
          <w:highlight w:val="yellow"/>
        </w:rPr>
        <w:t xml:space="preserve"> e un rilevatore portatile multi-gas (calibrato anche per NH₃) per uso manutenzione</w:t>
      </w:r>
      <w:r>
        <w:t xml:space="preserve">. - </w:t>
      </w:r>
      <w:r>
        <w:rPr>
          <w:b/>
          <w:bCs/>
        </w:rPr>
        <w:t xml:space="preserve">Formazione specifica:</w:t>
      </w:r>
      <w:r>
        <w:rPr>
          <w:highlight w:val="red"/>
        </w:rPr>
        <w:t xml:space="preserve"> </w:t>
      </w:r>
      <w:r>
        <w:rPr>
          <w:highlight w:val="red"/>
        </w:rPr>
        <w:t xml:space="preserve">I manutentori frigoristi hanno patentino F-gas per ammoniaca o comprovata esperienza e sono addestrati alla gestione emergenze chimiche. Il personale generico è solo informato di stare lontano e allertare.</w:t>
      </w:r>
      <w:r>
        <w:rPr>
          <w:highlight w:val="red"/>
        </w:rPr>
      </w:r>
      <w:r>
        <w:rPr>
          <w:highlight w:val="red"/>
        </w:rPr>
      </w:r>
    </w:p>
    <w:p>
      <w:pPr>
        <w:pStyle w:val="1011"/>
        <w:pBdr/>
        <w:spacing/>
        <w:ind/>
        <w:rPr/>
      </w:pPr>
      <w:r>
        <w:rPr>
          <w:b/>
          <w:bCs/>
        </w:rPr>
        <w:t xml:space="preserve">Procedura di utilizzo normale:</w:t>
      </w:r>
      <w:r>
        <w:br/>
        <w:t xml:space="preserve">- </w:t>
      </w:r>
      <w:r>
        <w:rPr>
          <w:b/>
          <w:bCs/>
        </w:rPr>
        <w:t xml:space="preserve">Controlli pre-avvio:</w:t>
      </w:r>
      <w:r>
        <w:t xml:space="preserve"> Prima di accendere i compr</w:t>
      </w:r>
      <w:r>
        <w:t xml:space="preserve">essori (ad esempio dopo fermo), il manutentore verifica: valvole manuali in posizioni corrette, livello olio e ammoniaca nei range, pressione iniziale ok. Indossa almeno casco, occhiali e guanti come precauzione. Avvisa eventuali presenti di stare lontano.</w:t>
      </w:r>
      <w:r>
        <w:br/>
        <w:t xml:space="preserve">- </w:t>
      </w:r>
      <w:r>
        <w:rPr>
          <w:b/>
          <w:bCs/>
        </w:rPr>
        <w:t xml:space="preserve">Monitoraggio in esercizio:</w:t>
      </w:r>
      <w:r>
        <w:t xml:space="preserve"> Durante il funzionamento continuo, non è previsto presidio costante, ma un monitoraggio remoto di temperatura e pressione. Tuttavia, a ogni giro di ispezione giornaliero, il manutentore controlla parametri su</w:t>
      </w:r>
      <w:r>
        <w:t xml:space="preserve">l posto (pressione mandata e aspirazione, temperatura evaporatore, corrente assorbita compressori). Fa attenzione a segni di perdite: odore lieve di ammoniaca, tracce di brina dove non dovrebbero esserci, suono sibilante. </w:t>
      </w:r>
      <w:r>
        <w:rPr>
          <w:highlight w:val="red"/>
        </w:rPr>
        <w:t xml:space="preserve">Se tutto regolare, compila il</w:t>
      </w:r>
      <w:r>
        <w:rPr>
          <w:highlight w:val="red"/>
        </w:rPr>
        <w:t xml:space="preserve"> </w:t>
      </w:r>
      <w:commentRangeStart w:id="9"/>
      <w:r>
        <w:rPr>
          <w:highlight w:val="red"/>
        </w:rPr>
        <w:t xml:space="preserve">l</w:t>
      </w:r>
      <w:r>
        <w:rPr>
          <w:highlight w:val="red"/>
        </w:rPr>
        <w:t xml:space="preserve">og</w:t>
      </w:r>
      <w:commentRangeEnd w:id="9"/>
      <w:r>
        <w:commentReference w:id="9"/>
      </w:r>
      <w:r>
        <w:rPr>
          <w:highlight w:val="red"/>
        </w:rPr>
        <w:t xml:space="preserve">.</w:t>
      </w:r>
      <w:r>
        <w:br/>
        <w:t xml:space="preserve">- </w:t>
      </w:r>
      <w:r>
        <w:rPr>
          <w:b/>
          <w:bCs/>
        </w:rPr>
        <w:t xml:space="preserve">Procedure di regolazione:</w:t>
      </w:r>
      <w:r>
        <w:t xml:space="preserve"> Qualora serva regolare una valvola di espansione o simili, operare lentamente e con DPI (guanti, visiera). Mai posizionarsi con il volto sopra eventuali sfiati. Per spurghi di olio (dal separatore olio compre</w:t>
      </w:r>
      <w:r>
        <w:t xml:space="preserve">ssori) usare la procedura: spegnere compressore, collegare flessibile alla valvola di spurgo, convogliare in recipiente idoneo, indossare visiera e aprire lentamente valvola raccogliendo miscela olio/NH₃ residua. Operazione da fare all’aperto se possibile.</w:t>
      </w:r>
      <w:r/>
    </w:p>
    <w:p>
      <w:pPr>
        <w:pStyle w:val="1011"/>
        <w:pBdr/>
        <w:spacing/>
        <w:ind/>
        <w:rPr/>
      </w:pPr>
      <w:r>
        <w:rPr>
          <w:b/>
          <w:bCs/>
        </w:rPr>
        <w:t xml:space="preserve">Procedure in caso di allarme o anomalia:</w:t>
      </w:r>
      <w:r>
        <w:br/>
        <w:t xml:space="preserve">- </w:t>
      </w:r>
      <w:r>
        <w:rPr>
          <w:b/>
          <w:bCs/>
        </w:rPr>
        <w:t xml:space="preserve">Allarme </w:t>
      </w:r>
      <w:r>
        <w:rPr>
          <w:b/>
          <w:bCs/>
        </w:rPr>
        <w:t xml:space="preserve">pre-sensor</w:t>
      </w:r>
      <w:r>
        <w:rPr>
          <w:b/>
          <w:bCs/>
        </w:rPr>
        <w:t xml:space="preserve"> &lt;300ppm:</w:t>
      </w:r>
      <w:r>
        <w:t xml:space="preserve"> ad es. odore percepito lievemente ma nessun allarme strumentale: Considerare verosimilmente &lt;50 ppm (olfattiva soglia ~5 ppm, percepibile da molti). In tal caso, non entrare da soli nel container</w:t>
      </w:r>
      <w:r>
        <w:t xml:space="preserve"> per “investigare”. Avvisare un secondo manutentore. Indossare maschera con filtro B o autorespiratore prima di entrare anche se odore è leggero, per prudenza. Entrare in due (uno resta vicino alla porta aperta). </w:t>
      </w:r>
      <w:r>
        <w:rPr>
          <w:highlight w:val="yellow"/>
        </w:rPr>
        <w:t xml:space="preserve">Usare il rilevatore portatile per misurare </w:t>
      </w:r>
      <w:r>
        <w:rPr>
          <w:highlight w:val="yellow"/>
        </w:rPr>
        <w:t xml:space="preserve">conc</w:t>
      </w:r>
      <w:r>
        <w:t xml:space="preserve">. </w:t>
      </w:r>
      <w:r>
        <w:rPr>
          <w:highlight w:val="none"/>
        </w:rPr>
        <w:t xml:space="preserve">E</w:t>
      </w:r>
      <w:r>
        <w:rPr>
          <w:highlight w:val="none"/>
        </w:rPr>
        <w:t xml:space="preserve">ffettuare</w:t>
      </w:r>
      <w:r>
        <w:t xml:space="preserve"> ispezione visiva rapida: possibile perdita da guarnizioni, valvoline spurgo? Se identificata piccola perdita e condizioni sicure (</w:t>
      </w:r>
      <w:r>
        <w:t xml:space="preserve">conc</w:t>
      </w:r>
      <w:r>
        <w:t xml:space="preserve">. sotto </w:t>
      </w:r>
      <w:r>
        <w:t xml:space="preserve">100</w:t>
      </w:r>
      <w:r>
        <w:t xml:space="preserve"> ppm), provare a contenere: stringere leggermente dado, chiudere spurgo. Se non si identifica o il livello è incerto, uscire. Pianificare intervento risolutivo (con svuotamento sistema se serve).</w:t>
      </w:r>
      <w:r>
        <w:br/>
        <w:t xml:space="preserve">- </w:t>
      </w:r>
      <w:r>
        <w:rPr>
          <w:b/>
          <w:bCs/>
        </w:rPr>
        <w:t xml:space="preserve">Allarme sensore (sirena attiva):</w:t>
      </w:r>
      <w:r>
        <w:t xml:space="preserve"> significa </w:t>
      </w:r>
      <w:r>
        <w:t xml:space="preserve">conc</w:t>
      </w:r>
      <w:r>
        <w:t xml:space="preserve">. elevata, potenzialmente pericolosa. </w:t>
      </w:r>
      <w:r>
        <w:rPr>
          <w:b/>
          <w:bCs/>
        </w:rPr>
        <w:t xml:space="preserve">Procedura immediata:</w:t>
      </w:r>
      <w:r>
        <w:t xml:space="preserve"> Non entrare! Evacuare eventuale persona nel locale se cosciente (chiunque entri deve farlo con autorespiratore). Dare l’allarme generale (far suonare sirena emergenza se non già integrato, chiamare 112). Allontanare tutti </w:t>
      </w:r>
      <w:r>
        <w:t xml:space="preserve">downwind</w:t>
      </w:r>
      <w:r>
        <w:t xml:space="preserve"> entro almeno 50 m. </w:t>
      </w:r>
      <w:r>
        <w:rPr>
          <w:highlight w:val="yellow"/>
        </w:rPr>
        <w:t xml:space="preserve">Squadra emergenza in autorespiratore si prepara.</w:t>
      </w:r>
      <w:r>
        <w:t xml:space="preserve"> Se visivamente dall’esterno si individua causa (es. rottura tubazione visibile con nube), </w:t>
      </w:r>
      <w:r>
        <w:rPr>
          <w:i/>
          <w:iCs/>
        </w:rPr>
        <w:t xml:space="preserve">non intervenire direttamente</w:t>
      </w:r>
      <w:r>
        <w:t xml:space="preserve">, attendere Vigili del Fuoco chimici. Se invece sirena è scattata magari per rilascio da valvola di sicurezza e il sistema di acqu</w:t>
      </w:r>
      <w:r>
        <w:t xml:space="preserve">a abbattimento sta funzionando (si vede vapore acqueo), la squadra emergenza può, con cautela e in protezione, raffreddare dall’esterno il locale con acqua nebulizzata per far condensare ammoniaca in aria (tenersi sopravento!). In ogni caso, l’ordine è </w:t>
      </w:r>
      <w:r>
        <w:rPr>
          <w:i/>
          <w:iCs/>
        </w:rPr>
        <w:t xml:space="preserve">nessuna persona non protetta entra in zona</w:t>
      </w:r>
      <w:r>
        <w:t xml:space="preserve">. I VV.F., una volta arrivati, prenderanno in carico la neutralizzazione. Il referente interno fornisce informazioni su impianto (schema, punti accesso, etc.).</w:t>
      </w:r>
      <w:r>
        <w:br/>
        <w:t xml:space="preserve">- </w:t>
      </w:r>
      <w:r>
        <w:rPr>
          <w:b/>
          <w:bCs/>
        </w:rPr>
        <w:t xml:space="preserve">Micro-perdite persistenti:</w:t>
      </w:r>
      <w:r>
        <w:t xml:space="preserve"> a volte l’olfatto rileva ammoniaca lieve in zone vicino evaporatori in celle. Può essere dovuto a trafilamenti minimi. Anche se non pericolosi acutamente, vanno </w:t>
      </w:r>
      <w:r>
        <w:t xml:space="preserve">risolti: l’ammoniaca corrode rame e infastidisce lavoratori. Segnalare subito e programmare manutenzione. Nel frattempo, ventilare aprendo porte.</w:t>
      </w:r>
      <w:r/>
    </w:p>
    <w:p>
      <w:pPr>
        <w:pStyle w:val="1011"/>
        <w:pBdr/>
        <w:spacing/>
        <w:ind/>
        <w:rPr/>
      </w:pPr>
      <w:r>
        <w:rPr>
          <w:b/>
          <w:bCs/>
        </w:rPr>
        <w:t xml:space="preserve">Divieti particolari:</w:t>
      </w:r>
      <w:r>
        <w:t xml:space="preserve"> Non bypassare</w:t>
      </w:r>
      <w:r>
        <w:t xml:space="preserve"> mai i sistemi di sicurezza del frigorifero (es. non alzare taratura pressostato per far girare compressore di più – pericoloso); non usare fiamme per cercare perdite (metodo vecchio, rischia incendio con olio/ammoniaca); non miscelare ammoniaca con cloro/</w:t>
      </w:r>
      <w:r>
        <w:t xml:space="preserve">bleach</w:t>
      </w:r>
      <w:r>
        <w:t xml:space="preserve"> – reazione pericolosa (mai usare candeggina per pulire zone con residui ammoniaca).</w:t>
      </w:r>
      <w:r>
        <w:rPr>
          <w:highlight w:val="red"/>
        </w:rPr>
      </w:r>
      <w:r/>
    </w:p>
    <w:p>
      <w:pPr>
        <w:pStyle w:val="1011"/>
        <w:pBdr/>
        <w:spacing/>
        <w:ind/>
        <w:rPr/>
      </w:pPr>
      <w:r>
        <w:rPr>
          <w:b/>
          <w:bCs/>
        </w:rPr>
        <w:t xml:space="preserve">DPI richiesti dettagli:</w:t>
      </w:r>
      <w:r>
        <w:t xml:space="preserve"> Come previsto da DVR.</w:t>
      </w:r>
      <w:r/>
    </w:p>
    <w:p>
      <w:pPr>
        <w:pStyle w:val="1011"/>
        <w:pBdr/>
        <w:spacing/>
        <w:ind/>
        <w:rPr/>
      </w:pPr>
      <w:r>
        <w:rPr>
          <w:b/>
          <w:bCs/>
        </w:rPr>
        <w:t xml:space="preserve">Responsabilità e vigilanza:</w:t>
      </w:r>
      <w:r>
        <w:t xml:space="preserve"> Il </w:t>
      </w:r>
      <w:r>
        <w:rPr>
          <w:b/>
          <w:bCs/>
        </w:rPr>
        <w:t xml:space="preserve">Responsabile di Manutenzione</w:t>
      </w:r>
      <w:r>
        <w:t xml:space="preserve"> assicura che i tecnici siano formati e che l’impianto sia soggetto a manutenzione preventiva (controlli </w:t>
      </w:r>
      <w:r>
        <w:t xml:space="preserve">spessimetrici</w:t>
      </w:r>
      <w:r>
        <w:t xml:space="preserve"> e verifica valvole come da PROC-07). Il </w:t>
      </w:r>
      <w:r>
        <w:rPr>
          <w:b/>
          <w:bCs/>
        </w:rPr>
        <w:t xml:space="preserve">Manutentore frigorista</w:t>
      </w:r>
      <w:r>
        <w:t xml:space="preserve"> è responsabile di seguire le procedure sopra, di non prendere rischi e di segnalare immediatamente problemi. Il </w:t>
      </w:r>
      <w:r>
        <w:rPr>
          <w:b/>
          <w:bCs/>
        </w:rPr>
        <w:t xml:space="preserve">Preposto di produzione</w:t>
      </w:r>
      <w:r>
        <w:t xml:space="preserve"> in area celle frigo vigila che nessuno entri nel locale non autorizzato e che i lavoratori in celle riferiscano immediatamente odori anomali. Il </w:t>
      </w:r>
      <w:r>
        <w:rPr>
          <w:b/>
          <w:bCs/>
        </w:rPr>
        <w:t xml:space="preserve">RSPP</w:t>
      </w:r>
      <w:r>
        <w:t xml:space="preserve"> aggiorna il DVR e le procedure se vi sono modifiche (es. aggiunta di più ammoniaca, cambio layout). Tutti i lavoratori sono tenuti a rispettare i cartelli di divieto accesso e segnalare immediatamente se percepiscono odore di ammoniaca in qualunque area.</w:t>
      </w:r>
      <w:r/>
    </w:p>
    <w:p>
      <w:pPr>
        <w:pStyle w:val="1011"/>
        <w:pBdr/>
        <w:spacing/>
        <w:ind/>
        <w:rPr/>
      </w:pPr>
      <w:r>
        <w:rPr>
          <w:b/>
          <w:bCs/>
        </w:rPr>
        <w:t xml:space="preserve">Controlli e registrazioni:</w:t>
      </w:r>
      <w:r>
        <w:t xml:space="preserve"> </w:t>
      </w:r>
      <w:r>
        <w:rPr>
          <w:highlight w:val="red"/>
        </w:rPr>
        <w:t xml:space="preserve">I controlli di routine (check giornaliero parametri, test allarme mensile, controllo acqua abbattimento) sono registrati su</w:t>
      </w:r>
      <w:commentRangeStart w:id="10"/>
      <w:r>
        <w:rPr>
          <w:highlight w:val="red"/>
        </w:rPr>
        <w:t xml:space="preserve"> log manutenzione</w:t>
      </w:r>
      <w:commentRangeEnd w:id="10"/>
      <w:r>
        <w:commentReference w:id="10"/>
      </w:r>
      <w:r>
        <w:rPr>
          <w:highlight w:val="red"/>
        </w:rPr>
        <w:t xml:space="preserve">.</w:t>
      </w:r>
      <w:r>
        <w:t xml:space="preserve"> </w:t>
      </w:r>
      <w:r>
        <w:rPr>
          <w:highlight w:val="red"/>
        </w:rPr>
        <w:t xml:space="preserve">Le manutenz</w:t>
      </w:r>
      <w:r>
        <w:rPr>
          <w:highlight w:val="red"/>
        </w:rPr>
        <w:t xml:space="preserve">ioni straordinarie (con travasi ammoniaca) vengono registrate su apposito </w:t>
      </w:r>
      <w:commentRangeStart w:id="11"/>
      <w:r>
        <w:rPr>
          <w:highlight w:val="red"/>
        </w:rPr>
        <w:t xml:space="preserve">modulo intervento</w:t>
      </w:r>
      <w:commentRangeEnd w:id="11"/>
      <w:r>
        <w:commentReference w:id="11"/>
      </w:r>
      <w:r>
        <w:rPr>
          <w:highlight w:val="red"/>
        </w:rPr>
        <w:t xml:space="preserve"> con quantità di ammoniaca movimentata.</w:t>
      </w:r>
      <w:r>
        <w:t xml:space="preserve"> </w:t>
      </w:r>
      <w:r>
        <w:rPr>
          <w:highlight w:val="red"/>
        </w:rPr>
        <w:t xml:space="preserve">L’RSPP effettua un </w:t>
      </w:r>
      <w:commentRangeStart w:id="12"/>
      <w:r>
        <w:rPr>
          <w:highlight w:val="red"/>
        </w:rPr>
        <w:t xml:space="preserve">audit semestrale</w:t>
      </w:r>
      <w:commentRangeEnd w:id="12"/>
      <w:r>
        <w:commentReference w:id="12"/>
      </w:r>
      <w:r>
        <w:rPr>
          <w:highlight w:val="red"/>
        </w:rPr>
        <w:t xml:space="preserve"> sullo stato del sistema NH₃ (verifica aggiornamento formazione, disponibilità DPI, esito </w:t>
      </w:r>
      <w:r>
        <w:rPr>
          <w:highlight w:val="red"/>
        </w:rPr>
        <w:t xml:space="preserve">calibr</w:t>
      </w:r>
      <w:r>
        <w:rPr>
          <w:highlight w:val="red"/>
        </w:rPr>
        <w:t xml:space="preserve">. sensori) e riporta gli esiti nella riunione sicurezza.</w:t>
      </w:r>
      <w:r>
        <w:rPr>
          <w:highlight w:val="none"/>
        </w:rPr>
        <w:t xml:space="preserve"> I</w:t>
      </w:r>
      <w:r>
        <w:rPr>
          <w:highlight w:val="none"/>
        </w:rPr>
        <w:t xml:space="preserve"> Vigili del Fuoco eseguono ispezioni periodiche se impianto soggetto a controllo (in quanto gas tossico, notifica (ex art. 8 D.Lgs.334/99 se applicabile per quantità, attualmente &lt; </w:t>
      </w:r>
      <w:r>
        <w:rPr>
          <w:highlight w:val="none"/>
        </w:rPr>
        <w:t xml:space="preserve">threshold</w:t>
      </w:r>
      <w:r>
        <w:rPr>
          <w:highlight w:val="none"/>
        </w:rPr>
        <w:t xml:space="preserve">)</w:t>
      </w:r>
      <w:r>
        <w:rPr>
          <w:highlight w:val="none"/>
        </w:rPr>
        <w:t xml:space="preserve">.</w:t>
      </w:r>
      <w:r>
        <w:t xml:space="preserve"> Inoltre, dopo ogni emergenza reale o simulata, viene compilato un rapporto per valutare tempi di risposta e miglioramenti.</w:t>
      </w:r>
      <w:r/>
    </w:p>
    <w:p>
      <w:pPr>
        <w:pBdr/>
        <w:spacing/>
        <w:ind/>
        <w:rPr/>
      </w:pPr>
      <w:r/>
      <w:bookmarkEnd w:id="2"/>
      <w:r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2" w:author="Francesco Scavello" w:date="2025-10-25T11:05:59Z" w:initials="FS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Dovremmo farla, anche sto mese, magari giustificando che veniva fatto ma non registrato e quindi parte da sto mese</w:t>
      </w:r>
    </w:p>
  </w:comment>
  <w:comment w:id="11" w:author="Francesco Scavello" w:date="2025-10-25T11:05:06Z" w:initials="FS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Potrebbe bastare l'excel delle manutenzioni. Se inserissimo ad esempio una riga o una colonna relativa all'ammoniaca? ne compiliamo magari qualche riga e sarebbe apposto</w:t>
      </w:r>
    </w:p>
  </w:comment>
  <w:comment w:id="10" w:author="Francesco Scavello" w:date="2025-10-25T11:03:28Z" w:initials="FS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Da capire se lo dobbiamo fare (anche solo questo mese)</w:t>
      </w:r>
    </w:p>
  </w:comment>
  <w:comment w:id="9" w:author="Francesco Scavello" w:date="2025-10-25T10:56:01Z" w:initials="FS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Frase da rimuovere - potrebbe non essere fondamentale.</w:t>
      </w:r>
    </w:p>
  </w:comment>
  <w:comment w:id="8" w:author="Francesco Scavello" w:date="2025-10-25T10:54:57Z" w:initials="FS"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Ne ho visto uno in ufficio, stanza Sig. Imbesi, mettere le batterie e portarlo nell'armadietto</w:t>
      </w:r>
    </w:p>
  </w:comment>
  <w:comment w:id="7" w:author="Francesco Scavello" w:date="2025-10-25T10:54:23Z" w:initials="FS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Chiamare Flaccomio e ritirare le soluzioni lavaocchi.</w:t>
      </w:r>
    </w:p>
  </w:comment>
  <w:comment w:id="6" w:author="Francesco Scavello" w:date="2025-10-25T10:53:51Z" w:initials="FS"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Portare almeno un paio di occhiali nell'armadietto.</w:t>
      </w:r>
    </w:p>
  </w:comment>
  <w:comment w:id="5" w:author="Francesco Scavello" w:date="2025-10-25T10:53:15Z" w:initials="FS">
    <w:p w14:paraId="00000008" w14:textId="0000000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Comunicazione ad Andrea che per il giorno dell'audit la maschera sia posizionata dell'armadietto</w:t>
      </w:r>
    </w:p>
  </w:comment>
  <w:comment w:id="4" w:author="Francesco Scavello" w:date="2025-10-25T10:51:52Z" w:initials="FS">
    <w:p w14:paraId="00000009" w14:textId="0000000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O i locali centrale frigo</w:t>
      </w:r>
    </w:p>
  </w:comment>
  <w:comment w:id="3" w:author="Francesco Scavello" w:date="2025-10-25T10:51:25Z" w:initials="FS">
    <w:p w14:paraId="0000000A" w14:textId="0000000A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Abbiamo effettivamente un abbattitore?</w:t>
      </w:r>
    </w:p>
  </w:comment>
  <w:comment w:id="2" w:author="Francesco Scavello" w:date="2025-10-25T10:51:02Z" w:initials="FS">
    <w:p w14:paraId="0000000B" w14:textId="0000000B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O facciamo dei report di qualche mese o rimuoviamo la frase.</w:t>
      </w:r>
    </w:p>
  </w:comment>
  <w:comment w:id="1" w:author="Francesco Scavello" w:date="2025-10-25T10:48:53Z" w:initials="FS">
    <w:p w14:paraId="0000000C" w14:textId="0000000C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Non esiste ventilazione forzata - frase non necessaria - si può eliminare per evitare problemi.</w:t>
      </w:r>
    </w:p>
  </w:comment>
  <w:comment w:id="0" w:author="Francesco Scavello" w:date="2025-10-25T10:46:42Z" w:initials="FS">
    <w:p w14:paraId="0000000D" w14:textId="0000000D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O meglio, di due locali centrale frigo.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  <w15:commentEx w15:paraId="00000003" w15:done="0"/>
  <w15:commentEx w15:paraId="00000004" w15:done="0"/>
  <w15:commentEx w15:paraId="00000005" w15:done="0"/>
  <w15:commentEx w15:paraId="00000006" w15:done="0"/>
  <w15:commentEx w15:paraId="00000007" w15:done="0"/>
  <w15:commentEx w15:paraId="00000008" w15:done="0"/>
  <w15:commentEx w15:paraId="00000009" w15:done="0"/>
  <w15:commentEx w15:paraId="0000000A" w15:done="0"/>
  <w15:commentEx w15:paraId="0000000B" w15:done="0"/>
  <w15:commentEx w15:paraId="0000000C" w15:done="0"/>
  <w15:commentEx w15:paraId="0000000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7BCBFD01" w16cex:dateUtc="2025-10-25T09:05:59Z"/>
  <w16cex:commentExtensible w16cex:durableId="045B5151" w16cex:dateUtc="2025-10-25T09:05:06Z"/>
  <w16cex:commentExtensible w16cex:durableId="7F08A3DB" w16cex:dateUtc="2025-10-25T09:03:28Z"/>
  <w16cex:commentExtensible w16cex:durableId="4495F34E" w16cex:dateUtc="2025-10-25T08:56:01Z"/>
  <w16cex:commentExtensible w16cex:durableId="01AA300C" w16cex:dateUtc="2025-10-25T08:54:57Z"/>
  <w16cex:commentExtensible w16cex:durableId="4C9215D1" w16cex:dateUtc="2025-10-25T08:54:23Z"/>
  <w16cex:commentExtensible w16cex:durableId="27978A47" w16cex:dateUtc="2025-10-25T08:53:51Z"/>
  <w16cex:commentExtensible w16cex:durableId="17374E87" w16cex:dateUtc="2025-10-25T08:53:15Z"/>
  <w16cex:commentExtensible w16cex:durableId="0273ED4A" w16cex:dateUtc="2025-10-25T08:51:52Z"/>
  <w16cex:commentExtensible w16cex:durableId="364A9B8B" w16cex:dateUtc="2025-10-25T08:51:25Z"/>
  <w16cex:commentExtensible w16cex:durableId="6DB0C947" w16cex:dateUtc="2025-10-25T08:51:02Z"/>
  <w16cex:commentExtensible w16cex:durableId="24C245F3" w16cex:dateUtc="2025-10-25T08:48:53Z"/>
  <w16cex:commentExtensible w16cex:durableId="17D653C4" w16cex:dateUtc="2025-10-25T08:46:4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7BCBFD01"/>
  <w16cid:commentId w16cid:paraId="00000002" w16cid:durableId="045B5151"/>
  <w16cid:commentId w16cid:paraId="00000003" w16cid:durableId="7F08A3DB"/>
  <w16cid:commentId w16cid:paraId="00000004" w16cid:durableId="4495F34E"/>
  <w16cid:commentId w16cid:paraId="00000005" w16cid:durableId="01AA300C"/>
  <w16cid:commentId w16cid:paraId="00000006" w16cid:durableId="4C9215D1"/>
  <w16cid:commentId w16cid:paraId="00000007" w16cid:durableId="27978A47"/>
  <w16cid:commentId w16cid:paraId="00000008" w16cid:durableId="17374E87"/>
  <w16cid:commentId w16cid:paraId="00000009" w16cid:durableId="0273ED4A"/>
  <w16cid:commentId w16cid:paraId="0000000A" w16cid:durableId="364A9B8B"/>
  <w16cid:commentId w16cid:paraId="0000000B" w16cid:durableId="6DB0C947"/>
  <w16cid:commentId w16cid:paraId="0000000C" w16cid:durableId="24C245F3"/>
  <w16cid:commentId w16cid:paraId="0000000D" w16cid:durableId="17D653C4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1083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108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1085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1081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1081"/>
            <w:pBdr/>
            <w:spacing/>
            <w:ind/>
            <w:rPr>
              <w:lang w:val="it-IT"/>
            </w:rPr>
          </w:pPr>
          <w:r>
            <w:rPr>
              <w:b/>
              <w:bCs/>
            </w:rPr>
            <w:t xml:space="preserve">IO-01: Uso in Sicurezza dell’Impianto ad Ammoniaca (Refrigerazione)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1081"/>
            <w:pBdr/>
            <w:spacing/>
            <w:ind/>
            <w:rPr/>
          </w:pPr>
          <w:r>
            <w:t xml:space="preserve">IO-01</w:t>
          </w:r>
          <w:r/>
        </w:p>
        <w:p>
          <w:pPr>
            <w:pStyle w:val="1081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</w:tr>
  </w:tbl>
  <w:p>
    <w:pPr>
      <w:pStyle w:val="108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525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597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669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741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813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885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957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1029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11017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999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00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01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02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03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04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05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06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07"/>
      <w:rPr>
        <w:rFonts w:hint="default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1"/>
  </w:num>
  <w:num w:numId="2">
    <w:abstractNumId w:val="14"/>
  </w:num>
  <w:num w:numId="3">
    <w:abstractNumId w:val="15"/>
  </w:num>
  <w:num w:numId="4">
    <w:abstractNumId w:val="4"/>
  </w:num>
  <w:num w:numId="5">
    <w:abstractNumId w:val="20"/>
  </w:num>
  <w:num w:numId="6">
    <w:abstractNumId w:val="19"/>
  </w:num>
  <w:num w:numId="7">
    <w:abstractNumId w:val="1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13"/>
  </w:num>
  <w:num w:numId="11">
    <w:abstractNumId w:val="5"/>
  </w:num>
  <w:num w:numId="12">
    <w:abstractNumId w:val="18"/>
  </w:num>
  <w:num w:numId="13">
    <w:abstractNumId w:val="9"/>
  </w:num>
  <w:num w:numId="14">
    <w:abstractNumId w:val="16"/>
  </w:num>
  <w:num w:numId="15">
    <w:abstractNumId w:val="7"/>
  </w:num>
  <w:num w:numId="16">
    <w:abstractNumId w:val="3"/>
  </w:num>
  <w:num w:numId="17">
    <w:abstractNumId w:val="12"/>
  </w:num>
  <w:num w:numId="18">
    <w:abstractNumId w:val="6"/>
  </w:num>
  <w:num w:numId="19">
    <w:abstractNumId w:val="17"/>
  </w:num>
  <w:num w:numId="20">
    <w:abstractNumId w:val="0"/>
  </w:num>
  <w:num w:numId="21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Francesco Scavello">
    <w15:presenceInfo w15:providerId="Teamlab" w15:userId="ocxcoxtpen8o_Scavell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6">
    <w:name w:val="Table Grid Light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2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- Accent 1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2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3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4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5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6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5 Dark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ned - Accent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 1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2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3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4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5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6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&amp; Lined - Accent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 1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2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3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4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5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6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0">
    <w:name w:val="Heading 1 Char"/>
    <w:basedOn w:val="1008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1">
    <w:name w:val="Heading 2 Char"/>
    <w:basedOn w:val="1008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2">
    <w:name w:val="Heading 3 Char"/>
    <w:basedOn w:val="1008"/>
    <w:link w:val="10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3">
    <w:name w:val="Heading 4 Char"/>
    <w:basedOn w:val="1008"/>
    <w:link w:val="10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4">
    <w:name w:val="Heading 5 Char"/>
    <w:basedOn w:val="1008"/>
    <w:link w:val="10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5">
    <w:name w:val="Heading 6 Char"/>
    <w:basedOn w:val="1008"/>
    <w:link w:val="10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6">
    <w:name w:val="Heading 7 Char"/>
    <w:basedOn w:val="1008"/>
    <w:link w:val="10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7">
    <w:name w:val="Heading 8 Char"/>
    <w:basedOn w:val="1008"/>
    <w:link w:val="10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8">
    <w:name w:val="Heading 9 Char"/>
    <w:basedOn w:val="1008"/>
    <w:link w:val="10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9">
    <w:name w:val="Title Char"/>
    <w:basedOn w:val="1008"/>
    <w:link w:val="10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70">
    <w:name w:val="Subtitle Char"/>
    <w:basedOn w:val="1008"/>
    <w:link w:val="10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1">
    <w:name w:val="Quote"/>
    <w:basedOn w:val="998"/>
    <w:next w:val="998"/>
    <w:link w:val="9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2">
    <w:name w:val="Quote Char"/>
    <w:basedOn w:val="1008"/>
    <w:link w:val="9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3">
    <w:name w:val="Intense Emphasis"/>
    <w:basedOn w:val="10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4">
    <w:name w:val="Intense Quote"/>
    <w:basedOn w:val="998"/>
    <w:next w:val="998"/>
    <w:link w:val="9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5">
    <w:name w:val="Intense Quote Char"/>
    <w:basedOn w:val="1008"/>
    <w:link w:val="9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6">
    <w:name w:val="Intense Reference"/>
    <w:basedOn w:val="10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7">
    <w:name w:val="No Spacing"/>
    <w:basedOn w:val="998"/>
    <w:uiPriority w:val="1"/>
    <w:qFormat/>
    <w:pPr>
      <w:pBdr/>
      <w:spacing w:after="0" w:line="240" w:lineRule="auto"/>
      <w:ind/>
    </w:pPr>
  </w:style>
  <w:style w:type="character" w:styleId="978">
    <w:name w:val="Subtle Emphasis"/>
    <w:basedOn w:val="10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9">
    <w:name w:val="Emphasis"/>
    <w:basedOn w:val="1008"/>
    <w:uiPriority w:val="20"/>
    <w:qFormat/>
    <w:pPr>
      <w:pBdr/>
      <w:spacing/>
      <w:ind/>
    </w:pPr>
    <w:rPr>
      <w:i/>
      <w:iCs/>
    </w:rPr>
  </w:style>
  <w:style w:type="character" w:styleId="980">
    <w:name w:val="Strong"/>
    <w:basedOn w:val="1008"/>
    <w:uiPriority w:val="22"/>
    <w:qFormat/>
    <w:pPr>
      <w:pBdr/>
      <w:spacing/>
      <w:ind/>
    </w:pPr>
    <w:rPr>
      <w:b/>
      <w:bCs/>
    </w:rPr>
  </w:style>
  <w:style w:type="character" w:styleId="981">
    <w:name w:val="Subtle Reference"/>
    <w:basedOn w:val="10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2">
    <w:name w:val="Book Title"/>
    <w:basedOn w:val="100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3">
    <w:name w:val="Header Char"/>
    <w:basedOn w:val="1008"/>
    <w:link w:val="1081"/>
    <w:uiPriority w:val="99"/>
    <w:pPr>
      <w:pBdr/>
      <w:spacing/>
      <w:ind/>
    </w:pPr>
  </w:style>
  <w:style w:type="character" w:styleId="984">
    <w:name w:val="Footer Char"/>
    <w:basedOn w:val="1008"/>
    <w:link w:val="1083"/>
    <w:uiPriority w:val="99"/>
    <w:pPr>
      <w:pBdr/>
      <w:spacing/>
      <w:ind/>
    </w:pPr>
  </w:style>
  <w:style w:type="character" w:styleId="985">
    <w:name w:val="Footnote Text Char"/>
    <w:basedOn w:val="1008"/>
    <w:link w:val="1033"/>
    <w:uiPriority w:val="99"/>
    <w:semiHidden/>
    <w:pPr>
      <w:pBdr/>
      <w:spacing/>
      <w:ind/>
    </w:pPr>
    <w:rPr>
      <w:sz w:val="20"/>
      <w:szCs w:val="20"/>
    </w:rPr>
  </w:style>
  <w:style w:type="paragraph" w:styleId="986">
    <w:name w:val="endnote text"/>
    <w:basedOn w:val="998"/>
    <w:link w:val="9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7">
    <w:name w:val="Endnote Text Char"/>
    <w:basedOn w:val="1008"/>
    <w:link w:val="986"/>
    <w:uiPriority w:val="99"/>
    <w:semiHidden/>
    <w:pPr>
      <w:pBdr/>
      <w:spacing/>
      <w:ind/>
    </w:pPr>
    <w:rPr>
      <w:sz w:val="20"/>
      <w:szCs w:val="20"/>
    </w:rPr>
  </w:style>
  <w:style w:type="character" w:styleId="988">
    <w:name w:val="endnote reference"/>
    <w:basedOn w:val="1008"/>
    <w:uiPriority w:val="99"/>
    <w:semiHidden/>
    <w:unhideWhenUsed/>
    <w:pPr>
      <w:pBdr/>
      <w:spacing/>
      <w:ind/>
    </w:pPr>
    <w:rPr>
      <w:vertAlign w:val="superscript"/>
    </w:rPr>
  </w:style>
  <w:style w:type="character" w:styleId="989">
    <w:name w:val="FollowedHyperlink"/>
    <w:basedOn w:val="10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0">
    <w:name w:val="toc 4"/>
    <w:basedOn w:val="998"/>
    <w:next w:val="998"/>
    <w:uiPriority w:val="39"/>
    <w:unhideWhenUsed/>
    <w:pPr>
      <w:pBdr/>
      <w:spacing w:after="100"/>
      <w:ind w:left="660"/>
    </w:pPr>
  </w:style>
  <w:style w:type="paragraph" w:styleId="991">
    <w:name w:val="toc 5"/>
    <w:basedOn w:val="998"/>
    <w:next w:val="998"/>
    <w:uiPriority w:val="39"/>
    <w:unhideWhenUsed/>
    <w:pPr>
      <w:pBdr/>
      <w:spacing w:after="100"/>
      <w:ind w:left="880"/>
    </w:pPr>
  </w:style>
  <w:style w:type="paragraph" w:styleId="992">
    <w:name w:val="toc 6"/>
    <w:basedOn w:val="998"/>
    <w:next w:val="998"/>
    <w:uiPriority w:val="39"/>
    <w:unhideWhenUsed/>
    <w:pPr>
      <w:pBdr/>
      <w:spacing w:after="100"/>
      <w:ind w:left="1100"/>
    </w:pPr>
  </w:style>
  <w:style w:type="paragraph" w:styleId="993">
    <w:name w:val="toc 7"/>
    <w:basedOn w:val="998"/>
    <w:next w:val="998"/>
    <w:uiPriority w:val="39"/>
    <w:unhideWhenUsed/>
    <w:pPr>
      <w:pBdr/>
      <w:spacing w:after="100"/>
      <w:ind w:left="1320"/>
    </w:pPr>
  </w:style>
  <w:style w:type="paragraph" w:styleId="994">
    <w:name w:val="toc 8"/>
    <w:basedOn w:val="998"/>
    <w:next w:val="998"/>
    <w:uiPriority w:val="39"/>
    <w:unhideWhenUsed/>
    <w:pPr>
      <w:pBdr/>
      <w:spacing w:after="100"/>
      <w:ind w:left="1540"/>
    </w:pPr>
  </w:style>
  <w:style w:type="paragraph" w:styleId="995">
    <w:name w:val="toc 9"/>
    <w:basedOn w:val="998"/>
    <w:next w:val="998"/>
    <w:uiPriority w:val="39"/>
    <w:unhideWhenUsed/>
    <w:pPr>
      <w:pBdr/>
      <w:spacing w:after="100"/>
      <w:ind w:left="1760"/>
    </w:pPr>
  </w:style>
  <w:style w:type="character" w:styleId="996">
    <w:name w:val="Placeholder Text"/>
    <w:basedOn w:val="1008"/>
    <w:uiPriority w:val="99"/>
    <w:semiHidden/>
    <w:pPr>
      <w:pBdr/>
      <w:spacing/>
      <w:ind/>
    </w:pPr>
    <w:rPr>
      <w:color w:val="666666"/>
    </w:rPr>
  </w:style>
  <w:style w:type="paragraph" w:styleId="997">
    <w:name w:val="table of figures"/>
    <w:basedOn w:val="998"/>
    <w:next w:val="998"/>
    <w:uiPriority w:val="99"/>
    <w:unhideWhenUsed/>
    <w:pPr>
      <w:pBdr/>
      <w:spacing w:after="0" w:afterAutospacing="0"/>
      <w:ind/>
    </w:pPr>
  </w:style>
  <w:style w:type="paragraph" w:styleId="998" w:default="1">
    <w:name w:val="Normal"/>
    <w:qFormat/>
    <w:pPr>
      <w:pBdr/>
      <w:spacing/>
      <w:ind/>
    </w:pPr>
  </w:style>
  <w:style w:type="paragraph" w:styleId="999">
    <w:name w:val="Heading 1"/>
    <w:basedOn w:val="998"/>
    <w:next w:val="1011"/>
    <w:link w:val="1023"/>
    <w:uiPriority w:val="9"/>
    <w:qFormat/>
    <w:pPr>
      <w:keepNext w:val="true"/>
      <w:keepLines w:val="true"/>
      <w:numPr>
        <w:numId w:val="1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000">
    <w:name w:val="Heading 2"/>
    <w:basedOn w:val="998"/>
    <w:next w:val="1011"/>
    <w:link w:val="1024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01">
    <w:name w:val="Heading 3"/>
    <w:basedOn w:val="998"/>
    <w:next w:val="1011"/>
    <w:link w:val="1025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002">
    <w:name w:val="Heading 4"/>
    <w:basedOn w:val="998"/>
    <w:next w:val="1011"/>
    <w:link w:val="1026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003">
    <w:name w:val="Heading 5"/>
    <w:basedOn w:val="998"/>
    <w:next w:val="1011"/>
    <w:link w:val="1027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04">
    <w:name w:val="Heading 6"/>
    <w:basedOn w:val="998"/>
    <w:next w:val="1011"/>
    <w:link w:val="1028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05">
    <w:name w:val="Heading 7"/>
    <w:basedOn w:val="998"/>
    <w:next w:val="1011"/>
    <w:link w:val="1029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06">
    <w:name w:val="Heading 8"/>
    <w:basedOn w:val="998"/>
    <w:next w:val="1011"/>
    <w:link w:val="1030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07">
    <w:name w:val="Heading 9"/>
    <w:basedOn w:val="998"/>
    <w:next w:val="1011"/>
    <w:link w:val="1031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08" w:default="1">
    <w:name w:val="Default Paragraph Font"/>
    <w:uiPriority w:val="1"/>
    <w:unhideWhenUsed/>
    <w:pPr>
      <w:pBdr/>
      <w:spacing/>
      <w:ind/>
    </w:pPr>
  </w:style>
  <w:style w:type="table" w:styleId="10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0" w:default="1">
    <w:name w:val="No List"/>
    <w:uiPriority w:val="99"/>
    <w:semiHidden/>
    <w:unhideWhenUsed/>
    <w:pPr>
      <w:pBdr/>
      <w:spacing/>
      <w:ind/>
    </w:pPr>
  </w:style>
  <w:style w:type="paragraph" w:styleId="1011">
    <w:name w:val="Body Text"/>
    <w:basedOn w:val="998"/>
    <w:link w:val="1091"/>
    <w:qFormat/>
    <w:pPr>
      <w:pBdr/>
      <w:spacing w:after="180" w:before="180"/>
      <w:ind/>
    </w:pPr>
  </w:style>
  <w:style w:type="paragraph" w:styleId="1012" w:customStyle="1">
    <w:name w:val="First Paragraph"/>
    <w:basedOn w:val="1011"/>
    <w:next w:val="1011"/>
    <w:qFormat/>
    <w:pPr>
      <w:pBdr/>
      <w:spacing/>
      <w:ind/>
    </w:pPr>
  </w:style>
  <w:style w:type="paragraph" w:styleId="1013" w:customStyle="1">
    <w:name w:val="Compact"/>
    <w:basedOn w:val="1011"/>
    <w:qFormat/>
    <w:pPr>
      <w:pBdr/>
      <w:spacing w:after="36" w:before="36"/>
      <w:ind/>
    </w:pPr>
  </w:style>
  <w:style w:type="paragraph" w:styleId="1014">
    <w:name w:val="Title"/>
    <w:basedOn w:val="998"/>
    <w:next w:val="1011"/>
    <w:link w:val="1015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15" w:customStyle="1">
    <w:name w:val="Titolo Carattere"/>
    <w:basedOn w:val="1008"/>
    <w:link w:val="101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16">
    <w:name w:val="Subtitle"/>
    <w:basedOn w:val="1014"/>
    <w:next w:val="1011"/>
    <w:link w:val="1017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1017" w:customStyle="1">
    <w:name w:val="Sottotitolo Carattere"/>
    <w:basedOn w:val="1008"/>
    <w:link w:val="101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18" w:customStyle="1">
    <w:name w:val="Author"/>
    <w:next w:val="1011"/>
    <w:qFormat/>
    <w:pPr>
      <w:keepNext w:val="true"/>
      <w:keepLines w:val="true"/>
      <w:pBdr/>
      <w:spacing/>
      <w:ind/>
      <w:jc w:val="center"/>
    </w:pPr>
  </w:style>
  <w:style w:type="paragraph" w:styleId="1019">
    <w:name w:val="Date"/>
    <w:next w:val="1011"/>
    <w:qFormat/>
    <w:pPr>
      <w:keepNext w:val="true"/>
      <w:keepLines w:val="true"/>
      <w:pBdr/>
      <w:spacing/>
      <w:ind/>
      <w:jc w:val="center"/>
    </w:pPr>
  </w:style>
  <w:style w:type="paragraph" w:styleId="1020" w:customStyle="1">
    <w:name w:val="Abstract Title"/>
    <w:basedOn w:val="998"/>
    <w:next w:val="1021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1021" w:customStyle="1">
    <w:name w:val="Abstract"/>
    <w:basedOn w:val="998"/>
    <w:next w:val="1011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1022">
    <w:name w:val="Bibliography"/>
    <w:basedOn w:val="998"/>
    <w:qFormat/>
    <w:pPr>
      <w:pBdr/>
      <w:spacing/>
      <w:ind/>
    </w:pPr>
  </w:style>
  <w:style w:type="character" w:styleId="1023" w:customStyle="1">
    <w:name w:val="Titolo 1 Carattere"/>
    <w:basedOn w:val="1008"/>
    <w:link w:val="99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24" w:customStyle="1">
    <w:name w:val="Titolo 2 Carattere"/>
    <w:basedOn w:val="1008"/>
    <w:link w:val="100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25" w:customStyle="1">
    <w:name w:val="Titolo 3 Carattere"/>
    <w:basedOn w:val="1008"/>
    <w:link w:val="1001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26" w:customStyle="1">
    <w:name w:val="Titolo 4 Carattere"/>
    <w:basedOn w:val="1008"/>
    <w:link w:val="100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27" w:customStyle="1">
    <w:name w:val="Titolo 5 Carattere"/>
    <w:basedOn w:val="1008"/>
    <w:link w:val="10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28" w:customStyle="1">
    <w:name w:val="Titolo 6 Carattere"/>
    <w:basedOn w:val="1008"/>
    <w:link w:val="100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29" w:customStyle="1">
    <w:name w:val="Titolo 7 Carattere"/>
    <w:basedOn w:val="1008"/>
    <w:link w:val="100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30" w:customStyle="1">
    <w:name w:val="Titolo 8 Carattere"/>
    <w:basedOn w:val="1008"/>
    <w:link w:val="100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31" w:customStyle="1">
    <w:name w:val="Titolo 9 Carattere"/>
    <w:basedOn w:val="1008"/>
    <w:link w:val="100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32">
    <w:name w:val="Block Text"/>
    <w:basedOn w:val="1011"/>
    <w:next w:val="1011"/>
    <w:uiPriority w:val="9"/>
    <w:unhideWhenUsed/>
    <w:qFormat/>
    <w:pPr>
      <w:pBdr/>
      <w:spacing w:after="100" w:before="100"/>
      <w:ind w:right="480" w:left="480"/>
    </w:pPr>
  </w:style>
  <w:style w:type="paragraph" w:styleId="1033">
    <w:name w:val="footnote text"/>
    <w:basedOn w:val="998"/>
    <w:uiPriority w:val="9"/>
    <w:unhideWhenUsed/>
    <w:qFormat/>
    <w:pPr>
      <w:pBdr/>
      <w:spacing/>
      <w:ind/>
    </w:pPr>
  </w:style>
  <w:style w:type="paragraph" w:styleId="1034" w:customStyle="1">
    <w:name w:val="Footnote Block Text"/>
    <w:basedOn w:val="1033"/>
    <w:next w:val="1033"/>
    <w:uiPriority w:val="9"/>
    <w:unhideWhenUsed/>
    <w:qFormat/>
    <w:pPr>
      <w:pBdr/>
      <w:spacing w:after="100" w:before="100"/>
      <w:ind w:right="480" w:left="480"/>
    </w:pPr>
  </w:style>
  <w:style w:type="table" w:styleId="1035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6" w:customStyle="1">
    <w:name w:val="Definition Term"/>
    <w:basedOn w:val="998"/>
    <w:next w:val="1037"/>
    <w:pPr>
      <w:keepNext w:val="true"/>
      <w:keepLines w:val="true"/>
      <w:pBdr/>
      <w:spacing w:after="0"/>
      <w:ind/>
    </w:pPr>
    <w:rPr>
      <w:b/>
    </w:rPr>
  </w:style>
  <w:style w:type="paragraph" w:styleId="1037" w:customStyle="1">
    <w:name w:val="Definition"/>
    <w:basedOn w:val="998"/>
    <w:pPr>
      <w:pBdr/>
      <w:spacing/>
      <w:ind/>
    </w:pPr>
  </w:style>
  <w:style w:type="paragraph" w:styleId="1038">
    <w:name w:val="Caption"/>
    <w:basedOn w:val="998"/>
    <w:link w:val="1043"/>
    <w:pPr>
      <w:pBdr/>
      <w:spacing w:after="120"/>
      <w:ind/>
    </w:pPr>
    <w:rPr>
      <w:i/>
    </w:rPr>
  </w:style>
  <w:style w:type="paragraph" w:styleId="1039" w:customStyle="1">
    <w:name w:val="Table Caption"/>
    <w:basedOn w:val="1038"/>
    <w:pPr>
      <w:keepNext w:val="true"/>
      <w:pBdr/>
      <w:spacing/>
      <w:ind/>
    </w:pPr>
  </w:style>
  <w:style w:type="paragraph" w:styleId="1040" w:customStyle="1">
    <w:name w:val="Image Caption"/>
    <w:basedOn w:val="1038"/>
    <w:pPr>
      <w:pBdr/>
      <w:spacing/>
      <w:ind/>
    </w:pPr>
  </w:style>
  <w:style w:type="paragraph" w:styleId="1041" w:customStyle="1">
    <w:name w:val="Figure"/>
    <w:basedOn w:val="998"/>
    <w:pPr>
      <w:pBdr/>
      <w:spacing/>
      <w:ind/>
    </w:pPr>
  </w:style>
  <w:style w:type="paragraph" w:styleId="1042" w:customStyle="1">
    <w:name w:val="Captioned Figure"/>
    <w:basedOn w:val="1041"/>
    <w:pPr>
      <w:keepNext w:val="true"/>
      <w:pBdr/>
      <w:spacing/>
      <w:ind/>
    </w:pPr>
  </w:style>
  <w:style w:type="character" w:styleId="1043" w:customStyle="1">
    <w:name w:val="Didascalia Carattere"/>
    <w:basedOn w:val="1008"/>
    <w:link w:val="1038"/>
    <w:pPr>
      <w:pBdr/>
      <w:spacing/>
      <w:ind/>
    </w:pPr>
  </w:style>
  <w:style w:type="character" w:styleId="1044" w:customStyle="1">
    <w:name w:val="Verbatim Char"/>
    <w:basedOn w:val="1043"/>
    <w:link w:val="1049"/>
    <w:pPr>
      <w:pBdr/>
      <w:spacing/>
      <w:ind/>
    </w:pPr>
    <w:rPr>
      <w:rFonts w:ascii="Consolas" w:hAnsi="Consolas"/>
      <w:sz w:val="22"/>
    </w:rPr>
  </w:style>
  <w:style w:type="character" w:styleId="1045" w:customStyle="1">
    <w:name w:val="Section Number"/>
    <w:basedOn w:val="1043"/>
    <w:pPr>
      <w:pBdr/>
      <w:spacing/>
      <w:ind/>
    </w:pPr>
  </w:style>
  <w:style w:type="character" w:styleId="1046">
    <w:name w:val="footnote reference"/>
    <w:basedOn w:val="1043"/>
    <w:pPr>
      <w:pBdr/>
      <w:spacing/>
      <w:ind/>
    </w:pPr>
    <w:rPr>
      <w:vertAlign w:val="superscript"/>
    </w:rPr>
  </w:style>
  <w:style w:type="character" w:styleId="1047">
    <w:name w:val="Hyperlink"/>
    <w:basedOn w:val="1043"/>
    <w:pPr>
      <w:pBdr/>
      <w:spacing/>
      <w:ind/>
    </w:pPr>
    <w:rPr>
      <w:color w:val="156082" w:themeColor="accent1"/>
    </w:rPr>
  </w:style>
  <w:style w:type="paragraph" w:styleId="1048">
    <w:name w:val="TOC Heading"/>
    <w:basedOn w:val="999"/>
    <w:next w:val="1011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1049" w:customStyle="1">
    <w:name w:val="Source Code"/>
    <w:basedOn w:val="998"/>
    <w:link w:val="1044"/>
    <w:pPr>
      <w:pBdr/>
      <w:spacing/>
      <w:ind/>
    </w:pPr>
  </w:style>
  <w:style w:type="character" w:styleId="1050" w:customStyle="1">
    <w:name w:val="KeywordTok"/>
    <w:basedOn w:val="1044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51" w:customStyle="1">
    <w:name w:val="DataTypeTok"/>
    <w:basedOn w:val="1044"/>
    <w:pPr>
      <w:pBdr/>
      <w:spacing/>
      <w:ind/>
    </w:pPr>
    <w:rPr>
      <w:rFonts w:ascii="Consolas" w:hAnsi="Consolas"/>
      <w:color w:val="902000"/>
      <w:sz w:val="22"/>
    </w:rPr>
  </w:style>
  <w:style w:type="character" w:styleId="1052" w:customStyle="1">
    <w:name w:val="DecValTok"/>
    <w:basedOn w:val="1044"/>
    <w:pPr>
      <w:pBdr/>
      <w:spacing/>
      <w:ind/>
    </w:pPr>
    <w:rPr>
      <w:rFonts w:ascii="Consolas" w:hAnsi="Consolas"/>
      <w:color w:val="40a070"/>
      <w:sz w:val="22"/>
    </w:rPr>
  </w:style>
  <w:style w:type="character" w:styleId="1053" w:customStyle="1">
    <w:name w:val="BaseNTok"/>
    <w:basedOn w:val="1044"/>
    <w:pPr>
      <w:pBdr/>
      <w:spacing/>
      <w:ind/>
    </w:pPr>
    <w:rPr>
      <w:rFonts w:ascii="Consolas" w:hAnsi="Consolas"/>
      <w:color w:val="40a070"/>
      <w:sz w:val="22"/>
    </w:rPr>
  </w:style>
  <w:style w:type="character" w:styleId="1054" w:customStyle="1">
    <w:name w:val="FloatTok"/>
    <w:basedOn w:val="1044"/>
    <w:pPr>
      <w:pBdr/>
      <w:spacing/>
      <w:ind/>
    </w:pPr>
    <w:rPr>
      <w:rFonts w:ascii="Consolas" w:hAnsi="Consolas"/>
      <w:color w:val="40a070"/>
      <w:sz w:val="22"/>
    </w:rPr>
  </w:style>
  <w:style w:type="character" w:styleId="1055" w:customStyle="1">
    <w:name w:val="ConstantTok"/>
    <w:basedOn w:val="1044"/>
    <w:pPr>
      <w:pBdr/>
      <w:spacing/>
      <w:ind/>
    </w:pPr>
    <w:rPr>
      <w:rFonts w:ascii="Consolas" w:hAnsi="Consolas"/>
      <w:color w:val="880000"/>
      <w:sz w:val="22"/>
    </w:rPr>
  </w:style>
  <w:style w:type="character" w:styleId="1056" w:customStyle="1">
    <w:name w:val="CharTok"/>
    <w:basedOn w:val="1044"/>
    <w:pPr>
      <w:pBdr/>
      <w:spacing/>
      <w:ind/>
    </w:pPr>
    <w:rPr>
      <w:rFonts w:ascii="Consolas" w:hAnsi="Consolas"/>
      <w:color w:val="4070a0"/>
      <w:sz w:val="22"/>
    </w:rPr>
  </w:style>
  <w:style w:type="character" w:styleId="1057" w:customStyle="1">
    <w:name w:val="SpecialCharTok"/>
    <w:basedOn w:val="1044"/>
    <w:pPr>
      <w:pBdr/>
      <w:spacing/>
      <w:ind/>
    </w:pPr>
    <w:rPr>
      <w:rFonts w:ascii="Consolas" w:hAnsi="Consolas"/>
      <w:color w:val="4070a0"/>
      <w:sz w:val="22"/>
    </w:rPr>
  </w:style>
  <w:style w:type="character" w:styleId="1058" w:customStyle="1">
    <w:name w:val="StringTok"/>
    <w:basedOn w:val="1044"/>
    <w:pPr>
      <w:pBdr/>
      <w:spacing/>
      <w:ind/>
    </w:pPr>
    <w:rPr>
      <w:rFonts w:ascii="Consolas" w:hAnsi="Consolas"/>
      <w:color w:val="4070a0"/>
      <w:sz w:val="22"/>
    </w:rPr>
  </w:style>
  <w:style w:type="character" w:styleId="1059" w:customStyle="1">
    <w:name w:val="VerbatimStringTok"/>
    <w:basedOn w:val="1044"/>
    <w:pPr>
      <w:pBdr/>
      <w:spacing/>
      <w:ind/>
    </w:pPr>
    <w:rPr>
      <w:rFonts w:ascii="Consolas" w:hAnsi="Consolas"/>
      <w:color w:val="4070a0"/>
      <w:sz w:val="22"/>
    </w:rPr>
  </w:style>
  <w:style w:type="character" w:styleId="1060" w:customStyle="1">
    <w:name w:val="SpecialStringTok"/>
    <w:basedOn w:val="1044"/>
    <w:pPr>
      <w:pBdr/>
      <w:spacing/>
      <w:ind/>
    </w:pPr>
    <w:rPr>
      <w:rFonts w:ascii="Consolas" w:hAnsi="Consolas"/>
      <w:color w:val="bb6688"/>
      <w:sz w:val="22"/>
    </w:rPr>
  </w:style>
  <w:style w:type="character" w:styleId="1061" w:customStyle="1">
    <w:name w:val="ImportTok"/>
    <w:basedOn w:val="1044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062" w:customStyle="1">
    <w:name w:val="CommentTok"/>
    <w:basedOn w:val="1044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063" w:customStyle="1">
    <w:name w:val="DocumentationTok"/>
    <w:basedOn w:val="1044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1064" w:customStyle="1">
    <w:name w:val="AnnotationTok"/>
    <w:basedOn w:val="104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65" w:customStyle="1">
    <w:name w:val="CommentVarTok"/>
    <w:basedOn w:val="104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66" w:customStyle="1">
    <w:name w:val="OtherTok"/>
    <w:basedOn w:val="1044"/>
    <w:pPr>
      <w:pBdr/>
      <w:spacing/>
      <w:ind/>
    </w:pPr>
    <w:rPr>
      <w:rFonts w:ascii="Consolas" w:hAnsi="Consolas"/>
      <w:color w:val="007020"/>
      <w:sz w:val="22"/>
    </w:rPr>
  </w:style>
  <w:style w:type="character" w:styleId="1067" w:customStyle="1">
    <w:name w:val="FunctionTok"/>
    <w:basedOn w:val="1044"/>
    <w:pPr>
      <w:pBdr/>
      <w:spacing/>
      <w:ind/>
    </w:pPr>
    <w:rPr>
      <w:rFonts w:ascii="Consolas" w:hAnsi="Consolas"/>
      <w:color w:val="06287e"/>
      <w:sz w:val="22"/>
    </w:rPr>
  </w:style>
  <w:style w:type="character" w:styleId="1068" w:customStyle="1">
    <w:name w:val="VariableTok"/>
    <w:basedOn w:val="1044"/>
    <w:pPr>
      <w:pBdr/>
      <w:spacing/>
      <w:ind/>
    </w:pPr>
    <w:rPr>
      <w:rFonts w:ascii="Consolas" w:hAnsi="Consolas"/>
      <w:color w:val="19177c"/>
      <w:sz w:val="22"/>
    </w:rPr>
  </w:style>
  <w:style w:type="character" w:styleId="1069" w:customStyle="1">
    <w:name w:val="ControlFlowTok"/>
    <w:basedOn w:val="1044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70" w:customStyle="1">
    <w:name w:val="OperatorTok"/>
    <w:basedOn w:val="1044"/>
    <w:pPr>
      <w:pBdr/>
      <w:spacing/>
      <w:ind/>
    </w:pPr>
    <w:rPr>
      <w:rFonts w:ascii="Consolas" w:hAnsi="Consolas"/>
      <w:color w:val="666666"/>
      <w:sz w:val="22"/>
    </w:rPr>
  </w:style>
  <w:style w:type="character" w:styleId="1071" w:customStyle="1">
    <w:name w:val="BuiltInTok"/>
    <w:basedOn w:val="1044"/>
    <w:pPr>
      <w:pBdr/>
      <w:spacing/>
      <w:ind/>
    </w:pPr>
    <w:rPr>
      <w:rFonts w:ascii="Consolas" w:hAnsi="Consolas"/>
      <w:color w:val="008000"/>
      <w:sz w:val="22"/>
    </w:rPr>
  </w:style>
  <w:style w:type="character" w:styleId="1072" w:customStyle="1">
    <w:name w:val="ExtensionTok"/>
    <w:basedOn w:val="1044"/>
    <w:pPr>
      <w:pBdr/>
      <w:spacing/>
      <w:ind/>
    </w:pPr>
    <w:rPr>
      <w:rFonts w:ascii="Consolas" w:hAnsi="Consolas"/>
      <w:sz w:val="22"/>
    </w:rPr>
  </w:style>
  <w:style w:type="character" w:styleId="1073" w:customStyle="1">
    <w:name w:val="PreprocessorTok"/>
    <w:basedOn w:val="1044"/>
    <w:pPr>
      <w:pBdr/>
      <w:spacing/>
      <w:ind/>
    </w:pPr>
    <w:rPr>
      <w:rFonts w:ascii="Consolas" w:hAnsi="Consolas"/>
      <w:color w:val="bc7a00"/>
      <w:sz w:val="22"/>
    </w:rPr>
  </w:style>
  <w:style w:type="character" w:styleId="1074" w:customStyle="1">
    <w:name w:val="AttributeTok"/>
    <w:basedOn w:val="1044"/>
    <w:pPr>
      <w:pBdr/>
      <w:spacing/>
      <w:ind/>
    </w:pPr>
    <w:rPr>
      <w:rFonts w:ascii="Consolas" w:hAnsi="Consolas"/>
      <w:color w:val="7d9029"/>
      <w:sz w:val="22"/>
    </w:rPr>
  </w:style>
  <w:style w:type="character" w:styleId="1075" w:customStyle="1">
    <w:name w:val="RegionMarkerTok"/>
    <w:basedOn w:val="1044"/>
    <w:pPr>
      <w:pBdr/>
      <w:spacing/>
      <w:ind/>
    </w:pPr>
    <w:rPr>
      <w:rFonts w:ascii="Consolas" w:hAnsi="Consolas"/>
      <w:sz w:val="22"/>
    </w:rPr>
  </w:style>
  <w:style w:type="character" w:styleId="1076" w:customStyle="1">
    <w:name w:val="InformationTok"/>
    <w:basedOn w:val="104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77" w:customStyle="1">
    <w:name w:val="WarningTok"/>
    <w:basedOn w:val="1044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78" w:customStyle="1">
    <w:name w:val="AlertTok"/>
    <w:basedOn w:val="1044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79" w:customStyle="1">
    <w:name w:val="ErrorTok"/>
    <w:basedOn w:val="1044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80" w:customStyle="1">
    <w:name w:val="NormalTok"/>
    <w:basedOn w:val="1044"/>
    <w:pPr>
      <w:pBdr/>
      <w:spacing/>
      <w:ind/>
    </w:pPr>
    <w:rPr>
      <w:rFonts w:ascii="Consolas" w:hAnsi="Consolas"/>
      <w:sz w:val="22"/>
    </w:rPr>
  </w:style>
  <w:style w:type="paragraph" w:styleId="1081">
    <w:name w:val="Header"/>
    <w:basedOn w:val="998"/>
    <w:link w:val="1082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82" w:customStyle="1">
    <w:name w:val="Intestazione Carattere"/>
    <w:basedOn w:val="1008"/>
    <w:link w:val="1081"/>
    <w:uiPriority w:val="99"/>
    <w:pPr>
      <w:pBdr/>
      <w:spacing/>
      <w:ind/>
    </w:pPr>
  </w:style>
  <w:style w:type="paragraph" w:styleId="1083">
    <w:name w:val="Footer"/>
    <w:basedOn w:val="998"/>
    <w:link w:val="1084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84" w:customStyle="1">
    <w:name w:val="Piè di pagina Carattere"/>
    <w:basedOn w:val="1008"/>
    <w:link w:val="1083"/>
    <w:uiPriority w:val="99"/>
    <w:pPr>
      <w:pBdr/>
      <w:spacing/>
      <w:ind/>
    </w:pPr>
  </w:style>
  <w:style w:type="table" w:styleId="1085">
    <w:name w:val="Table Grid"/>
    <w:basedOn w:val="1009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6">
    <w:name w:val="toc 1"/>
    <w:basedOn w:val="998"/>
    <w:next w:val="998"/>
    <w:uiPriority w:val="39"/>
    <w:pPr>
      <w:pBdr/>
      <w:spacing w:after="100"/>
      <w:ind/>
    </w:pPr>
  </w:style>
  <w:style w:type="paragraph" w:styleId="1087">
    <w:name w:val="toc 2"/>
    <w:basedOn w:val="998"/>
    <w:next w:val="998"/>
    <w:uiPriority w:val="39"/>
    <w:pPr>
      <w:pBdr/>
      <w:spacing w:after="100"/>
      <w:ind w:left="240"/>
    </w:pPr>
  </w:style>
  <w:style w:type="paragraph" w:styleId="1088">
    <w:name w:val="toc 3"/>
    <w:basedOn w:val="998"/>
    <w:next w:val="998"/>
    <w:uiPriority w:val="39"/>
    <w:pPr>
      <w:pBdr/>
      <w:spacing w:after="100"/>
      <w:ind w:left="480"/>
    </w:pPr>
  </w:style>
  <w:style w:type="table" w:styleId="1089">
    <w:name w:val="Plain Table 1"/>
    <w:basedOn w:val="1009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0">
    <w:name w:val="List Paragraph"/>
    <w:basedOn w:val="998"/>
    <w:pPr>
      <w:pBdr/>
      <w:spacing/>
      <w:ind w:left="720"/>
      <w:contextualSpacing w:val="true"/>
    </w:pPr>
  </w:style>
  <w:style w:type="character" w:styleId="1091" w:customStyle="1">
    <w:name w:val="Corpo testo Carattere"/>
    <w:basedOn w:val="1008"/>
    <w:link w:val="101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comments" Target="comments.xml" /><Relationship Id="rId18" Type="http://schemas.microsoft.com/office/2011/relationships/commentsExtended" Target="commentsExtended.xml" /><Relationship Id="rId19" Type="http://schemas.microsoft.com/office/2018/08/relationships/commentsExtensible" Target="commentsExtensible.xml" /><Relationship Id="rId20" Type="http://schemas.microsoft.com/office/2016/09/relationships/commentsIds" Target="commentsIds.xml" /><Relationship Id="rId21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lastModifiedBy>Salvatore Imbesi</cp:lastModifiedBy>
  <cp:revision>8</cp:revision>
  <dcterms:created xsi:type="dcterms:W3CDTF">2025-10-15T14:39:00Z</dcterms:created>
  <dcterms:modified xsi:type="dcterms:W3CDTF">2025-10-29T07:46:04Z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