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13"/>
        <w:pBdr/>
        <w:spacing/>
        <w:ind/>
        <w:jc w:val="center"/>
        <w:rPr>
          <w:rFonts w:asciiTheme="majorHAnsi" w:hAnsiTheme="majorHAnsi" w:eastAsiaTheme="majorEastAsia" w:cstheme="majorBidi"/>
          <w:spacing w:val="-10"/>
          <w:sz w:val="56"/>
          <w:szCs w:val="56"/>
        </w:rPr>
      </w:pPr>
      <w:r/>
      <w:bookmarkStart w:id="0" w:name="Xb86a0334da18bd5dcadfa5ca6143a46167e6f72"/>
      <w:r/>
      <w:bookmarkStart w:id="1" w:name="content"/>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p>
    <w:p>
      <w:pPr>
        <w:pStyle w:val="1013"/>
        <w:pBdr/>
        <w:spacing/>
        <w:ind/>
        <w:jc w:val="center"/>
        <w:rPr>
          <w:rFonts w:asciiTheme="majorHAnsi" w:hAnsiTheme="majorHAnsi" w:eastAsiaTheme="majorEastAsia" w:cstheme="majorBidi"/>
          <w:spacing w:val="-10"/>
          <w:sz w:val="56"/>
          <w:szCs w:val="56"/>
        </w:rPr>
      </w:pP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p>
    <w:p>
      <w:pPr>
        <w:pStyle w:val="1013"/>
        <w:pBdr/>
        <w:spacing/>
        <w:ind/>
        <w:jc w:val="center"/>
        <w:rPr>
          <w:rFonts w:asciiTheme="majorHAnsi" w:hAnsiTheme="majorHAnsi" w:eastAsiaTheme="majorEastAsia" w:cstheme="majorBidi"/>
          <w:spacing w:val="-10"/>
          <w:sz w:val="56"/>
          <w:szCs w:val="56"/>
        </w:rPr>
      </w:pP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p>
    <w:p>
      <w:pPr>
        <w:pStyle w:val="1013"/>
        <w:pBdr/>
        <w:spacing/>
        <w:ind/>
        <w:jc w:val="center"/>
        <w:rPr>
          <w:lang w:val="it-IT"/>
        </w:rPr>
      </w:pPr>
      <w:r>
        <w:rPr>
          <w:rFonts w:asciiTheme="majorHAnsi" w:hAnsiTheme="majorHAnsi" w:eastAsiaTheme="majorEastAsia" w:cstheme="majorBidi"/>
          <w:spacing w:val="-10"/>
          <w:sz w:val="56"/>
          <w:szCs w:val="56"/>
        </w:rPr>
        <w:t xml:space="preserve">IO-02: Sicurezza nel Traffico Interno e Utilizzo dei Carrelli Elevatori</w:t>
      </w:r>
      <w:r>
        <w:rPr>
          <w:lang w:val="it-IT"/>
        </w:rPr>
      </w:r>
      <w:r>
        <w:rPr>
          <w:lang w:val="it-IT"/>
        </w:rPr>
      </w:r>
    </w:p>
    <w:tbl>
      <w:tblPr>
        <w:tblW w:w="0" w:type="auto"/>
        <w:tblBorders/>
        <w:tblLook w:val="04A0" w:firstRow="1" w:lastRow="0" w:firstColumn="1" w:lastColumn="0" w:noHBand="0" w:noVBand="1"/>
        <w:tblStyle w:val="1086"/>
      </w:tblPr>
      <w:tblGrid>
        <w:gridCol w:w="10173"/>
      </w:tblGrid>
      <w:tr>
        <w:trPr>
          <w:trHeight w:val="1200"/>
        </w:trPr>
        <w:tc>
          <w:tcPr>
            <w:tcBorders/>
            <w:tcW w:w="10173" w:type="dxa"/>
            <w:textDirection w:val="lrTb"/>
            <w:noWrap w:val="false"/>
          </w:tcPr>
          <w:p>
            <w:pPr>
              <w:pStyle w:val="1013"/>
              <w:pBdr/>
              <w:spacing w:after="0" w:before="0"/>
              <w:ind/>
              <w:rPr>
                <w:lang w:val="it-IT"/>
              </w:rPr>
            </w:pPr>
            <w:r>
              <w:rPr>
                <w:lang w:val="it-IT"/>
              </w:rPr>
              <mc:AlternateContent>
                <mc:Choice Requires="wpg">
                  <w:drawing>
                    <wp:inline xmlns:wp="http://schemas.openxmlformats.org/drawingml/2006/wordprocessingDrawing" distT="0" distB="0" distL="0" distR="0">
                      <wp:extent cx="5114925" cy="19050"/>
                      <wp:effectExtent l="0" t="0" r="0" b="0"/>
                      <wp:docPr id="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pic:cNvPicPr>
                              <pic:nvPr/>
                            </pic:nvPicPr>
                            <pic:blipFill>
                              <a:blip r:embed="rId15"/>
                              <a:stretch/>
                            </pic:blipFill>
                            <pic:spPr bwMode="auto">
                              <a:xfrm>
                                <a:off x="0" y="0"/>
                                <a:ext cx="5114925" cy="190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2.75pt;height:1.50pt;mso-wrap-distance-left:0.00pt;mso-wrap-distance-top:0.00pt;mso-wrap-distance-right:0.00pt;mso-wrap-distance-bottom:0.00pt;z-index:1;" stroked="f">
                      <v:imagedata r:id="rId15" o:title=""/>
                      <o:lock v:ext="edit" rotation="t"/>
                    </v:shape>
                  </w:pict>
                </mc:Fallback>
              </mc:AlternateContent>
            </w:r>
            <w:r>
              <w:rPr>
                <w:lang w:val="it-IT"/>
              </w:rPr>
            </w:r>
            <w:r>
              <w:rPr>
                <w:lang w:val="it-IT"/>
              </w:rPr>
            </w:r>
          </w:p>
          <w:p>
            <w:pPr>
              <w:pStyle w:val="1013"/>
              <w:pBdr/>
              <w:spacing w:after="0" w:before="0"/>
              <w:ind/>
              <w:rPr>
                <w:lang w:val="it-IT"/>
              </w:rPr>
            </w:pPr>
            <w:r>
              <w:rPr>
                <w:lang w:val="it-IT"/>
              </w:rPr>
              <w:t xml:space="preserve">COPIA</w:t>
            </w:r>
            <w:r>
              <w:rPr>
                <w:lang w:val="it-IT"/>
              </w:rPr>
            </w:r>
            <w:r>
              <w:rPr>
                <w:lang w:val="it-IT"/>
              </w:rPr>
            </w:r>
          </w:p>
          <w:p>
            <w:pPr>
              <w:pStyle w:val="1013"/>
              <w:pBdr/>
              <w:spacing w:after="0" w:before="0"/>
              <w:ind/>
              <w:rPr>
                <w:lang w:val="it-IT"/>
              </w:rPr>
            </w:pPr>
            <w:r>
              <w:rPr>
                <w:lang w:val="it-IT"/>
              </w:rPr>
              <w:t xml:space="preserve"> </w:t>
            </w:r>
            <w:r>
              <w:rPr>
                <w:lang w:val="it-IT"/>
              </w:rPr>
            </w:r>
            <w:r>
              <w:rPr>
                <w:lang w:val="it-IT"/>
              </w:rPr>
            </w:r>
          </w:p>
          <w:p>
            <w:pPr>
              <w:pStyle w:val="1013"/>
              <w:pBdr/>
              <w:spacing w:after="0" w:before="0"/>
              <w:ind/>
              <w:rPr>
                <w:lang w:val="it-IT"/>
              </w:rPr>
            </w:pPr>
            <w:r>
              <w:rPr>
                <w:lang w:val="it-IT"/>
              </w:rPr>
              <mc:AlternateContent>
                <mc:Choice Requires="wpg">
                  <w:drawing>
                    <wp:inline xmlns:wp="http://schemas.openxmlformats.org/drawingml/2006/wordprocessingDrawing" distT="0" distB="0" distL="0" distR="0">
                      <wp:extent cx="161925" cy="161925"/>
                      <wp:effectExtent l="0" t="0" r="0" b="0"/>
                      <wp:docPr id="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pic:cNvPicPr>
                              <pic:nvPr/>
                            </pic:nvPicPr>
                            <pic:blipFill>
                              <a:blip r:embed="rId16"/>
                              <a:stretch/>
                            </pic:blipFill>
                            <pic:spPr bwMode="auto">
                              <a:xfrm>
                                <a:off x="0" y="0"/>
                                <a:ext cx="161925" cy="1619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2.75pt;height:12.75pt;mso-wrap-distance-left:0.00pt;mso-wrap-distance-top:0.00pt;mso-wrap-distance-right:0.00pt;mso-wrap-distance-bottom:0.00pt;z-index:1;" stroked="f">
                      <v:imagedata r:id="rId16" o:title=""/>
                      <o:lock v:ext="edit" rotation="t"/>
                    </v:shape>
                  </w:pict>
                </mc:Fallback>
              </mc:AlternateContent>
            </w:r>
            <w:r>
              <w:rPr>
                <w:lang w:val="it-IT"/>
              </w:rPr>
              <w:t xml:space="preserve">controllata         </w:t>
            </w:r>
            <w:r>
              <w:rPr>
                <w:lang w:val="it-IT"/>
              </w:rPr>
            </w:r>
            <w:r>
              <w:rPr>
                <w:lang w:val="it-IT"/>
              </w:rPr>
            </w:r>
          </w:p>
          <w:p>
            <w:pPr>
              <w:pStyle w:val="1013"/>
              <w:pBdr/>
              <w:spacing w:after="0" w:before="0"/>
              <w:ind/>
              <w:rPr>
                <w:lang w:val="it-IT"/>
              </w:rPr>
            </w:pPr>
            <w:r>
              <w:rPr>
                <w:lang w:val="it-IT"/>
              </w:rPr>
              <w:t xml:space="preserve"> </w:t>
            </w:r>
            <w:r>
              <w:rPr>
                <w:lang w:val="it-IT"/>
              </w:rPr>
            </w:r>
            <w:r>
              <w:rPr>
                <w:lang w:val="it-IT"/>
              </w:rPr>
            </w:r>
          </w:p>
          <w:p>
            <w:pPr>
              <w:pStyle w:val="1013"/>
              <w:pBdr/>
              <w:spacing w:after="0" w:before="0"/>
              <w:ind/>
              <w:rPr>
                <w:lang w:val="it-IT"/>
              </w:rPr>
            </w:pPr>
            <w:r>
              <w:rPr>
                <w:lang w:val="it-IT"/>
              </w:rPr>
              <mc:AlternateContent>
                <mc:Choice Requires="wpg">
                  <w:drawing>
                    <wp:inline xmlns:wp="http://schemas.openxmlformats.org/drawingml/2006/wordprocessingDrawing" distT="0" distB="0" distL="0" distR="0">
                      <wp:extent cx="161925" cy="161925"/>
                      <wp:effectExtent l="0" t="0" r="0" b="0"/>
                      <wp:docPr id="4"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pic:cNvPicPr>
                              <pic:nvPr/>
                            </pic:nvPicPr>
                            <pic:blipFill>
                              <a:blip r:embed="rId16"/>
                              <a:stretch/>
                            </pic:blipFill>
                            <pic:spPr bwMode="auto">
                              <a:xfrm>
                                <a:off x="0" y="0"/>
                                <a:ext cx="161925" cy="1619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75pt;height:12.75pt;mso-wrap-distance-left:0.00pt;mso-wrap-distance-top:0.00pt;mso-wrap-distance-right:0.00pt;mso-wrap-distance-bottom:0.00pt;z-index:1;" stroked="f">
                      <v:imagedata r:id="rId16" o:title=""/>
                      <o:lock v:ext="edit" rotation="t"/>
                    </v:shape>
                  </w:pict>
                </mc:Fallback>
              </mc:AlternateContent>
            </w:r>
            <w:r>
              <w:rPr>
                <w:lang w:val="it-IT"/>
              </w:rPr>
              <w:t xml:space="preserve">non controllata</w:t>
            </w:r>
            <w:r>
              <w:rPr>
                <w:lang w:val="it-IT"/>
              </w:rPr>
            </w:r>
            <w:r>
              <w:rPr>
                <w:lang w:val="it-IT"/>
              </w:rPr>
            </w:r>
          </w:p>
        </w:tc>
      </w:tr>
    </w:tbl>
    <w:p>
      <w:pPr>
        <w:pStyle w:val="1013"/>
        <w:pBdr/>
        <w:spacing/>
        <w:ind/>
        <w:rPr>
          <w:lang w:val="it-IT"/>
        </w:rPr>
      </w:pPr>
      <w:r>
        <w:rPr>
          <w:lang w:val="it-IT"/>
        </w:rPr>
        <w:t xml:space="preserve"> </w:t>
      </w:r>
      <w:r>
        <w:rPr>
          <w:lang w:val="it-IT"/>
        </w:rPr>
      </w:r>
      <w:r>
        <w:rPr>
          <w:lang w:val="it-IT"/>
        </w:rPr>
      </w:r>
    </w:p>
    <w:p>
      <w:pPr>
        <w:pStyle w:val="1013"/>
        <w:pBdr/>
        <w:spacing/>
        <w:ind/>
        <w:rPr>
          <w:lang w:val="it-IT"/>
        </w:rPr>
      </w:pPr>
      <w:r>
        <w:rPr>
          <w:lang w:val="it-IT"/>
        </w:rPr>
        <w:t xml:space="preserve">  </w:t>
      </w:r>
      <w:r>
        <w:rPr>
          <w:lang w:val="it-IT"/>
        </w:rPr>
      </w:r>
      <w:r>
        <w:rPr>
          <w:lang w:val="it-IT"/>
        </w:rPr>
      </w:r>
    </w:p>
    <w:tbl>
      <w:tblPr>
        <w:tblW w:w="0" w:type="auto"/>
        <w:tblCellMar>
          <w:left w:w="71" w:type="dxa"/>
          <w:right w:w="71"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Spacing w:w="0" w:type="dxa"/>
        <w:tblLook w:val="04A0" w:firstRow="1" w:lastRow="0" w:firstColumn="1" w:lastColumn="0" w:noHBand="0" w:noVBand="1"/>
      </w:tblPr>
      <w:tblGrid>
        <w:gridCol w:w="724"/>
        <w:gridCol w:w="4650"/>
        <w:gridCol w:w="1425"/>
        <w:gridCol w:w="1486"/>
        <w:gridCol w:w="1923"/>
      </w:tblGrid>
      <w:tr>
        <w:trPr>
          <w:tblCellSpacing w:w="0" w:type="dxa"/>
        </w:trPr>
        <w:tc>
          <w:tcPr>
            <w:gridSpan w:val="3"/>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592" w:type="dxa"/>
            <w:vAlign w:val="center"/>
            <w:textDirection w:val="lrTb"/>
            <w:noWrap w:val="false"/>
          </w:tcPr>
          <w:p>
            <w:pPr>
              <w:pStyle w:val="1013"/>
              <w:pBdr/>
              <w:spacing/>
              <w:ind/>
              <w:rPr>
                <w:lang w:val="it-IT"/>
              </w:rPr>
            </w:pPr>
            <w:r>
              <w:rPr>
                <w:b/>
                <w:bCs/>
                <w:lang w:val="it-IT"/>
              </w:rPr>
              <w:t xml:space="preserve">STATO DELLE REVISIONI</w:t>
            </w:r>
            <w:r>
              <w:rPr>
                <w:lang w:val="it-IT"/>
              </w:rPr>
            </w:r>
            <w:r>
              <w:rPr>
                <w:lang w:val="it-IT"/>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203" w:type="dxa"/>
            <w:vAlign w:val="center"/>
            <w:textDirection w:val="lrTb"/>
            <w:noWrap w:val="false"/>
          </w:tcPr>
          <w:p>
            <w:pPr>
              <w:pStyle w:val="1013"/>
              <w:pBdr/>
              <w:spacing/>
              <w:ind/>
              <w:rPr>
                <w:lang w:val="it-IT"/>
              </w:rPr>
            </w:pPr>
            <w:r>
              <w:rPr>
                <w:b/>
                <w:bCs/>
                <w:lang w:val="it-IT"/>
              </w:rPr>
              <w:t xml:space="preserve">ITER DI EMISSIONE</w:t>
            </w:r>
            <w:r>
              <w:rPr>
                <w:lang w:val="it-IT"/>
              </w:rPr>
            </w:r>
            <w:r>
              <w:rPr>
                <w:lang w:val="it-IT"/>
              </w:rPr>
            </w:r>
          </w:p>
        </w:tc>
      </w:tr>
      <w:tr>
        <w:trPr>
          <w:tblCellSpacing w:w="0" w:type="dxa"/>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38" w:type="dxa"/>
            <w:vAlign w:val="center"/>
            <w:textDirection w:val="lrTb"/>
            <w:noWrap w:val="false"/>
          </w:tcPr>
          <w:p>
            <w:pPr>
              <w:pStyle w:val="1013"/>
              <w:pBdr/>
              <w:spacing/>
              <w:ind/>
              <w:rPr>
                <w:lang w:val="it-IT"/>
              </w:rPr>
            </w:pPr>
            <w:r>
              <w:rPr>
                <w:lang w:val="it-IT"/>
              </w:rPr>
              <w:t xml:space="preserve">REV.</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78" w:type="dxa"/>
            <w:vAlign w:val="center"/>
            <w:textDirection w:val="lrTb"/>
            <w:noWrap w:val="false"/>
          </w:tcPr>
          <w:p>
            <w:pPr>
              <w:pStyle w:val="1013"/>
              <w:pBdr/>
              <w:spacing/>
              <w:ind/>
              <w:rPr>
                <w:lang w:val="it-IT"/>
              </w:rPr>
            </w:pPr>
            <w:r>
              <w:rPr>
                <w:lang w:val="it-IT"/>
              </w:rPr>
              <w:t xml:space="preserve">MOTIVO DELLA REVISIONE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76" w:type="dxa"/>
            <w:vAlign w:val="center"/>
            <w:textDirection w:val="lrTb"/>
            <w:noWrap w:val="false"/>
          </w:tcPr>
          <w:p>
            <w:pPr>
              <w:pStyle w:val="1013"/>
              <w:pBdr/>
              <w:spacing/>
              <w:ind/>
              <w:rPr>
                <w:lang w:val="it-IT"/>
              </w:rPr>
            </w:pPr>
            <w:r>
              <w:rPr>
                <w:lang w:val="it-IT"/>
              </w:rPr>
              <w:t xml:space="preserve">DATA</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7" w:type="dxa"/>
            <w:vAlign w:val="center"/>
            <w:textDirection w:val="lrTb"/>
            <w:noWrap w:val="false"/>
          </w:tcPr>
          <w:p>
            <w:pPr>
              <w:pStyle w:val="1013"/>
              <w:pBdr/>
              <w:spacing/>
              <w:ind/>
              <w:rPr>
                <w:lang w:val="it-IT"/>
              </w:rPr>
            </w:pPr>
            <w:r>
              <w:rPr>
                <w:lang w:val="it-IT"/>
              </w:rPr>
              <w:t xml:space="preserve">REDAZIONE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86" w:type="dxa"/>
            <w:vAlign w:val="center"/>
            <w:textDirection w:val="lrTb"/>
            <w:noWrap w:val="false"/>
          </w:tcPr>
          <w:p>
            <w:pPr>
              <w:pStyle w:val="1013"/>
              <w:pBdr/>
              <w:spacing/>
              <w:ind/>
              <w:rPr>
                <w:lang w:val="it-IT"/>
              </w:rPr>
            </w:pPr>
            <w:r>
              <w:rPr>
                <w:lang w:val="it-IT"/>
              </w:rPr>
              <w:t xml:space="preserve">APPROVAZIONE</w:t>
            </w:r>
            <w:r>
              <w:rPr>
                <w:lang w:val="it-IT"/>
              </w:rPr>
            </w:r>
            <w:r>
              <w:rPr>
                <w:lang w:val="it-IT"/>
              </w:rPr>
            </w:r>
          </w:p>
        </w:tc>
      </w:tr>
      <w:tr>
        <w:trPr>
          <w:tblCellSpacing w:w="0" w:type="dxa"/>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38" w:type="dxa"/>
            <w:vAlign w:val="center"/>
            <w:textDirection w:val="lrTb"/>
            <w:noWrap w:val="false"/>
          </w:tcPr>
          <w:p>
            <w:pPr>
              <w:pStyle w:val="1013"/>
              <w:pBdr/>
              <w:spacing/>
              <w:ind/>
              <w:rPr>
                <w:lang w:val="it-IT"/>
              </w:rPr>
            </w:pPr>
            <w:r>
              <w:rPr>
                <w:lang w:val="it-IT"/>
              </w:rPr>
              <w:t xml:space="preserve">0</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78" w:type="dxa"/>
            <w:vAlign w:val="center"/>
            <w:textDirection w:val="lrTb"/>
            <w:noWrap w:val="false"/>
          </w:tcPr>
          <w:p>
            <w:pPr>
              <w:pStyle w:val="1013"/>
              <w:pBdr/>
              <w:spacing/>
              <w:ind/>
              <w:rPr>
                <w:lang w:val="it-IT"/>
              </w:rPr>
            </w:pPr>
            <w:r>
              <w:rPr>
                <w:lang w:val="it-IT"/>
              </w:rPr>
              <w:t xml:space="preserve">Nuova Emissione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76" w:type="dxa"/>
            <w:vAlign w:val="center"/>
            <w:textDirection w:val="lrTb"/>
            <w:noWrap w:val="false"/>
          </w:tcPr>
          <w:p>
            <w:pPr>
              <w:pStyle w:val="1013"/>
              <w:pBdr/>
              <w:spacing/>
              <w:ind/>
              <w:rPr>
                <w:lang w:val="it-IT"/>
              </w:rPr>
            </w:pPr>
            <w:r>
              <w:rPr>
                <w:lang w:val="it-IT"/>
              </w:rPr>
              <w:t xml:space="preserve">14/10/2025</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7" w:type="dxa"/>
            <w:vAlign w:val="center"/>
            <w:textDirection w:val="lrTb"/>
            <w:noWrap w:val="false"/>
          </w:tcPr>
          <w:p>
            <w:pPr>
              <w:pStyle w:val="1013"/>
              <w:pBdr/>
              <w:spacing/>
              <w:ind/>
              <w:rPr>
                <w:lang w:val="it-IT"/>
              </w:rPr>
            </w:pPr>
            <w:r>
              <w:rPr>
                <w:lang w:val="it-IT"/>
              </w:rPr>
              <w:t xml:space="preserve"> </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86" w:type="dxa"/>
            <w:vAlign w:val="center"/>
            <w:textDirection w:val="lrTb"/>
            <w:noWrap w:val="false"/>
          </w:tcPr>
          <w:p>
            <w:pPr>
              <w:pStyle w:val="1013"/>
              <w:pBdr/>
              <w:spacing/>
              <w:ind/>
              <w:rPr>
                <w:lang w:val="it-IT"/>
              </w:rPr>
            </w:pPr>
            <w:r>
              <w:rPr>
                <w:lang w:val="it-IT"/>
              </w:rPr>
              <w:t xml:space="preserve"> </w:t>
            </w:r>
            <w:r>
              <w:rPr>
                <w:lang w:val="it-IT"/>
              </w:rPr>
            </w:r>
            <w:r>
              <w:rPr>
                <w:lang w:val="it-IT"/>
              </w:rPr>
            </w:r>
          </w:p>
        </w:tc>
      </w:tr>
    </w:tbl>
    <w:p>
      <w:pPr>
        <w:pStyle w:val="1013"/>
        <w:pBdr/>
        <w:spacing/>
        <w:ind/>
        <w:rPr>
          <w:lang w:val="it-IT"/>
        </w:rPr>
      </w:pPr>
      <w:r>
        <w:rPr>
          <w:lang w:val="it-IT"/>
        </w:rPr>
        <w:t xml:space="preserve"> </w:t>
      </w:r>
      <w:r>
        <w:rPr>
          <w:lang w:val="it-IT"/>
        </w:rPr>
      </w:r>
      <w:r>
        <w:rPr>
          <w:lang w:val="it-IT"/>
        </w:rPr>
      </w:r>
    </w:p>
    <w:p>
      <w:pPr>
        <w:pStyle w:val="1004"/>
        <w:numPr>
          <w:ilvl w:val="0"/>
          <w:numId w:val="0"/>
        </w:numPr>
        <w:pBdr/>
        <w:spacing/>
        <w:ind/>
        <w:rPr/>
      </w:pPr>
      <w:r/>
      <w:bookmarkStart w:id="2" w:name="citations"/>
      <w:r/>
      <w:bookmarkEnd w:id="0"/>
      <w:r/>
      <w:bookmarkEnd w:id="1"/>
      <w:r>
        <w:br w:type="page" w:clear="all"/>
      </w:r>
      <w:bookmarkStart w:id="3" w:name="X23be7f9ab432a8da9cf55947356928230582a8b"/>
      <w:r>
        <w:t xml:space="preserve">Versione per affissione (sintesi) – </w:t>
      </w:r>
      <w:r>
        <w:rPr>
          <w:b/>
          <w:bCs/>
        </w:rPr>
        <w:t xml:space="preserve">TRAFFICO INTERNO – REGOLE PER TUTTI</w:t>
      </w:r>
      <w:r/>
    </w:p>
    <w:p>
      <w:pPr>
        <w:pStyle w:val="1014"/>
        <w:numPr>
          <w:ilvl w:val="0"/>
          <w:numId w:val="21"/>
        </w:numPr>
        <w:pBdr/>
        <w:spacing/>
        <w:ind/>
        <w:rPr/>
      </w:pPr>
      <w:r>
        <w:rPr>
          <w:b/>
          <w:bCs/>
        </w:rPr>
        <w:t xml:space="preserve">Limite di Velocità:</w:t>
      </w:r>
      <w:r>
        <w:t xml:space="preserve"> Velocità massima 10 km/h nei piazzali e 5 km/h dentro i capannoni. Andatura sempre moderata, pronti a fermarsi.</w:t>
      </w:r>
      <w:r/>
    </w:p>
    <w:p>
      <w:pPr>
        <w:pStyle w:val="1014"/>
        <w:numPr>
          <w:ilvl w:val="0"/>
          <w:numId w:val="21"/>
        </w:numPr>
        <w:pBdr/>
        <w:spacing/>
        <w:ind/>
        <w:rPr/>
      </w:pPr>
      <w:r>
        <w:rPr>
          <w:b/>
          <w:bCs/>
        </w:rPr>
        <w:t xml:space="preserve">Priorità ai Pedoni:</w:t>
      </w:r>
      <w:r>
        <w:t xml:space="preserve"> Il pedone ha sempre la precedenza. I conducenti di carrelli e automezzi devono rallentare a ogni incrocio e </w:t>
      </w:r>
      <w:r>
        <w:rPr>
          <w:b/>
          <w:bCs/>
        </w:rPr>
        <w:t xml:space="preserve">usare il clacson</w:t>
      </w:r>
      <w:r>
        <w:t xml:space="preserve"> in prossimità di porte o angoli ciechi.</w:t>
      </w:r>
      <w:r/>
    </w:p>
    <w:p>
      <w:pPr>
        <w:pStyle w:val="1014"/>
        <w:numPr>
          <w:ilvl w:val="0"/>
          <w:numId w:val="21"/>
        </w:numPr>
        <w:pBdr/>
        <w:spacing/>
        <w:ind/>
        <w:rPr/>
      </w:pPr>
      <w:r>
        <w:rPr>
          <w:b/>
          <w:bCs/>
        </w:rPr>
        <w:t xml:space="preserve">Percorsi dedicati:</w:t>
      </w:r>
      <w:r>
        <w:t xml:space="preserve"> Seguire la segnaletica: carrelli solo sulle</w:t>
      </w:r>
      <w:r>
        <w:rPr>
          <w:highlight w:val="none"/>
        </w:rPr>
        <w:t xml:space="preserve"> </w:t>
      </w:r>
      <w:r>
        <w:rPr>
          <w:highlight w:val="none"/>
        </w:rPr>
        <w:t xml:space="preserve">vie carrellabili segnate (linee gialle a terra), pedoni sui camminamenti pedonali (linee verdi).</w:t>
      </w:r>
      <w:r>
        <w:rPr>
          <w:highlight w:val="none"/>
        </w:rPr>
        <w:t xml:space="preserve"> </w:t>
      </w:r>
      <w:r>
        <w:t xml:space="preserve">Vietato ai pedoni camminare nelle corsie carrelli, salvo per attraversare ai passaggi pedonali contrassegnati.</w:t>
      </w:r>
      <w:r/>
    </w:p>
    <w:p>
      <w:pPr>
        <w:pStyle w:val="1014"/>
        <w:numPr>
          <w:ilvl w:val="0"/>
          <w:numId w:val="21"/>
        </w:numPr>
        <w:pBdr/>
        <w:spacing/>
        <w:ind/>
        <w:rPr/>
      </w:pPr>
      <w:r>
        <w:rPr>
          <w:b/>
          <w:bCs/>
        </w:rPr>
        <w:t xml:space="preserve">DPI e Attenzione:</w:t>
      </w:r>
      <w:r>
        <w:t xml:space="preserve"> Chiunque si trovi nelle aree di movimentazione (magazzini, cortile di carico) </w:t>
      </w:r>
      <w:r>
        <w:rPr>
          <w:highlight w:val="none"/>
        </w:rPr>
        <w:t xml:space="preserve">deve indossare </w:t>
      </w:r>
      <w:r>
        <w:rPr>
          <w:b/>
          <w:bCs/>
          <w:highlight w:val="none"/>
        </w:rPr>
        <w:t xml:space="preserve">giubbotto ad alta visibilità</w:t>
      </w:r>
      <w:r>
        <w:rPr>
          <w:highlight w:val="none"/>
        </w:rPr>
        <w:t xml:space="preserve">.</w:t>
      </w:r>
      <w:r>
        <w:t xml:space="preserve"> Prestare attenzione costante: niente cuffie audio o uso cellulare camminando. I carrellisti guidano con prudenza, mantengono mani libere (vietato telefonare alla guida).</w:t>
      </w:r>
      <w:r/>
    </w:p>
    <w:p>
      <w:pPr>
        <w:pStyle w:val="1014"/>
        <w:numPr>
          <w:ilvl w:val="0"/>
          <w:numId w:val="21"/>
        </w:numPr>
        <w:pBdr/>
        <w:spacing/>
        <w:ind/>
        <w:rPr/>
      </w:pPr>
      <w:r>
        <w:rPr>
          <w:b/>
          <w:bCs/>
        </w:rPr>
        <w:t xml:space="preserve">Divieti Veicoli:</w:t>
      </w:r>
      <w:r>
        <w:t xml:space="preserve"> Vietato trasportare persone sui carrelli elevatori (nessuno seduto sulle forche o sul carico!). Carico ben posizionato e stabile, non eccedere portata. Vietato circolare con carico sollevato alto: mantenere forche a ~15 cm da terra durante lo spostamento.</w:t>
      </w:r>
      <w:r/>
    </w:p>
    <w:p>
      <w:pPr>
        <w:pStyle w:val="1014"/>
        <w:numPr>
          <w:ilvl w:val="0"/>
          <w:numId w:val="21"/>
        </w:numPr>
        <w:pBdr/>
        <w:spacing/>
        <w:ind/>
        <w:rPr/>
      </w:pPr>
      <w:r>
        <w:rPr>
          <w:b/>
          <w:bCs/>
        </w:rPr>
        <w:t xml:space="preserve">Sosta e Stazionamento:</w:t>
      </w:r>
      <w:r>
        <w:t xml:space="preserve"> </w:t>
      </w:r>
      <w:r>
        <w:rPr>
          <w:highlight w:val="none"/>
        </w:rPr>
        <w:t xml:space="preserve">Parchegg</w:t>
      </w:r>
      <w:r>
        <w:rPr>
          <w:highlight w:val="none"/>
        </w:rPr>
        <w:t xml:space="preserve">iare i carrelli solo nelle </w:t>
      </w:r>
      <w:r>
        <w:rPr>
          <w:highlight w:val="none"/>
        </w:rPr>
        <w:t xml:space="preserve">aree previste</w:t>
      </w:r>
      <w:r>
        <w:t xml:space="preserve">, a motore spento/freno tirato/forche a terra. Non ostruire uscite di emergenza o estintori con carrelli o pallet. Camion in attesa in piazzale devono stare nell’area designata, motore spento se carico/scarico fermo.</w:t>
      </w:r>
      <w:r/>
    </w:p>
    <w:p>
      <w:pPr>
        <w:pStyle w:val="1014"/>
        <w:numPr>
          <w:ilvl w:val="0"/>
          <w:numId w:val="21"/>
        </w:numPr>
        <w:pBdr/>
        <w:spacing/>
        <w:ind/>
        <w:rPr/>
      </w:pPr>
      <w:r>
        <w:rPr>
          <w:b/>
          <w:bCs/>
        </w:rPr>
        <w:t xml:space="preserve">Attenzione in Retromarcia:</w:t>
      </w:r>
      <w:r>
        <w:t xml:space="preserve"> Carrellisti: guardare SEMPRE nella direzione di marcia.</w:t>
      </w:r>
      <w:r>
        <w:t xml:space="preserve"> Se la visuale è ostruita dal carico, guidare in retromarcia. Usare dispositivi acustici/luminosi di avviso (cicalino retromarcia, lampeggiante) – </w:t>
      </w:r>
      <w:r>
        <w:rPr>
          <w:highlight w:val="none"/>
        </w:rPr>
        <w:t xml:space="preserve">devono essere</w:t>
      </w:r>
      <w:r>
        <w:rPr>
          <w:highlight w:val="yellow"/>
        </w:rPr>
        <w:t xml:space="preserve"> </w:t>
      </w:r>
      <w:r>
        <w:rPr>
          <w:highlight w:val="none"/>
        </w:rPr>
        <w:t xml:space="preserve">funzionanti</w:t>
      </w:r>
      <w:r>
        <w:rPr>
          <w:highlight w:val="none"/>
        </w:rPr>
        <w:t xml:space="preserve">. </w:t>
      </w:r>
      <w:r>
        <w:t xml:space="preserve">Pedoni: attenzione ai carrelli in retromarcia, stare fuori dalla loro traiettoria.</w:t>
      </w:r>
      <w:r/>
    </w:p>
    <w:p>
      <w:pPr>
        <w:pStyle w:val="1014"/>
        <w:numPr>
          <w:ilvl w:val="0"/>
          <w:numId w:val="21"/>
        </w:numPr>
        <w:pBdr/>
        <w:spacing/>
        <w:ind/>
        <w:rPr/>
      </w:pPr>
      <w:r>
        <w:rPr>
          <w:b/>
          <w:bCs/>
        </w:rPr>
        <w:t xml:space="preserve">Carico/Scarico Automezzi:</w:t>
      </w:r>
      <w:r>
        <w:t xml:space="preserve"> Prima di entrare col muletto in un camion, assicurarsi che le ruote siano bloccate (cunei) e che il pianale sia fermo.</w:t>
      </w:r>
      <w:r>
        <w:t xml:space="preserve"> Non sostare dietro ai camion in manovra.</w:t>
      </w:r>
      <w:r/>
    </w:p>
    <w:p>
      <w:pPr>
        <w:pStyle w:val="1014"/>
        <w:numPr>
          <w:ilvl w:val="0"/>
          <w:numId w:val="21"/>
        </w:numPr>
        <w:pBdr/>
        <w:spacing/>
        <w:ind/>
        <w:rPr/>
      </w:pPr>
      <w:r>
        <w:rPr>
          <w:b/>
          <w:bCs/>
        </w:rPr>
        <w:t xml:space="preserve">Segnaletica e Divieti:</w:t>
      </w:r>
      <w:r>
        <w:t xml:space="preserve"> Rispettare tutti i cartelli: </w:t>
      </w:r>
      <w:r>
        <w:rPr>
          <w:highlight w:val="none"/>
        </w:rPr>
        <w:t xml:space="preserve">specchi parabolici</w:t>
      </w:r>
      <w:r>
        <w:t xml:space="preserve">, </w:t>
      </w:r>
      <w:r>
        <w:rPr>
          <w:highlight w:val="none"/>
        </w:rPr>
        <w:t xml:space="preserve">stop</w:t>
      </w:r>
      <w:r>
        <w:t xml:space="preserve">, dare precedenza. Divieto di fumo in area serbatoi carburante carrelli. Divieto di accesso mezzi non autorizzati nei reparti.</w:t>
      </w:r>
      <w:r/>
    </w:p>
    <w:p>
      <w:pPr>
        <w:pStyle w:val="1014"/>
        <w:numPr>
          <w:ilvl w:val="0"/>
          <w:numId w:val="21"/>
        </w:numPr>
        <w:pBdr/>
        <w:spacing/>
        <w:ind/>
        <w:rPr/>
      </w:pPr>
      <w:r>
        <w:rPr>
          <w:b/>
          <w:bCs/>
        </w:rPr>
        <w:t xml:space="preserve">In caso di Quasi-Incidente:</w:t>
      </w:r>
      <w:r>
        <w:t xml:space="preserve"> Segnala immediatamente al responsabile qualsiasi manovra pericolosa o situazione di rischio (es. pedoni che attraversano distratti, curva cieca problematica). Meglio agire subito per evitare il prossimo incidente!</w:t>
      </w:r>
      <w:bookmarkEnd w:id="3"/>
      <w:r/>
      <w:r/>
    </w:p>
    <w:p>
      <w:pPr>
        <w:pBdr/>
        <w:spacing/>
        <w:ind/>
        <w:rPr>
          <w:rFonts w:eastAsiaTheme="majorEastAsia" w:cstheme="majorBidi"/>
          <w:color w:val="0f4761" w:themeColor="accent1" w:themeShade="BF"/>
        </w:rPr>
      </w:pPr>
      <w:r>
        <w:br w:type="page" w:clear="all"/>
      </w:r>
      <w:r>
        <w:rPr>
          <w:rFonts w:eastAsiaTheme="majorEastAsia" w:cstheme="majorBidi"/>
          <w:color w:val="0f4761" w:themeColor="accent1" w:themeShade="BF"/>
        </w:rPr>
      </w:r>
      <w:r>
        <w:rPr>
          <w:rFonts w:eastAsiaTheme="majorEastAsia" w:cstheme="majorBidi"/>
          <w:color w:val="0f4761" w:themeColor="accent1" w:themeShade="BF"/>
        </w:rPr>
      </w:r>
    </w:p>
    <w:p>
      <w:pPr>
        <w:pStyle w:val="1004"/>
        <w:numPr>
          <w:ilvl w:val="0"/>
          <w:numId w:val="0"/>
        </w:numPr>
        <w:pBdr/>
        <w:spacing/>
        <w:ind w:hanging="1008" w:left="1008"/>
        <w:rPr/>
      </w:pPr>
      <w:r>
        <w:t xml:space="preserve">Versione estesa – </w:t>
      </w:r>
      <w:r>
        <w:rPr>
          <w:b/>
          <w:bCs/>
        </w:rPr>
        <w:t xml:space="preserve">Istruzione Operativa sul Traffico Interno e l’Uso dei Carrelli Elevatori</w:t>
      </w:r>
      <w:r/>
    </w:p>
    <w:p>
      <w:pPr>
        <w:pStyle w:val="1013"/>
        <w:pBdr/>
        <w:spacing/>
        <w:ind/>
        <w:rPr/>
      </w:pPr>
      <w:r>
        <w:rPr>
          <w:b/>
          <w:bCs/>
        </w:rPr>
        <w:t xml:space="preserve">Introduzione e scopo:</w:t>
      </w:r>
      <w:r>
        <w:t xml:space="preserve"> Questa IO dettaglia le norme di sicurezza per la circolazione di veicoli (carrelli elevatori, transpallet elettrici, </w:t>
      </w:r>
      <w:r>
        <w:t xml:space="preserve">camion dei fornitori) e per i movimenti pedonali all’interno dello stabilimento. L’obiettivo è prevenire collisioni, investimenti e ribaltamenti, assicurando la coesistenza sicura di mezzi e persone nelle aree di magazzino, produzione e piazzali. I carrell</w:t>
      </w:r>
      <w:r>
        <w:t xml:space="preserve">i elevatori sono attrezzature da lavoro e come tali i loro operatori devono essere addestrati (patentino) e consapevoli dei rischi (ribaltamento, carico che cade, urti). Allo stesso tempo, tutti i lavoratori devono conoscere le regole di viabilità interna.</w:t>
      </w:r>
      <w:r/>
    </w:p>
    <w:p>
      <w:pPr>
        <w:pStyle w:val="1012"/>
        <w:pBdr/>
        <w:spacing/>
        <w:ind/>
        <w:rPr>
          <w:highlight w:val="none"/>
        </w:rPr>
      </w:pPr>
      <w:r>
        <w:rPr>
          <w:b/>
          <w:bCs/>
        </w:rPr>
        <w:t xml:space="preserve">Mappa delle aree e percorsi:</w:t>
      </w:r>
      <w:r>
        <w:t xml:space="preserve"> </w:t>
      </w:r>
      <w:r>
        <w:rPr>
          <w:highlight w:val="none"/>
        </w:rPr>
        <w:t xml:space="preserve">(Riferirsi alla planimetria sicurezza </w:t>
      </w:r>
      <w:r>
        <w:rPr>
          <w:highlight w:val="none"/>
        </w:rPr>
        <w:t xml:space="preserve">allegata</w:t>
      </w:r>
      <w:r>
        <w:rPr>
          <w:highlight w:val="none"/>
        </w:rPr>
        <w:t xml:space="preserve">)</w:t>
      </w:r>
      <w:r>
        <w:rPr>
          <w:highlight w:val="none"/>
        </w:rPr>
        <w:t xml:space="preserve">. </w:t>
      </w:r>
      <w:r>
        <w:rPr>
          <w:highlight w:val="none"/>
        </w:rPr>
        <w:t xml:space="preserve">Nel nostro stabilimento: - </w:t>
      </w:r>
      <w:r>
        <w:rPr>
          <w:highlight w:val="none"/>
        </w:rPr>
        <w:t xml:space="preserve">Corridoi produzione (corsie gialle)</w:t>
      </w:r>
      <w:r>
        <w:rPr>
          <w:highlight w:val="none"/>
        </w:rPr>
        <w:t xml:space="preserve"> dove i muletti transitano per trasferire </w:t>
      </w:r>
      <w:r>
        <w:rPr>
          <w:highlight w:val="none"/>
        </w:rPr>
        <w:t xml:space="preserve">bins</w:t>
      </w:r>
      <w:r>
        <w:rPr>
          <w:highlight w:val="none"/>
        </w:rPr>
        <w:t xml:space="preserve"> e pallet; - </w:t>
      </w:r>
      <w:r>
        <w:rPr>
          <w:highlight w:val="none"/>
        </w:rPr>
        <w:t xml:space="preserve">Marciapiedi pedonali segnati in vernice verde a lato dei corridoi, protetti ove possibile da barriere</w:t>
      </w:r>
      <w:r>
        <w:rPr>
          <w:highlight w:val="none"/>
        </w:rPr>
        <w:t xml:space="preserve">; - Piazzale di carico fronte magazzino prodotti finiti: un circuito di circolazione per i camion (entrata lato cancello ovest, uscita </w:t>
      </w:r>
      <w:r>
        <w:rPr>
          <w:highlight w:val="none"/>
        </w:rPr>
        <w:t xml:space="preserve">lato est) e zone di manovra; - Area raccolta rifiuti e parcheggio mezzi aziendali sul retro, accessibile a carrelli e trattorini. La segnaletica orizzontale e verticale è predisposta secondo il </w:t>
      </w:r>
      <w:r>
        <w:rPr>
          <w:highlight w:val="none"/>
        </w:rPr>
        <w:t xml:space="preserve">Piano Traffico Interno</w:t>
      </w:r>
      <w:r>
        <w:rPr>
          <w:highlight w:val="none"/>
        </w:rPr>
        <w:t xml:space="preserve">. È importante che periodicamente (ogni </w:t>
      </w:r>
      <w:r>
        <w:rPr>
          <w:highlight w:val="none"/>
        </w:rPr>
        <w:t xml:space="preserve">6</w:t>
      </w:r>
      <w:r>
        <w:rPr>
          <w:highlight w:val="none"/>
        </w:rPr>
        <w:t xml:space="preserve"> mesi) sia riverniciata e mantenuta visibile.</w:t>
      </w:r>
      <w:r>
        <w:rPr>
          <w:highlight w:val="none"/>
        </w:rPr>
      </w:r>
      <w:r>
        <w:rPr>
          <w:highlight w:val="none"/>
        </w:rPr>
      </w:r>
    </w:p>
    <w:p>
      <w:pPr>
        <w:pStyle w:val="1012"/>
        <w:pBdr/>
        <w:spacing/>
        <w:ind/>
        <w:rPr>
          <w:highlight w:val="none"/>
        </w:rPr>
      </w:pPr>
      <w:r>
        <w:rPr>
          <w:b/>
          <w:bCs/>
        </w:rPr>
        <w:t xml:space="preserve">Abilitazione e condizioni conducenti carrelli:</w:t>
      </w:r>
      <w:r>
        <w:t xml:space="preserve"> Solo i lavoratori in possesso di attestato </w:t>
      </w:r>
      <w:r>
        <w:t xml:space="preserve">di abilitazione (patentino mulettista) e autorizzati dall’azienda possono condurre i carrelli elevatori. Devono avere la visita medica in validità attestante l’idoneità (incluso visus adeguato). Il carrellista deve trovarsi in buone condizioni psico-fisich</w:t>
      </w:r>
      <w:r>
        <w:t xml:space="preserve">e durante il lavoro: tassativamente vietato guidare sotto effetto di alcol o farmaci/stupefacenti che alterino i riflessi. (L’azienda può effettuare controlli alcolemici random nelle aree sensibili). Prima di iniziare il turno, l’operatore carrello esegue </w:t>
      </w:r>
      <w:r>
        <w:rPr>
          <w:b/>
          <w:bCs/>
        </w:rPr>
        <w:t xml:space="preserve">check giornaliero del mezzo</w:t>
      </w:r>
      <w:r>
        <w:t xml:space="preserve">: freni, clacson, luce lampeggiante, segnalatore acustico, forche integre, ruote, livelli ba</w:t>
      </w:r>
      <w:r>
        <w:t xml:space="preserve">tteria o GPL. Segnala immediatamente guasti e non utilizza un carrello con difetti ai dispositivi di sicurezza (es. clacson rotto – deve prenderne uno funzionante). </w:t>
      </w:r>
      <w:r>
        <w:rPr>
          <w:highlight w:val="none"/>
        </w:rPr>
        <w:t xml:space="preserve">Usa la cintura di sicurezza sedile dove presente (tutti i carrelli da 2019 ne sono </w:t>
      </w:r>
      <w:r>
        <w:rPr>
          <w:highlight w:val="none"/>
        </w:rPr>
        <w:t xml:space="preserve">dotati</w:t>
      </w:r>
      <w:r>
        <w:rPr>
          <w:highlight w:val="none"/>
        </w:rPr>
        <w:t xml:space="preserve">)</w:t>
      </w:r>
      <w:r>
        <w:rPr>
          <w:highlight w:val="none"/>
        </w:rPr>
        <w:t xml:space="preserve">.</w:t>
      </w:r>
      <w:r>
        <w:rPr>
          <w:highlight w:val="none"/>
        </w:rPr>
      </w:r>
    </w:p>
    <w:p>
      <w:pPr>
        <w:pStyle w:val="1012"/>
        <w:pBdr/>
        <w:spacing/>
        <w:ind/>
        <w:rPr/>
      </w:pPr>
      <w:r>
        <w:rPr>
          <w:b/>
          <w:bCs/>
        </w:rPr>
        <w:t xml:space="preserve">Regole di guida sicura:</w:t>
      </w:r>
      <w:r>
        <w:t xml:space="preserve"> - </w:t>
      </w:r>
      <w:r>
        <w:rPr>
          <w:b/>
          <w:bCs/>
        </w:rPr>
        <w:t xml:space="preserve">Velocità e prudenza:</w:t>
      </w:r>
      <w:r>
        <w:t xml:space="preserve"> 10 km/h è circa passo d’uomo veloce – in pratica, non più di </w:t>
      </w:r>
      <w:r>
        <w:t xml:space="preserve">una velocità tale da poter arrestare il carrello in pochi metri. In prossimità di persone, abbassare ulteriormente l’andatura. Non fare curve brusche che possano sbilanciare il carico o il mezzo. Usare progressivamente i comandi, niente movimenti a scatto.</w:t>
      </w:r>
      <w:r>
        <w:br/>
        <w:t xml:space="preserve">- </w:t>
      </w:r>
      <w:r>
        <w:rPr>
          <w:b/>
          <w:bCs/>
        </w:rPr>
        <w:t xml:space="preserve">Attenzione costante:</w:t>
      </w:r>
      <w:r>
        <w:t xml:space="preserve"> Il conducente deve guardare avanti nella direzione di marcia; se trasporta un carico ingombrante che ostruisce la vista anteriore, deve guidare al contrario (guardando dietro, e procedendo in retromarcia) o farsi guidare da un collega a piedi opportunam</w:t>
      </w:r>
      <w:r>
        <w:t xml:space="preserve">ente posizionato. In retromarcia, ruotare busto e testa per guardare dietro; non affidarsi solo agli specchietti. Tenere sempre le forche basse (poco sopra il suolo) quando si viaggia senza carico, e inclinate leggermente indietro col carico per stabilità.</w:t>
      </w:r>
      <w:r>
        <w:br/>
        <w:t xml:space="preserve">- </w:t>
      </w:r>
      <w:r>
        <w:rPr>
          <w:b/>
          <w:bCs/>
        </w:rPr>
        <w:t xml:space="preserve">Interazioni con pedoni:</w:t>
      </w:r>
      <w:r>
        <w:t xml:space="preserve"> Oltre al diritto di precedenza pedoni di per sé, l’operatore deve comunicare con essi: segnalare con il clacson in avvicinamento, stabilire contatto visivo se possibile per capire che il pedone l’ha visto. </w:t>
      </w:r>
      <w:r>
        <w:rPr>
          <w:highlight w:val="none"/>
        </w:rPr>
        <w:t xml:space="preserve">Nei punti di attraversamento pedonale (</w:t>
      </w:r>
      <w:r>
        <w:rPr>
          <w:highlight w:val="none"/>
        </w:rPr>
        <w:t xml:space="preserve">strisce a </w:t>
      </w:r>
      <w:r>
        <w:rPr>
          <w:highlight w:val="none"/>
        </w:rPr>
        <w:t xml:space="preserve">terra</w:t>
      </w:r>
      <w:r>
        <w:rPr>
          <w:highlight w:val="none"/>
        </w:rPr>
        <w:t xml:space="preserve">), fermarsi se un pedone intende attraversare. </w:t>
      </w:r>
      <w:r>
        <w:rPr>
          <w:highlight w:val="none"/>
        </w:rPr>
        <w:t xml:space="preserve">I pedoni dovrebbero attraversare solo su questi punti e guardare entrambi i lati prima</w:t>
      </w:r>
      <w:r>
        <w:rPr>
          <w:highlight w:val="none"/>
        </w:rPr>
        <w:t xml:space="preserve">,</w:t>
      </w:r>
      <w:r>
        <w:t xml:space="preserve"> ma il carrellista non può presumere che lo facciano: meglio fermarsi preventivamente.</w:t>
      </w:r>
      <w:r>
        <w:br/>
        <w:t xml:space="preserve">- </w:t>
      </w:r>
      <w:r>
        <w:rPr>
          <w:b/>
          <w:bCs/>
        </w:rPr>
        <w:t xml:space="preserve">Operazioni di carico/scarico:</w:t>
      </w:r>
      <w:r>
        <w:rPr>
          <w:highlight w:val="none"/>
        </w:rPr>
        <w:t xml:space="preserve"> </w:t>
      </w:r>
      <w:r>
        <w:rPr>
          <w:highlight w:val="none"/>
        </w:rPr>
        <w:t xml:space="preserve">Non spingere con le forche pallet accanto (rischio crolli domino). Se un pallet è in alto e instabile, non cercare d</w:t>
      </w:r>
      <w:r>
        <w:rPr>
          <w:highlight w:val="none"/>
        </w:rPr>
        <w:t xml:space="preserve">i sistemarlo con le forche: abbassarlo a terra e sistemare.</w:t>
      </w:r>
      <w:r>
        <w:rPr>
          <w:highlight w:val="none"/>
        </w:rPr>
        <w:t xml:space="preserve"> </w:t>
      </w:r>
      <w:r>
        <w:t xml:space="preserve">Mai sostare o passare sotto un carico sospeso (regola per tutti). In particolare, i pedoni devono stare lontani dal raggio d’azione del carrello elevatore mentre questo impila pallets o movimenta </w:t>
      </w:r>
      <w:r>
        <w:t xml:space="preserve">bins</w:t>
      </w:r>
      <w:r>
        <w:t xml:space="preserve">: potrebbe cadere materiale. Nelle operazioni su camion, accertarsi che il pianale sia in sicurezza: ruote camion bloccate con cunei, motrice spenta, staffe di sostegno (se container sganciato). </w:t>
      </w:r>
      <w:r>
        <w:br/>
        <w:t xml:space="preserve">- </w:t>
      </w:r>
      <w:r>
        <w:rPr>
          <w:b/>
          <w:bCs/>
        </w:rPr>
        <w:t xml:space="preserve">Ribaltamento carrello:</w:t>
      </w:r>
      <w:r>
        <w:t xml:space="preserve"> Grande pericolo per l’operatore. Per evitarlo: non curvare mai a velocità</w:t>
      </w:r>
      <w:r>
        <w:t xml:space="preserve"> con il carico sollevato; rallentare prima di curvare; non superare la portata massima (peso e baricentro, consultare targhetta portate vs altezza). In caso malaugurato inizi il ribaltamento laterale, l’istinto di saltare fuori è forte ma pericolosissimo: </w:t>
      </w:r>
      <w:r>
        <w:rPr>
          <w:b/>
          <w:bCs/>
        </w:rPr>
        <w:t xml:space="preserve">restare entro la cabina, aggrapparsi al volante/maniglia e tenere le gambe dentro</w:t>
      </w:r>
      <w:r>
        <w:t xml:space="preserve">. La cintura serve a trattenere. Questo deve essere ricordato nei corsi e </w:t>
      </w:r>
      <w:r>
        <w:rPr>
          <w:highlight w:val="none"/>
        </w:rPr>
        <w:t xml:space="preserve">con cartelli in </w:t>
      </w:r>
      <w:r>
        <w:rPr>
          <w:highlight w:val="none"/>
        </w:rPr>
        <w:t xml:space="preserve">cabina</w:t>
      </w:r>
      <w:r>
        <w:t xml:space="preserve">.</w:t>
      </w:r>
      <w:r>
        <w:br/>
        <w:t xml:space="preserve">- </w:t>
      </w:r>
      <w:r>
        <w:rPr>
          <w:b/>
          <w:bCs/>
        </w:rPr>
        <w:t xml:space="preserve">Posto guida:</w:t>
      </w:r>
      <w:r>
        <w:t xml:space="preserve"> Non lasciare mai il carrello con motore acceso incustodito. Se ci si allontana più di 2 metri o se è fuori vista, spegnere, estrarre chiave e abbassare forche a terra. Parcheggiare in area idonea, non in mezzo ai passaggi.</w:t>
      </w:r>
      <w:r>
        <w:br/>
        <w:t xml:space="preserve">- </w:t>
      </w:r>
      <w:r>
        <w:rPr>
          <w:b/>
          <w:bCs/>
        </w:rPr>
        <w:t xml:space="preserve">Uso aree esterne e rampe:</w:t>
      </w:r>
      <w:r>
        <w:t xml:space="preserve"> In caso di pioggia, le superfici esterne diventano scivolose – ridurre velocità. Attenzione anche alle foglie bagnate in autunno nel piazzale. I carrelli elettr</w:t>
      </w:r>
      <w:r>
        <w:t xml:space="preserve">ici possono perdere aderenza su rampe ripide o bagnate. Procedere perpendicolarmente sulle rampe, non in diagonale (rischio ribaltamento trasversale). Scendere dalle rampe in retromarcia se col carico (perché così il carico sta a monte e non sbilancia). - </w:t>
      </w:r>
      <w:r>
        <w:rPr>
          <w:b/>
          <w:bCs/>
        </w:rPr>
        <w:t xml:space="preserve">Visibilità e orari notturni:</w:t>
      </w:r>
      <w:r>
        <w:t xml:space="preserve"> Se si opera in condizioni di luce scarsa, accendere i fari del carrello. In aree buie esterne, dotarsi di torcia o illuminazione portatile. Il </w:t>
      </w:r>
      <w:r>
        <w:rPr>
          <w:highlight w:val="none"/>
        </w:rPr>
        <w:t xml:space="preserve">traffico notturno con autisti è poco presente, ma vi sono luci posizionate negli angoli dei vari capannoni per evidenziare i percorsi</w:t>
      </w:r>
      <w:r>
        <w:rPr>
          <w:highlight w:val="none"/>
        </w:rPr>
        <w:t xml:space="preserve">, </w:t>
      </w:r>
      <w:r>
        <w:t xml:space="preserve">e garantire un adeguato livello di illuminazione.</w:t>
        <w:br/>
        <w:t xml:space="preserve">- </w:t>
      </w:r>
      <w:r>
        <w:rPr>
          <w:b/>
          <w:bCs/>
        </w:rPr>
        <w:t xml:space="preserve">Interferenza con macchinari:</w:t>
      </w:r>
      <w:r>
        <w:t xml:space="preserve"> Non transitare con carrelli sotto bracci di macc</w:t>
      </w:r>
      <w:r>
        <w:t xml:space="preserve">hine in movimento o vicino a zone di produzione se non necessario. Ad esempio, nella zona di spremitura agrumi, i carrelli possono passare solo nel</w:t>
      </w:r>
      <w:r>
        <w:rPr>
          <w:highlight w:val="none"/>
        </w:rPr>
        <w:t xml:space="preserve"> </w:t>
      </w:r>
      <w:r>
        <w:rPr>
          <w:highlight w:val="none"/>
        </w:rPr>
        <w:t xml:space="preserve">corridoio dedicato</w:t>
      </w:r>
      <w:r>
        <w:rPr>
          <w:highlight w:val="none"/>
        </w:rPr>
        <w:t xml:space="preserve">;</w:t>
      </w:r>
      <w:r>
        <w:t xml:space="preserve"> non entrare in reparti se non per consegnare materiali e dopo aver avvisato il preposto.</w:t>
      </w:r>
      <w:r>
        <w:br/>
        <w:t xml:space="preserve">- </w:t>
      </w:r>
      <w:r>
        <w:rPr>
          <w:b/>
          <w:bCs/>
        </w:rPr>
        <w:t xml:space="preserve">Istruzioni per pedoni e altri lavoratori:</w:t>
      </w:r>
      <w:r>
        <w:t xml:space="preserve"> Oltre ai conducenti, anche chi lavora a piedi deve seguire accorgimenti: </w:t>
      </w:r>
      <w:r>
        <w:rPr>
          <w:highlight w:val="none"/>
        </w:rPr>
        <w:t xml:space="preserve">camminare solo nelle aree per pedoni</w:t>
      </w:r>
      <w:r>
        <w:rPr>
          <w:highlight w:val="none"/>
        </w:rPr>
        <w:t xml:space="preserve">;</w:t>
      </w:r>
      <w:r>
        <w:t xml:space="preserve"> guardare sempre prima di attraversare una </w:t>
      </w:r>
      <w:r>
        <w:rPr>
          <w:highlight w:val="none"/>
        </w:rPr>
        <w:t xml:space="preserve">corsia carrelli</w:t>
      </w:r>
      <w:r>
        <w:t xml:space="preserve">; </w:t>
      </w:r>
      <w:r>
        <w:rPr>
          <w:highlight w:val="none"/>
        </w:rPr>
        <w:t xml:space="preserve">indossare la visibilità alta</w:t>
      </w:r>
      <w:r>
        <w:t xml:space="preserve"> (fondamentale in celle frigo poco illuminate o in cortile di sera); non distrarsi con cellulare o altro. Se si trasporta manualmente un oggetto voluminoso che riduce la visuale, chiedere aiuto o usare un carrellino a spinta.</w:t>
      </w:r>
      <w:r/>
    </w:p>
    <w:p>
      <w:pPr>
        <w:pStyle w:val="1012"/>
        <w:pBdr/>
        <w:spacing/>
        <w:ind/>
        <w:rPr/>
      </w:pPr>
      <w:r>
        <w:rPr>
          <w:b/>
          <w:bCs/>
        </w:rPr>
        <w:t xml:space="preserve">Responsabilità e ruoli:</w:t>
      </w:r>
      <w:r>
        <w:t xml:space="preserve"> Il </w:t>
      </w:r>
      <w:r>
        <w:rPr>
          <w:b/>
          <w:bCs/>
        </w:rPr>
        <w:t xml:space="preserve">Preposto di Magazzino</w:t>
      </w:r>
      <w:r>
        <w:t xml:space="preserve"> ha il compito di far rispettare queste regole tra i suoi operatori: richiama chi va troppo veloce o non indossa DPI, organizza i flussi (ad es. scaglionare accesso di più carrelli nella stessa corsia). Il </w:t>
      </w:r>
      <w:r>
        <w:rPr>
          <w:b/>
          <w:bCs/>
        </w:rPr>
        <w:t xml:space="preserve">Datore di Lavoro</w:t>
      </w:r>
      <w:r>
        <w:t xml:space="preserve"> assicura la </w:t>
      </w:r>
      <w:r>
        <w:t xml:space="preserve">formazione e l’abilitazione dei carrellisti e mette a disposizione mezzi in efficienza. Il </w:t>
      </w:r>
      <w:r>
        <w:rPr>
          <w:b/>
          <w:bCs/>
        </w:rPr>
        <w:t xml:space="preserve">RSPP</w:t>
      </w:r>
      <w:r>
        <w:t xml:space="preserve"> e </w:t>
      </w:r>
      <w:r>
        <w:rPr>
          <w:b/>
          <w:bCs/>
        </w:rPr>
        <w:t xml:space="preserve">ASPP</w:t>
      </w:r>
      <w:r>
        <w:t xml:space="preserve"> fanno periodici </w:t>
      </w:r>
      <w:r>
        <w:t xml:space="preserve">safety</w:t>
      </w:r>
      <w:r>
        <w:t xml:space="preserve"> </w:t>
      </w:r>
      <w:r>
        <w:t xml:space="preserve">walk</w:t>
      </w:r>
      <w:r>
        <w:t xml:space="preserve"> in reparto, verificando segnaletica e comportamento (esiti discussi in comitato sicurezza). Il </w:t>
      </w:r>
      <w:r>
        <w:rPr>
          <w:b/>
          <w:bCs/>
        </w:rPr>
        <w:t xml:space="preserve">Lavoratore carrellista</w:t>
      </w:r>
      <w:r>
        <w:t xml:space="preserve"> è direttamente responsabile della condotta del mezzo assegnatogli e della sua manutenzione giornaliera minima (controlli). Il </w:t>
      </w:r>
      <w:r>
        <w:rPr>
          <w:b/>
          <w:bCs/>
        </w:rPr>
        <w:t xml:space="preserve">Lavoratore pedone</w:t>
      </w:r>
      <w:r>
        <w:t xml:space="preserve"> ha la responsabilità di seguire le indicazioni di percorso e di non mettersi deliberatamente in situazioni di rischio (es. passando sotto carichi sospesi, cavalcando sul carrello altrui per farsi dare un passaggio – proibito!).</w:t>
      </w:r>
      <w:r/>
    </w:p>
    <w:p>
      <w:pPr>
        <w:pStyle w:val="1012"/>
        <w:pBdr/>
        <w:spacing/>
        <w:ind/>
        <w:rPr/>
      </w:pPr>
      <w:r>
        <w:rPr>
          <w:b/>
          <w:bCs/>
        </w:rPr>
        <w:t xml:space="preserve">DPI e misure di protezione:</w:t>
      </w:r>
      <w:r>
        <w:t xml:space="preserve"> Come da DVR.</w:t>
      </w:r>
      <w:r/>
    </w:p>
    <w:p>
      <w:pPr>
        <w:pStyle w:val="1012"/>
        <w:pBdr/>
        <w:spacing/>
        <w:ind/>
        <w:rPr/>
      </w:pPr>
      <w:r>
        <w:rPr>
          <w:b/>
          <w:bCs/>
        </w:rPr>
        <w:t xml:space="preserve">Gestione emergenze incidente stradella:</w:t>
      </w:r>
      <w:r>
        <w:t xml:space="preserve"> Se dovesse verificarsi un urto con infortunio: bloccare immediatame</w:t>
      </w:r>
      <w:r>
        <w:t xml:space="preserve">nte il mezzo, prestare soccorso chiamando gli addetti di primo soccorso. L’area va isolata per rilievi e per evitare ulteriori movimenti. L’RSPP conduce indagine come da PROC-09, con particolare riguardo a capire se c’è un problema sistemico (es. percorso </w:t>
      </w:r>
      <w:r>
        <w:t xml:space="preserve">mal progettato, visibilità scarsa, regole non rispettate, saturazione di traffico). Se un carrello si ribalta senza feriti, comunque bloccare area e chiamare un tecnico per rimetterlo in posizione (non farlo a mano con altri carrelli in modo improvvisato).</w:t>
      </w:r>
      <w:r>
        <w:t xml:space="preserve"> Segnalare sempre i quasi incidenti (ad es. “carrello frenato a pochi cm da un collega distratto”) per poter migliorare: la segnalazione non comporta punizioni ma consente di agire (forse il collega ha bisogno di formazione, o forse serve uno specchio lì).</w:t>
      </w:r>
      <w:r/>
    </w:p>
    <w:p>
      <w:pPr>
        <w:pStyle w:val="1012"/>
        <w:pBdr/>
        <w:spacing/>
        <w:ind/>
        <w:rPr/>
      </w:pPr>
      <w:r>
        <w:rPr>
          <w:b/>
          <w:bCs/>
        </w:rPr>
        <w:t xml:space="preserve">Controlli e verifiche:</w:t>
      </w:r>
      <w:r>
        <w:t xml:space="preserve"> -</w:t>
      </w:r>
      <w:r>
        <w:rPr>
          <w:highlight w:val="yellow"/>
        </w:rPr>
        <w:t xml:space="preserve"> </w:t>
      </w:r>
      <w:r>
        <w:rPr>
          <w:b/>
          <w:bCs/>
          <w:highlight w:val="yellow"/>
        </w:rPr>
        <w:t xml:space="preserve">Ispezioni periodiche infrastrutture:</w:t>
      </w:r>
      <w:r>
        <w:t xml:space="preserve"> </w:t>
      </w:r>
      <w:r>
        <w:rPr>
          <w:highlight w:val="none"/>
        </w:rPr>
        <w:t xml:space="preserve">Mensilmente il Preposto compila una checklist de</w:t>
      </w:r>
      <w:r>
        <w:rPr>
          <w:highlight w:val="none"/>
        </w:rPr>
        <w:t xml:space="preserve">lle infrastrutture comprese di percorsi.</w:t>
      </w:r>
      <w:r>
        <w:t xml:space="preserve"> Eventuali carenze vengono segnalate alla Direzione per intervento (p.es rifare strisce consumate, riparare pavimentazione).</w:t>
      </w:r>
      <w:r>
        <w:br/>
        <w:t xml:space="preserve">- </w:t>
      </w:r>
      <w:r>
        <w:rPr>
          <w:b/>
          <w:bCs/>
        </w:rPr>
        <w:t xml:space="preserve">Monitoraggio comportamentale:</w:t>
      </w:r>
      <w:r>
        <w:t xml:space="preserve"> Supervisori ed RSPP fanno osservazioni sul campo (</w:t>
      </w:r>
      <w:r>
        <w:t xml:space="preserve">behavioral</w:t>
      </w:r>
      <w:r>
        <w:t xml:space="preserve"> </w:t>
      </w:r>
      <w:r>
        <w:t xml:space="preserve">observation</w:t>
      </w:r>
      <w:r>
        <w:t xml:space="preserve">): e.g., random in diversi orari, controllano velocità stimate, se i conduttori suonano agli incroci, ecc. Si può usare un </w:t>
      </w:r>
      <w:r>
        <w:rPr>
          <w:i/>
          <w:iCs/>
        </w:rPr>
        <w:t xml:space="preserve">radar didattico</w:t>
      </w:r>
      <w:r>
        <w:t xml:space="preserve"> per misurare velocità in cortile e dare </w:t>
      </w:r>
      <w:r>
        <w:t xml:space="preserve">feedback</w:t>
      </w:r>
      <w:r>
        <w:t xml:space="preserve">. Se problemi persistono con un operatore, scatta richiamo formale e </w:t>
      </w:r>
      <w:r>
        <w:t xml:space="preserve">ri</w:t>
      </w:r>
      <w:r>
        <w:t xml:space="preserve">-addestramento. - </w:t>
      </w:r>
      <w:r>
        <w:rPr>
          <w:b/>
          <w:bCs/>
        </w:rPr>
        <w:t xml:space="preserve">Manutenzione mezzi:</w:t>
      </w:r>
      <w:r>
        <w:t xml:space="preserve"> I carrelli elevatori hanno un programma di manutenzione regolare </w:t>
      </w:r>
      <w:r>
        <w:t xml:space="preserve">(tagliandi trimestrali e annuali da officina qualificata). L’ufficio tecnico mantiene registro interventi. Ogni guasto segnalato viene preso in carico subito (non si lascia un carrello con freni malfunzionanti in uso). Carrelli obsoleti vengono sostituiti.</w:t>
      </w:r>
      <w:r>
        <w:br/>
        <w:t xml:space="preserve">- </w:t>
      </w:r>
      <w:r>
        <w:rPr>
          <w:b/>
          <w:bCs/>
        </w:rPr>
        <w:t xml:space="preserve">Revisione regole:</w:t>
      </w:r>
      <w:r>
        <w:t xml:space="preserve"> Ogni anno in riunione sicurezza si rivedono eventuali incidenti occorsi nell’ambito viabilità interna. Se necessario, le regole vengono aggiornate (ad es. inserire limite 5 </w:t>
      </w:r>
      <w:r>
        <w:t xml:space="preserve">km/h se è stato ritenut</w:t>
      </w:r>
      <w:r>
        <w:t xml:space="preserve">o opportuno). Il RLS solleva eventuali segnalazioni raccolte tra i lavoratori (es. “quel portone è pericoloso perché carrelli escono su pedonale improvvisamente”). Si prendono decisioni come aggiungere un segnale o cambiare i flussi logistici per mitigare.</w:t>
      </w:r>
      <w:r/>
    </w:p>
    <w:p>
      <w:pPr>
        <w:pStyle w:val="1012"/>
        <w:pBdr/>
        <w:spacing/>
        <w:ind/>
        <w:rPr/>
      </w:pPr>
      <w:r>
        <w:t xml:space="preserve">Con questa istruzione, vogliamo radicare una cultura di guida sicura: </w:t>
      </w:r>
      <w:r>
        <w:t xml:space="preserve">i tempi stretti di produzione non giustificano comportamenti rischiosi. La direzione è chiara che la priorità è la sicurezza rispetto alla velocità di movimentazione. Un incidente può fermare la produzione molto più a lungo di qualche secondo risparmiato. </w:t>
      </w:r>
      <w:r>
        <w:t xml:space="preserve">Pertanto</w:t>
      </w:r>
      <w:r>
        <w:t xml:space="preserve"> tutti sono tenuti al rispetto scrupoloso di queste indicazioni per la salvaguardia propria e altrui.</w:t>
      </w:r>
      <w:r/>
    </w:p>
    <w:p>
      <w:pPr>
        <w:pStyle w:val="1004"/>
        <w:numPr>
          <w:ilvl w:val="0"/>
          <w:numId w:val="0"/>
        </w:numPr>
        <w:pBdr/>
        <w:spacing/>
        <w:ind w:hanging="1008" w:left="1008"/>
        <w:rPr/>
      </w:pPr>
      <w:r/>
      <w:r/>
    </w:p>
    <w:p>
      <w:pPr>
        <w:pBdr/>
        <w:spacing/>
        <w:ind/>
        <w:rPr/>
      </w:pPr>
      <w:r/>
      <w:bookmarkEnd w:id="2"/>
      <w:r/>
      <w:r/>
    </w:p>
    <w:sectPr>
      <w:headerReference w:type="default" r:id="rId9"/>
      <w:footerReference w:type="default" r:id="rId10"/>
      <w:footnotePr>
        <w:numRestart w:val="eachSect"/>
      </w:footnotePr>
      <w:endnotePr/>
      <w:type w:val="nextPage"/>
      <w:pgSz w:h="15840" w:orient="portrait" w:w="12240"/>
      <w:pgMar w:top="1417" w:right="1134" w:bottom="1134"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ind/>
        <w:rPr/>
      </w:pPr>
      <w:r>
        <w:separator/>
      </w:r>
      <w:r/>
    </w:p>
  </w:endnote>
  <w:endnote w:type="continuationSeparator" w:id="0">
    <w:p>
      <w:pPr>
        <w:pBdr/>
        <w:spacing w:after="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17711698"/>
      <w:docPartObj>
        <w:docPartGallery w:val="Page Numbers (Bottom of Page)"/>
        <w:docPartUnique w:val="true"/>
      </w:docPartObj>
      <w:rPr/>
    </w:sdtPr>
    <w:sdtContent>
      <w:p>
        <w:pPr>
          <w:pStyle w:val="1084"/>
          <w:pBdr/>
          <w:spacing/>
          <w:ind/>
          <w:jc w:val="right"/>
          <w:rPr/>
        </w:pPr>
        <w:r>
          <w:fldChar w:fldCharType="begin"/>
        </w:r>
        <w:r>
          <w:instrText xml:space="preserve">PAGE   \* MERGEFORMAT</w:instrText>
        </w:r>
        <w:r>
          <w:fldChar w:fldCharType="separate"/>
        </w:r>
        <w:r>
          <w:rPr>
            <w:lang w:val="it-IT"/>
          </w:rPr>
          <w:t xml:space="preserve">2</w:t>
        </w:r>
        <w:r>
          <w:fldChar w:fldCharType="end"/>
        </w:r>
        <w:r/>
      </w:p>
    </w:sdtContent>
  </w:sdt>
  <w:p>
    <w:pPr>
      <w:pStyle w:val="108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ind/>
        <w:rPr/>
      </w:pPr>
      <w:r>
        <w:separator/>
      </w:r>
      <w:r/>
    </w:p>
  </w:footnote>
  <w:footnote w:type="continuationSeparator" w:id="0">
    <w:p>
      <w:pPr>
        <w:pBdr/>
        <w:spacing w:after="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jc w:val="center"/>
      <w:tblW w:w="10314" w:type="dxa"/>
      <w:tblBorders/>
      <w:tblLook w:val="04A0" w:firstRow="1" w:lastRow="0" w:firstColumn="1" w:lastColumn="0" w:noHBand="0" w:noVBand="1"/>
      <w:tblStyle w:val="1086"/>
    </w:tblPr>
    <w:tblGrid>
      <w:gridCol w:w="2943"/>
      <w:gridCol w:w="4678"/>
      <w:gridCol w:w="2693"/>
    </w:tblGrid>
    <w:tr>
      <w:trPr>
        <w:jc w:val="center"/>
        <w:trHeight w:val="977"/>
      </w:trPr>
      <w:tc>
        <w:tcPr>
          <w:tcBorders/>
          <w:tcW w:w="2943" w:type="dxa"/>
          <w:vAlign w:val="center"/>
          <w:textDirection w:val="lrTb"/>
          <w:noWrap w:val="false"/>
        </w:tcPr>
        <w:p>
          <w:pPr>
            <w:pStyle w:val="1082"/>
            <w:pBdr/>
            <w:spacing/>
            <w:ind/>
            <w:rPr>
              <w:lang w:val="it-IT"/>
            </w:rPr>
          </w:pPr>
          <w:r>
            <w:rPr>
              <w:lang w:val="it-IT"/>
            </w:rPr>
            <mc:AlternateContent>
              <mc:Choice Requires="wpg">
                <w:drawing>
                  <wp:inline xmlns:wp="http://schemas.openxmlformats.org/drawingml/2006/wordprocessingDrawing" distT="0" distB="0" distL="0" distR="0">
                    <wp:extent cx="1085850" cy="514350"/>
                    <wp:effectExtent l="0" t="0" r="0" b="0"/>
                    <wp:docPr id="1"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pic:cNvPicPr>
                            <pic:nvPr/>
                          </pic:nvPicPr>
                          <pic:blipFill>
                            <a:blip r:embed="rId1"/>
                            <a:stretch/>
                          </pic:blipFill>
                          <pic:spPr bwMode="auto">
                            <a:xfrm>
                              <a:off x="0" y="0"/>
                              <a:ext cx="1085850" cy="5143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5.50pt;height:40.50pt;mso-wrap-distance-left:0.00pt;mso-wrap-distance-top:0.00pt;mso-wrap-distance-right:0.00pt;mso-wrap-distance-bottom:0.00pt;z-index:1;" stroked="f">
                    <v:imagedata r:id="rId1" o:title=""/>
                    <o:lock v:ext="edit" rotation="t"/>
                  </v:shape>
                </w:pict>
              </mc:Fallback>
            </mc:AlternateContent>
          </w:r>
          <w:r>
            <w:rPr>
              <w:lang w:val="it-IT"/>
            </w:rPr>
          </w:r>
          <w:r>
            <w:rPr>
              <w:lang w:val="it-IT"/>
            </w:rPr>
          </w:r>
        </w:p>
      </w:tc>
      <w:tc>
        <w:tcPr>
          <w:tcBorders/>
          <w:tcW w:w="4678" w:type="dxa"/>
          <w:vAlign w:val="center"/>
          <w:textDirection w:val="lrTb"/>
          <w:noWrap w:val="false"/>
        </w:tcPr>
        <w:p>
          <w:pPr>
            <w:pStyle w:val="1082"/>
            <w:pBdr/>
            <w:spacing/>
            <w:ind/>
            <w:rPr>
              <w:lang w:val="it-IT"/>
            </w:rPr>
          </w:pPr>
          <w:r>
            <w:rPr>
              <w:b/>
              <w:bCs/>
            </w:rPr>
            <w:t xml:space="preserve">IO-02: Sicurezza nel Traffico Interno e Utilizzo dei Carrelli Elevatori</w:t>
          </w:r>
          <w:r>
            <w:rPr>
              <w:lang w:val="it-IT"/>
            </w:rPr>
          </w:r>
          <w:r>
            <w:rPr>
              <w:lang w:val="it-IT"/>
            </w:rPr>
          </w:r>
        </w:p>
      </w:tc>
      <w:tc>
        <w:tcPr>
          <w:tcBorders/>
          <w:tcW w:w="2693" w:type="dxa"/>
          <w:vAlign w:val="center"/>
          <w:textDirection w:val="lrTb"/>
          <w:noWrap w:val="false"/>
        </w:tcPr>
        <w:p>
          <w:pPr>
            <w:pStyle w:val="1082"/>
            <w:pBdr/>
            <w:spacing/>
            <w:ind/>
            <w:rPr/>
          </w:pPr>
          <w:r>
            <w:t xml:space="preserve">IO-0</w:t>
          </w:r>
          <w:r>
            <w:t xml:space="preserve">2</w:t>
          </w:r>
          <w:r/>
        </w:p>
        <w:p>
          <w:pPr>
            <w:pStyle w:val="1082"/>
            <w:pBdr/>
            <w:spacing/>
            <w:ind/>
            <w:rPr>
              <w:lang w:val="it-IT"/>
            </w:rPr>
          </w:pPr>
          <w:r>
            <w:rPr>
              <w:lang w:val="it-IT"/>
            </w:rPr>
            <w:t xml:space="preserve">REV. </w:t>
          </w:r>
          <w:r>
            <w:rPr>
              <w:lang w:val="it-IT"/>
            </w:rPr>
            <w:t xml:space="preserve">00</w:t>
          </w:r>
          <w:r>
            <w:rPr>
              <w:lang w:val="it-IT"/>
            </w:rPr>
            <w:t xml:space="preserve"> del </w:t>
          </w:r>
          <w:r>
            <w:rPr>
              <w:lang w:val="it-IT"/>
            </w:rPr>
            <w:t xml:space="preserve">14</w:t>
          </w:r>
          <w:r>
            <w:rPr>
              <w:lang w:val="it-IT"/>
            </w:rPr>
            <w:t xml:space="preserve">-</w:t>
          </w:r>
          <w:r>
            <w:rPr>
              <w:lang w:val="it-IT"/>
            </w:rPr>
            <w:t xml:space="preserve">10</w:t>
          </w:r>
          <w:r>
            <w:rPr>
              <w:lang w:val="it-IT"/>
            </w:rPr>
            <w:t xml:space="preserve">-2025</w:t>
          </w:r>
          <w:r>
            <w:rPr>
              <w:lang w:val="it-IT"/>
            </w:rPr>
          </w:r>
          <w:r>
            <w:rPr>
              <w:lang w:val="it-IT"/>
            </w:rPr>
          </w:r>
        </w:p>
      </w:tc>
    </w:tr>
  </w:tbl>
  <w:p>
    <w:pPr>
      <w:pStyle w:val="108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360" w:left="6480"/>
      </w:pPr>
      <w:rPr/>
      <w:start w:val="1"/>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
      <w:numFmt w:val="bullet"/>
      <w:pPr>
        <w:pBdr/>
        <w:spacing/>
        <w:ind w:hanging="360" w:left="5257"/>
      </w:pPr>
      <w:rPr>
        <w:rFonts w:hint="default" w:ascii="Symbol" w:hAnsi="Symbol"/>
      </w:rPr>
      <w:start w:val="1"/>
      <w:suff w:val="tab"/>
    </w:lvl>
    <w:lvl w:ilvl="1">
      <w:isLgl w:val="false"/>
      <w:lvlJc w:val="left"/>
      <w:lvlText w:val="o"/>
      <w:numFmt w:val="bullet"/>
      <w:pPr>
        <w:pBdr/>
        <w:spacing/>
        <w:ind w:hanging="360" w:left="5977"/>
      </w:pPr>
      <w:rPr>
        <w:rFonts w:hint="default" w:ascii="Courier New" w:hAnsi="Courier New" w:cs="Courier New"/>
      </w:rPr>
      <w:start w:val="1"/>
      <w:suff w:val="tab"/>
    </w:lvl>
    <w:lvl w:ilvl="2">
      <w:isLgl w:val="false"/>
      <w:lvlJc w:val="left"/>
      <w:lvlText w:val=""/>
      <w:numFmt w:val="bullet"/>
      <w:pPr>
        <w:pBdr/>
        <w:spacing/>
        <w:ind w:hanging="360" w:left="6697"/>
      </w:pPr>
      <w:rPr>
        <w:rFonts w:hint="default" w:ascii="Wingdings" w:hAnsi="Wingdings"/>
      </w:rPr>
      <w:start w:val="1"/>
      <w:suff w:val="tab"/>
    </w:lvl>
    <w:lvl w:ilvl="3">
      <w:isLgl w:val="false"/>
      <w:lvlJc w:val="left"/>
      <w:lvlText w:val=""/>
      <w:numFmt w:val="bullet"/>
      <w:pPr>
        <w:pBdr/>
        <w:spacing/>
        <w:ind w:hanging="360" w:left="7417"/>
      </w:pPr>
      <w:rPr>
        <w:rFonts w:hint="default" w:ascii="Symbol" w:hAnsi="Symbol"/>
      </w:rPr>
      <w:start w:val="1"/>
      <w:suff w:val="tab"/>
    </w:lvl>
    <w:lvl w:ilvl="4">
      <w:isLgl w:val="false"/>
      <w:lvlJc w:val="left"/>
      <w:lvlText w:val="o"/>
      <w:numFmt w:val="bullet"/>
      <w:pPr>
        <w:pBdr/>
        <w:spacing/>
        <w:ind w:hanging="360" w:left="8137"/>
      </w:pPr>
      <w:rPr>
        <w:rFonts w:hint="default" w:ascii="Courier New" w:hAnsi="Courier New" w:cs="Courier New"/>
      </w:rPr>
      <w:start w:val="1"/>
      <w:suff w:val="tab"/>
    </w:lvl>
    <w:lvl w:ilvl="5">
      <w:isLgl w:val="false"/>
      <w:lvlJc w:val="left"/>
      <w:lvlText w:val=""/>
      <w:numFmt w:val="bullet"/>
      <w:pPr>
        <w:pBdr/>
        <w:spacing/>
        <w:ind w:hanging="360" w:left="8857"/>
      </w:pPr>
      <w:rPr>
        <w:rFonts w:hint="default" w:ascii="Wingdings" w:hAnsi="Wingdings"/>
      </w:rPr>
      <w:start w:val="1"/>
      <w:suff w:val="tab"/>
    </w:lvl>
    <w:lvl w:ilvl="6">
      <w:isLgl w:val="false"/>
      <w:lvlJc w:val="left"/>
      <w:lvlText w:val=""/>
      <w:numFmt w:val="bullet"/>
      <w:pPr>
        <w:pBdr/>
        <w:spacing/>
        <w:ind w:hanging="360" w:left="9577"/>
      </w:pPr>
      <w:rPr>
        <w:rFonts w:hint="default" w:ascii="Symbol" w:hAnsi="Symbol"/>
      </w:rPr>
      <w:start w:val="1"/>
      <w:suff w:val="tab"/>
    </w:lvl>
    <w:lvl w:ilvl="7">
      <w:isLgl w:val="false"/>
      <w:lvlJc w:val="left"/>
      <w:lvlText w:val="o"/>
      <w:numFmt w:val="bullet"/>
      <w:pPr>
        <w:pBdr/>
        <w:spacing/>
        <w:ind w:hanging="360" w:left="10297"/>
      </w:pPr>
      <w:rPr>
        <w:rFonts w:hint="default" w:ascii="Courier New" w:hAnsi="Courier New" w:cs="Courier New"/>
      </w:rPr>
      <w:start w:val="1"/>
      <w:suff w:val="tab"/>
    </w:lvl>
    <w:lvl w:ilvl="8">
      <w:isLgl w:val="false"/>
      <w:lvlJc w:val="left"/>
      <w:lvlText w:val=""/>
      <w:numFmt w:val="bullet"/>
      <w:pPr>
        <w:pBdr/>
        <w:spacing/>
        <w:ind w:hanging="360" w:left="11017"/>
      </w:pPr>
      <w:rPr>
        <w:rFonts w:hint="default" w:ascii="Wingdings" w:hAnsi="Wingdings"/>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1."/>
      <w:numFmt w:val="decimal"/>
      <w:pPr>
        <w:pBdr/>
        <w:spacing/>
        <w:ind w:hanging="360" w:left="360"/>
      </w:pPr>
      <w:pStyle w:val="1000"/>
      <w:rPr/>
      <w:start w:val="1"/>
      <w:suff w:val="tab"/>
    </w:lvl>
    <w:lvl w:ilvl="1">
      <w:isLgl w:val="false"/>
      <w:lvlJc w:val="left"/>
      <w:lvlText w:val="%1.%2"/>
      <w:numFmt w:val="decimal"/>
      <w:pPr>
        <w:pBdr/>
        <w:spacing/>
        <w:ind w:hanging="576" w:left="576"/>
      </w:pPr>
      <w:pStyle w:val="1001"/>
      <w:rPr>
        <w:rFonts w:hint="default"/>
      </w:rPr>
      <w:start w:val="1"/>
      <w:suff w:val="tab"/>
    </w:lvl>
    <w:lvl w:ilvl="2">
      <w:isLgl w:val="false"/>
      <w:lvlJc w:val="left"/>
      <w:lvlText w:val="%1.%2.%3"/>
      <w:numFmt w:val="decimal"/>
      <w:pPr>
        <w:pBdr/>
        <w:spacing/>
        <w:ind w:hanging="720" w:left="720"/>
      </w:pPr>
      <w:pStyle w:val="1002"/>
      <w:rPr>
        <w:rFonts w:hint="default"/>
      </w:rPr>
      <w:start w:val="1"/>
      <w:suff w:val="tab"/>
    </w:lvl>
    <w:lvl w:ilvl="3">
      <w:isLgl w:val="false"/>
      <w:lvlJc w:val="left"/>
      <w:lvlText w:val="%1.%2.%3.%4"/>
      <w:numFmt w:val="decimal"/>
      <w:pPr>
        <w:pBdr/>
        <w:spacing/>
        <w:ind w:hanging="864" w:left="864"/>
      </w:pPr>
      <w:pStyle w:val="1003"/>
      <w:rPr>
        <w:rFonts w:hint="default"/>
      </w:rPr>
      <w:start w:val="1"/>
      <w:suff w:val="tab"/>
    </w:lvl>
    <w:lvl w:ilvl="4">
      <w:isLgl w:val="false"/>
      <w:lvlJc w:val="left"/>
      <w:lvlText w:val="%1.%2.%3.%4.%5"/>
      <w:numFmt w:val="decimal"/>
      <w:pPr>
        <w:pBdr/>
        <w:spacing/>
        <w:ind w:hanging="1008" w:left="1008"/>
      </w:pPr>
      <w:pStyle w:val="1004"/>
      <w:rPr>
        <w:rFonts w:hint="default"/>
      </w:rPr>
      <w:start w:val="1"/>
      <w:suff w:val="tab"/>
    </w:lvl>
    <w:lvl w:ilvl="5">
      <w:isLgl w:val="false"/>
      <w:lvlJc w:val="left"/>
      <w:lvlText w:val="%1.%2.%3.%4.%5.%6"/>
      <w:numFmt w:val="decimal"/>
      <w:pPr>
        <w:pBdr/>
        <w:spacing/>
        <w:ind w:hanging="1152" w:left="1152"/>
      </w:pPr>
      <w:pStyle w:val="1005"/>
      <w:rPr>
        <w:rFonts w:hint="default"/>
      </w:rPr>
      <w:start w:val="1"/>
      <w:suff w:val="tab"/>
    </w:lvl>
    <w:lvl w:ilvl="6">
      <w:isLgl w:val="false"/>
      <w:lvlJc w:val="left"/>
      <w:lvlText w:val="%1.%2.%3.%4.%5.%6.%7"/>
      <w:numFmt w:val="decimal"/>
      <w:pPr>
        <w:pBdr/>
        <w:spacing/>
        <w:ind w:hanging="1296" w:left="1296"/>
      </w:pPr>
      <w:pStyle w:val="1006"/>
      <w:rPr>
        <w:rFonts w:hint="default"/>
      </w:rPr>
      <w:start w:val="1"/>
      <w:suff w:val="tab"/>
    </w:lvl>
    <w:lvl w:ilvl="7">
      <w:isLgl w:val="false"/>
      <w:lvlJc w:val="left"/>
      <w:lvlText w:val="%1.%2.%3.%4.%5.%6.%7.%8"/>
      <w:numFmt w:val="decimal"/>
      <w:pPr>
        <w:pBdr/>
        <w:spacing/>
        <w:ind w:hanging="1440" w:left="1440"/>
      </w:pPr>
      <w:pStyle w:val="1007"/>
      <w:rPr>
        <w:rFonts w:hint="default"/>
      </w:rPr>
      <w:start w:val="1"/>
      <w:suff w:val="tab"/>
    </w:lvl>
    <w:lvl w:ilvl="8">
      <w:isLgl w:val="false"/>
      <w:lvlJc w:val="left"/>
      <w:lvlText w:val="%1.%2.%3.%4.%5.%6.%7.%8.%9"/>
      <w:numFmt w:val="decimal"/>
      <w:pPr>
        <w:pBdr/>
        <w:spacing/>
        <w:ind w:hanging="1584" w:left="1584"/>
      </w:pPr>
      <w:pStyle w:val="1008"/>
      <w:rPr>
        <w:rFonts w:hint="default"/>
      </w:rPr>
      <w:start w:val="1"/>
      <w:suff w:val="tab"/>
    </w:lvl>
  </w:abstractNum>
  <w:abstractNum w:abstractNumId="1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1"/>
  </w:num>
  <w:num w:numId="2">
    <w:abstractNumId w:val="14"/>
  </w:num>
  <w:num w:numId="3">
    <w:abstractNumId w:val="15"/>
  </w:num>
  <w:num w:numId="4">
    <w:abstractNumId w:val="4"/>
  </w:num>
  <w:num w:numId="5">
    <w:abstractNumId w:val="20"/>
  </w:num>
  <w:num w:numId="6">
    <w:abstractNumId w:val="19"/>
  </w:num>
  <w:num w:numId="7">
    <w:abstractNumId w:val="10"/>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13"/>
  </w:num>
  <w:num w:numId="11">
    <w:abstractNumId w:val="5"/>
  </w:num>
  <w:num w:numId="12">
    <w:abstractNumId w:val="18"/>
  </w:num>
  <w:num w:numId="13">
    <w:abstractNumId w:val="9"/>
  </w:num>
  <w:num w:numId="14">
    <w:abstractNumId w:val="16"/>
  </w:num>
  <w:num w:numId="15">
    <w:abstractNumId w:val="7"/>
  </w:num>
  <w:num w:numId="16">
    <w:abstractNumId w:val="3"/>
  </w:num>
  <w:num w:numId="17">
    <w:abstractNumId w:val="12"/>
  </w:num>
  <w:num w:numId="18">
    <w:abstractNumId w:val="6"/>
  </w:num>
  <w:num w:numId="19">
    <w:abstractNumId w:val="17"/>
  </w:num>
  <w:num w:numId="20">
    <w:abstractNumId w:val="0"/>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283"/>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it"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7">
    <w:name w:val="Table Grid Light"/>
    <w:basedOn w:val="10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Plain Table 2"/>
    <w:basedOn w:val="10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Plain Table 3"/>
    <w:basedOn w:val="10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Plain Table 4"/>
    <w:basedOn w:val="10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Plain Table 5"/>
    <w:basedOn w:val="10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w:basedOn w:val="10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1 Light - Accent 1"/>
    <w:basedOn w:val="10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 Accent 2"/>
    <w:basedOn w:val="10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 Accent 3"/>
    <w:basedOn w:val="10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 Accent 4"/>
    <w:basedOn w:val="10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 Accent 5"/>
    <w:basedOn w:val="10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 Accent 6"/>
    <w:basedOn w:val="10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w:basedOn w:val="10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 Accent 1"/>
    <w:basedOn w:val="10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 Accent 2"/>
    <w:basedOn w:val="10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 Accent 3"/>
    <w:basedOn w:val="10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 Accent 4"/>
    <w:basedOn w:val="10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 Accent 5"/>
    <w:basedOn w:val="10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 Accent 6"/>
    <w:basedOn w:val="10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w:basedOn w:val="10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 Accent 1"/>
    <w:basedOn w:val="10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 Accent 2"/>
    <w:basedOn w:val="10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 Accent 3"/>
    <w:basedOn w:val="10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 Accent 4"/>
    <w:basedOn w:val="10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 Accent 5"/>
    <w:basedOn w:val="10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 Accent 6"/>
    <w:basedOn w:val="10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w:basedOn w:val="10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 Accent 1"/>
    <w:basedOn w:val="10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 Accent 2"/>
    <w:basedOn w:val="10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 Accent 3"/>
    <w:basedOn w:val="10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 Accent 4"/>
    <w:basedOn w:val="10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 Accent 5"/>
    <w:basedOn w:val="10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4 - Accent 6"/>
    <w:basedOn w:val="10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w:basedOn w:val="10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Accent 1"/>
    <w:basedOn w:val="10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 Accent 2"/>
    <w:basedOn w:val="10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5 Dark - Accent 3"/>
    <w:basedOn w:val="10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Accent 4"/>
    <w:basedOn w:val="10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5 Dark - Accent 5"/>
    <w:basedOn w:val="10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5 Dark - Accent 6"/>
    <w:basedOn w:val="10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6 Colorful"/>
    <w:basedOn w:val="10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78">
    <w:name w:val="Grid Table 6 Colorful - Accent 1"/>
    <w:basedOn w:val="10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79">
    <w:name w:val="Grid Table 6 Colorful - Accent 2"/>
    <w:basedOn w:val="10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0">
    <w:name w:val="Grid Table 6 Colorful - Accent 3"/>
    <w:basedOn w:val="10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1">
    <w:name w:val="Grid Table 6 Colorful - Accent 4"/>
    <w:basedOn w:val="10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2">
    <w:name w:val="Grid Table 6 Colorful - Accent 5"/>
    <w:basedOn w:val="10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3">
    <w:name w:val="Grid Table 6 Colorful - Accent 6"/>
    <w:basedOn w:val="10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4">
    <w:name w:val="Grid Table 7 Colorful"/>
    <w:basedOn w:val="10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7 Colorful - Accent 1"/>
    <w:basedOn w:val="10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7 Colorful - Accent 2"/>
    <w:basedOn w:val="10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 Accent 3"/>
    <w:basedOn w:val="10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 Accent 4"/>
    <w:basedOn w:val="10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7 Colorful - Accent 5"/>
    <w:basedOn w:val="10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7 Colorful - Accent 6"/>
    <w:basedOn w:val="10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w:basedOn w:val="10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1 Light - Accent 1"/>
    <w:basedOn w:val="10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 Accent 2"/>
    <w:basedOn w:val="10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 Accent 3"/>
    <w:basedOn w:val="10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 Accent 4"/>
    <w:basedOn w:val="10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 Accent 5"/>
    <w:basedOn w:val="10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 Accent 6"/>
    <w:basedOn w:val="10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w:basedOn w:val="10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2 - Accent 1"/>
    <w:basedOn w:val="10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 Accent 2"/>
    <w:basedOn w:val="10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 Accent 3"/>
    <w:basedOn w:val="10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 Accent 4"/>
    <w:basedOn w:val="10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 Accent 5"/>
    <w:basedOn w:val="10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2 - Accent 6"/>
    <w:basedOn w:val="10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w:basedOn w:val="10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3 - Accent 1"/>
    <w:basedOn w:val="10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 Accent 2"/>
    <w:basedOn w:val="10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 Accent 3"/>
    <w:basedOn w:val="10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 Accent 4"/>
    <w:basedOn w:val="10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 Accent 5"/>
    <w:basedOn w:val="10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3 - Accent 6"/>
    <w:basedOn w:val="10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w:basedOn w:val="10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4 - Accent 1"/>
    <w:basedOn w:val="10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 Accent 2"/>
    <w:basedOn w:val="10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 Accent 3"/>
    <w:basedOn w:val="10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 Accent 4"/>
    <w:basedOn w:val="10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 Accent 5"/>
    <w:basedOn w:val="10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 Accent 6"/>
    <w:basedOn w:val="10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5 Dark"/>
    <w:basedOn w:val="10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0">
    <w:name w:val="List Table 5 Dark - Accent 1"/>
    <w:basedOn w:val="10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1">
    <w:name w:val="List Table 5 Dark - Accent 2"/>
    <w:basedOn w:val="10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2">
    <w:name w:val="List Table 5 Dark - Accent 3"/>
    <w:basedOn w:val="10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3">
    <w:name w:val="List Table 5 Dark - Accent 4"/>
    <w:basedOn w:val="10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4">
    <w:name w:val="List Table 5 Dark - Accent 5"/>
    <w:basedOn w:val="10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5">
    <w:name w:val="List Table 5 Dark - Accent 6"/>
    <w:basedOn w:val="10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6">
    <w:name w:val="List Table 6 Colorful"/>
    <w:basedOn w:val="10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6 Colorful - Accent 1"/>
    <w:basedOn w:val="10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6 Colorful - Accent 2"/>
    <w:basedOn w:val="10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 Accent 3"/>
    <w:basedOn w:val="10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 Accent 4"/>
    <w:basedOn w:val="10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 Accent 5"/>
    <w:basedOn w:val="10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6 Colorful - Accent 6"/>
    <w:basedOn w:val="10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7 Colorful"/>
    <w:basedOn w:val="10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34">
    <w:name w:val="List Table 7 Colorful - Accent 1"/>
    <w:basedOn w:val="10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35">
    <w:name w:val="List Table 7 Colorful - Accent 2"/>
    <w:basedOn w:val="10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36">
    <w:name w:val="List Table 7 Colorful - Accent 3"/>
    <w:basedOn w:val="10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937">
    <w:name w:val="List Table 7 Colorful - Accent 4"/>
    <w:basedOn w:val="10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938">
    <w:name w:val="List Table 7 Colorful - Accent 5"/>
    <w:basedOn w:val="10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939">
    <w:name w:val="List Table 7 Colorful - Accent 6"/>
    <w:basedOn w:val="10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40">
    <w:name w:val="Lined - Accent"/>
    <w:basedOn w:val="10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ned - Accent 1"/>
    <w:basedOn w:val="10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ned - Accent 2"/>
    <w:basedOn w:val="10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ned - Accent 3"/>
    <w:basedOn w:val="10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ned - Accent 4"/>
    <w:basedOn w:val="10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ned - Accent 5"/>
    <w:basedOn w:val="10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ned - Accent 6"/>
    <w:basedOn w:val="10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amp; Lined - Accent"/>
    <w:basedOn w:val="10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amp; Lined - Accent 1"/>
    <w:basedOn w:val="10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amp; Lined - Accent 2"/>
    <w:basedOn w:val="10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amp; Lined - Accent 3"/>
    <w:basedOn w:val="10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4"/>
    <w:basedOn w:val="10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amp; Lined - Accent 5"/>
    <w:basedOn w:val="10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amp; Lined - Accent 6"/>
    <w:basedOn w:val="10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w:basedOn w:val="10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 Accent 1"/>
    <w:basedOn w:val="10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 Accent 2"/>
    <w:basedOn w:val="10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 Accent 3"/>
    <w:basedOn w:val="10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 Accent 4"/>
    <w:basedOn w:val="10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 Accent 5"/>
    <w:basedOn w:val="10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 Accent 6"/>
    <w:basedOn w:val="10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1">
    <w:name w:val="Heading 1 Char"/>
    <w:basedOn w:val="1009"/>
    <w:link w:val="1000"/>
    <w:uiPriority w:val="9"/>
    <w:pPr>
      <w:pBdr/>
      <w:spacing/>
      <w:ind/>
    </w:pPr>
    <w:rPr>
      <w:rFonts w:ascii="Arial" w:hAnsi="Arial" w:eastAsia="Arial" w:cs="Arial"/>
      <w:color w:val="0f4761" w:themeColor="accent1" w:themeShade="BF"/>
      <w:sz w:val="40"/>
      <w:szCs w:val="40"/>
    </w:rPr>
  </w:style>
  <w:style w:type="character" w:styleId="962">
    <w:name w:val="Heading 2 Char"/>
    <w:basedOn w:val="1009"/>
    <w:link w:val="1001"/>
    <w:uiPriority w:val="9"/>
    <w:pPr>
      <w:pBdr/>
      <w:spacing/>
      <w:ind/>
    </w:pPr>
    <w:rPr>
      <w:rFonts w:ascii="Arial" w:hAnsi="Arial" w:eastAsia="Arial" w:cs="Arial"/>
      <w:color w:val="0f4761" w:themeColor="accent1" w:themeShade="BF"/>
      <w:sz w:val="32"/>
      <w:szCs w:val="32"/>
    </w:rPr>
  </w:style>
  <w:style w:type="character" w:styleId="963">
    <w:name w:val="Heading 3 Char"/>
    <w:basedOn w:val="1009"/>
    <w:link w:val="1002"/>
    <w:uiPriority w:val="9"/>
    <w:pPr>
      <w:pBdr/>
      <w:spacing/>
      <w:ind/>
    </w:pPr>
    <w:rPr>
      <w:rFonts w:ascii="Arial" w:hAnsi="Arial" w:eastAsia="Arial" w:cs="Arial"/>
      <w:color w:val="0f4761" w:themeColor="accent1" w:themeShade="BF"/>
      <w:sz w:val="28"/>
      <w:szCs w:val="28"/>
    </w:rPr>
  </w:style>
  <w:style w:type="character" w:styleId="964">
    <w:name w:val="Heading 4 Char"/>
    <w:basedOn w:val="1009"/>
    <w:link w:val="1003"/>
    <w:uiPriority w:val="9"/>
    <w:pPr>
      <w:pBdr/>
      <w:spacing/>
      <w:ind/>
    </w:pPr>
    <w:rPr>
      <w:rFonts w:ascii="Arial" w:hAnsi="Arial" w:eastAsia="Arial" w:cs="Arial"/>
      <w:i/>
      <w:iCs/>
      <w:color w:val="0f4761" w:themeColor="accent1" w:themeShade="BF"/>
    </w:rPr>
  </w:style>
  <w:style w:type="character" w:styleId="965">
    <w:name w:val="Heading 5 Char"/>
    <w:basedOn w:val="1009"/>
    <w:link w:val="1004"/>
    <w:uiPriority w:val="9"/>
    <w:pPr>
      <w:pBdr/>
      <w:spacing/>
      <w:ind/>
    </w:pPr>
    <w:rPr>
      <w:rFonts w:ascii="Arial" w:hAnsi="Arial" w:eastAsia="Arial" w:cs="Arial"/>
      <w:color w:val="0f4761" w:themeColor="accent1" w:themeShade="BF"/>
    </w:rPr>
  </w:style>
  <w:style w:type="character" w:styleId="966">
    <w:name w:val="Heading 6 Char"/>
    <w:basedOn w:val="1009"/>
    <w:link w:val="1005"/>
    <w:uiPriority w:val="9"/>
    <w:pPr>
      <w:pBdr/>
      <w:spacing/>
      <w:ind/>
    </w:pPr>
    <w:rPr>
      <w:rFonts w:ascii="Arial" w:hAnsi="Arial" w:eastAsia="Arial" w:cs="Arial"/>
      <w:i/>
      <w:iCs/>
      <w:color w:val="595959" w:themeColor="text1" w:themeTint="A6"/>
    </w:rPr>
  </w:style>
  <w:style w:type="character" w:styleId="967">
    <w:name w:val="Heading 7 Char"/>
    <w:basedOn w:val="1009"/>
    <w:link w:val="1006"/>
    <w:uiPriority w:val="9"/>
    <w:pPr>
      <w:pBdr/>
      <w:spacing/>
      <w:ind/>
    </w:pPr>
    <w:rPr>
      <w:rFonts w:ascii="Arial" w:hAnsi="Arial" w:eastAsia="Arial" w:cs="Arial"/>
      <w:color w:val="595959" w:themeColor="text1" w:themeTint="A6"/>
    </w:rPr>
  </w:style>
  <w:style w:type="character" w:styleId="968">
    <w:name w:val="Heading 8 Char"/>
    <w:basedOn w:val="1009"/>
    <w:link w:val="1007"/>
    <w:uiPriority w:val="9"/>
    <w:pPr>
      <w:pBdr/>
      <w:spacing/>
      <w:ind/>
    </w:pPr>
    <w:rPr>
      <w:rFonts w:ascii="Arial" w:hAnsi="Arial" w:eastAsia="Arial" w:cs="Arial"/>
      <w:i/>
      <w:iCs/>
      <w:color w:val="272727" w:themeColor="text1" w:themeTint="D8"/>
    </w:rPr>
  </w:style>
  <w:style w:type="character" w:styleId="969">
    <w:name w:val="Heading 9 Char"/>
    <w:basedOn w:val="1009"/>
    <w:link w:val="1008"/>
    <w:uiPriority w:val="9"/>
    <w:pPr>
      <w:pBdr/>
      <w:spacing/>
      <w:ind/>
    </w:pPr>
    <w:rPr>
      <w:rFonts w:ascii="Arial" w:hAnsi="Arial" w:eastAsia="Arial" w:cs="Arial"/>
      <w:i/>
      <w:iCs/>
      <w:color w:val="272727" w:themeColor="text1" w:themeTint="D8"/>
    </w:rPr>
  </w:style>
  <w:style w:type="character" w:styleId="970">
    <w:name w:val="Title Char"/>
    <w:basedOn w:val="1009"/>
    <w:link w:val="1015"/>
    <w:uiPriority w:val="10"/>
    <w:pPr>
      <w:pBdr/>
      <w:spacing/>
      <w:ind/>
    </w:pPr>
    <w:rPr>
      <w:rFonts w:ascii="Arial" w:hAnsi="Arial" w:eastAsia="Arial" w:cs="Arial"/>
      <w:spacing w:val="-10"/>
      <w:sz w:val="56"/>
      <w:szCs w:val="56"/>
    </w:rPr>
  </w:style>
  <w:style w:type="character" w:styleId="971">
    <w:name w:val="Subtitle Char"/>
    <w:basedOn w:val="1009"/>
    <w:link w:val="1017"/>
    <w:uiPriority w:val="11"/>
    <w:pPr>
      <w:pBdr/>
      <w:spacing/>
      <w:ind/>
    </w:pPr>
    <w:rPr>
      <w:color w:val="595959" w:themeColor="text1" w:themeTint="A6"/>
      <w:spacing w:val="15"/>
      <w:sz w:val="28"/>
      <w:szCs w:val="28"/>
    </w:rPr>
  </w:style>
  <w:style w:type="paragraph" w:styleId="972">
    <w:name w:val="Quote"/>
    <w:basedOn w:val="999"/>
    <w:next w:val="999"/>
    <w:link w:val="973"/>
    <w:uiPriority w:val="29"/>
    <w:qFormat/>
    <w:pPr>
      <w:pBdr/>
      <w:spacing w:before="160"/>
      <w:ind/>
      <w:jc w:val="center"/>
    </w:pPr>
    <w:rPr>
      <w:i/>
      <w:iCs/>
      <w:color w:val="404040" w:themeColor="text1" w:themeTint="BF"/>
    </w:rPr>
  </w:style>
  <w:style w:type="character" w:styleId="973">
    <w:name w:val="Quote Char"/>
    <w:basedOn w:val="1009"/>
    <w:link w:val="972"/>
    <w:uiPriority w:val="29"/>
    <w:pPr>
      <w:pBdr/>
      <w:spacing/>
      <w:ind/>
    </w:pPr>
    <w:rPr>
      <w:i/>
      <w:iCs/>
      <w:color w:val="404040" w:themeColor="text1" w:themeTint="BF"/>
    </w:rPr>
  </w:style>
  <w:style w:type="character" w:styleId="974">
    <w:name w:val="Intense Emphasis"/>
    <w:basedOn w:val="1009"/>
    <w:uiPriority w:val="21"/>
    <w:qFormat/>
    <w:pPr>
      <w:pBdr/>
      <w:spacing/>
      <w:ind/>
    </w:pPr>
    <w:rPr>
      <w:i/>
      <w:iCs/>
      <w:color w:val="0f4761" w:themeColor="accent1" w:themeShade="BF"/>
    </w:rPr>
  </w:style>
  <w:style w:type="paragraph" w:styleId="975">
    <w:name w:val="Intense Quote"/>
    <w:basedOn w:val="999"/>
    <w:next w:val="999"/>
    <w:link w:val="9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6">
    <w:name w:val="Intense Quote Char"/>
    <w:basedOn w:val="1009"/>
    <w:link w:val="975"/>
    <w:uiPriority w:val="30"/>
    <w:pPr>
      <w:pBdr/>
      <w:spacing/>
      <w:ind/>
    </w:pPr>
    <w:rPr>
      <w:i/>
      <w:iCs/>
      <w:color w:val="0f4761" w:themeColor="accent1" w:themeShade="BF"/>
    </w:rPr>
  </w:style>
  <w:style w:type="character" w:styleId="977">
    <w:name w:val="Intense Reference"/>
    <w:basedOn w:val="1009"/>
    <w:uiPriority w:val="32"/>
    <w:qFormat/>
    <w:pPr>
      <w:pBdr/>
      <w:spacing/>
      <w:ind/>
    </w:pPr>
    <w:rPr>
      <w:b/>
      <w:bCs/>
      <w:smallCaps/>
      <w:color w:val="0f4761" w:themeColor="accent1" w:themeShade="BF"/>
      <w:spacing w:val="5"/>
    </w:rPr>
  </w:style>
  <w:style w:type="paragraph" w:styleId="978">
    <w:name w:val="No Spacing"/>
    <w:basedOn w:val="999"/>
    <w:uiPriority w:val="1"/>
    <w:qFormat/>
    <w:pPr>
      <w:pBdr/>
      <w:spacing w:after="0" w:line="240" w:lineRule="auto"/>
      <w:ind/>
    </w:pPr>
  </w:style>
  <w:style w:type="character" w:styleId="979">
    <w:name w:val="Subtle Emphasis"/>
    <w:basedOn w:val="1009"/>
    <w:uiPriority w:val="19"/>
    <w:qFormat/>
    <w:pPr>
      <w:pBdr/>
      <w:spacing/>
      <w:ind/>
    </w:pPr>
    <w:rPr>
      <w:i/>
      <w:iCs/>
      <w:color w:val="404040" w:themeColor="text1" w:themeTint="BF"/>
    </w:rPr>
  </w:style>
  <w:style w:type="character" w:styleId="980">
    <w:name w:val="Emphasis"/>
    <w:basedOn w:val="1009"/>
    <w:uiPriority w:val="20"/>
    <w:qFormat/>
    <w:pPr>
      <w:pBdr/>
      <w:spacing/>
      <w:ind/>
    </w:pPr>
    <w:rPr>
      <w:i/>
      <w:iCs/>
    </w:rPr>
  </w:style>
  <w:style w:type="character" w:styleId="981">
    <w:name w:val="Strong"/>
    <w:basedOn w:val="1009"/>
    <w:uiPriority w:val="22"/>
    <w:qFormat/>
    <w:pPr>
      <w:pBdr/>
      <w:spacing/>
      <w:ind/>
    </w:pPr>
    <w:rPr>
      <w:b/>
      <w:bCs/>
    </w:rPr>
  </w:style>
  <w:style w:type="character" w:styleId="982">
    <w:name w:val="Subtle Reference"/>
    <w:basedOn w:val="1009"/>
    <w:uiPriority w:val="31"/>
    <w:qFormat/>
    <w:pPr>
      <w:pBdr/>
      <w:spacing/>
      <w:ind/>
    </w:pPr>
    <w:rPr>
      <w:smallCaps/>
      <w:color w:val="5a5a5a" w:themeColor="text1" w:themeTint="A5"/>
    </w:rPr>
  </w:style>
  <w:style w:type="character" w:styleId="983">
    <w:name w:val="Book Title"/>
    <w:basedOn w:val="1009"/>
    <w:uiPriority w:val="33"/>
    <w:qFormat/>
    <w:pPr>
      <w:pBdr/>
      <w:spacing/>
      <w:ind/>
    </w:pPr>
    <w:rPr>
      <w:b/>
      <w:bCs/>
      <w:i/>
      <w:iCs/>
      <w:spacing w:val="5"/>
    </w:rPr>
  </w:style>
  <w:style w:type="character" w:styleId="984">
    <w:name w:val="Header Char"/>
    <w:basedOn w:val="1009"/>
    <w:link w:val="1082"/>
    <w:uiPriority w:val="99"/>
    <w:pPr>
      <w:pBdr/>
      <w:spacing/>
      <w:ind/>
    </w:pPr>
  </w:style>
  <w:style w:type="character" w:styleId="985">
    <w:name w:val="Footer Char"/>
    <w:basedOn w:val="1009"/>
    <w:link w:val="1084"/>
    <w:uiPriority w:val="99"/>
    <w:pPr>
      <w:pBdr/>
      <w:spacing/>
      <w:ind/>
    </w:pPr>
  </w:style>
  <w:style w:type="character" w:styleId="986">
    <w:name w:val="Footnote Text Char"/>
    <w:basedOn w:val="1009"/>
    <w:link w:val="1034"/>
    <w:uiPriority w:val="99"/>
    <w:semiHidden/>
    <w:pPr>
      <w:pBdr/>
      <w:spacing/>
      <w:ind/>
    </w:pPr>
    <w:rPr>
      <w:sz w:val="20"/>
      <w:szCs w:val="20"/>
    </w:rPr>
  </w:style>
  <w:style w:type="paragraph" w:styleId="987">
    <w:name w:val="endnote text"/>
    <w:basedOn w:val="999"/>
    <w:link w:val="988"/>
    <w:uiPriority w:val="99"/>
    <w:semiHidden/>
    <w:unhideWhenUsed/>
    <w:pPr>
      <w:pBdr/>
      <w:spacing w:after="0" w:line="240" w:lineRule="auto"/>
      <w:ind/>
    </w:pPr>
    <w:rPr>
      <w:sz w:val="20"/>
      <w:szCs w:val="20"/>
    </w:rPr>
  </w:style>
  <w:style w:type="character" w:styleId="988">
    <w:name w:val="Endnote Text Char"/>
    <w:basedOn w:val="1009"/>
    <w:link w:val="987"/>
    <w:uiPriority w:val="99"/>
    <w:semiHidden/>
    <w:pPr>
      <w:pBdr/>
      <w:spacing/>
      <w:ind/>
    </w:pPr>
    <w:rPr>
      <w:sz w:val="20"/>
      <w:szCs w:val="20"/>
    </w:rPr>
  </w:style>
  <w:style w:type="character" w:styleId="989">
    <w:name w:val="endnote reference"/>
    <w:basedOn w:val="1009"/>
    <w:uiPriority w:val="99"/>
    <w:semiHidden/>
    <w:unhideWhenUsed/>
    <w:pPr>
      <w:pBdr/>
      <w:spacing/>
      <w:ind/>
    </w:pPr>
    <w:rPr>
      <w:vertAlign w:val="superscript"/>
    </w:rPr>
  </w:style>
  <w:style w:type="character" w:styleId="990">
    <w:name w:val="FollowedHyperlink"/>
    <w:basedOn w:val="1009"/>
    <w:uiPriority w:val="99"/>
    <w:semiHidden/>
    <w:unhideWhenUsed/>
    <w:pPr>
      <w:pBdr/>
      <w:spacing/>
      <w:ind/>
    </w:pPr>
    <w:rPr>
      <w:color w:val="954f72" w:themeColor="followedHyperlink"/>
      <w:u w:val="single"/>
    </w:rPr>
  </w:style>
  <w:style w:type="paragraph" w:styleId="991">
    <w:name w:val="toc 4"/>
    <w:basedOn w:val="999"/>
    <w:next w:val="999"/>
    <w:uiPriority w:val="39"/>
    <w:unhideWhenUsed/>
    <w:pPr>
      <w:pBdr/>
      <w:spacing w:after="100"/>
      <w:ind w:left="660"/>
    </w:pPr>
  </w:style>
  <w:style w:type="paragraph" w:styleId="992">
    <w:name w:val="toc 5"/>
    <w:basedOn w:val="999"/>
    <w:next w:val="999"/>
    <w:uiPriority w:val="39"/>
    <w:unhideWhenUsed/>
    <w:pPr>
      <w:pBdr/>
      <w:spacing w:after="100"/>
      <w:ind w:left="880"/>
    </w:pPr>
  </w:style>
  <w:style w:type="paragraph" w:styleId="993">
    <w:name w:val="toc 6"/>
    <w:basedOn w:val="999"/>
    <w:next w:val="999"/>
    <w:uiPriority w:val="39"/>
    <w:unhideWhenUsed/>
    <w:pPr>
      <w:pBdr/>
      <w:spacing w:after="100"/>
      <w:ind w:left="1100"/>
    </w:pPr>
  </w:style>
  <w:style w:type="paragraph" w:styleId="994">
    <w:name w:val="toc 7"/>
    <w:basedOn w:val="999"/>
    <w:next w:val="999"/>
    <w:uiPriority w:val="39"/>
    <w:unhideWhenUsed/>
    <w:pPr>
      <w:pBdr/>
      <w:spacing w:after="100"/>
      <w:ind w:left="1320"/>
    </w:pPr>
  </w:style>
  <w:style w:type="paragraph" w:styleId="995">
    <w:name w:val="toc 8"/>
    <w:basedOn w:val="999"/>
    <w:next w:val="999"/>
    <w:uiPriority w:val="39"/>
    <w:unhideWhenUsed/>
    <w:pPr>
      <w:pBdr/>
      <w:spacing w:after="100"/>
      <w:ind w:left="1540"/>
    </w:pPr>
  </w:style>
  <w:style w:type="paragraph" w:styleId="996">
    <w:name w:val="toc 9"/>
    <w:basedOn w:val="999"/>
    <w:next w:val="999"/>
    <w:uiPriority w:val="39"/>
    <w:unhideWhenUsed/>
    <w:pPr>
      <w:pBdr/>
      <w:spacing w:after="100"/>
      <w:ind w:left="1760"/>
    </w:pPr>
  </w:style>
  <w:style w:type="character" w:styleId="997">
    <w:name w:val="Placeholder Text"/>
    <w:basedOn w:val="1009"/>
    <w:uiPriority w:val="99"/>
    <w:semiHidden/>
    <w:pPr>
      <w:pBdr/>
      <w:spacing/>
      <w:ind/>
    </w:pPr>
    <w:rPr>
      <w:color w:val="666666"/>
    </w:rPr>
  </w:style>
  <w:style w:type="paragraph" w:styleId="998">
    <w:name w:val="table of figures"/>
    <w:basedOn w:val="999"/>
    <w:next w:val="999"/>
    <w:uiPriority w:val="99"/>
    <w:unhideWhenUsed/>
    <w:pPr>
      <w:pBdr/>
      <w:spacing w:after="0" w:afterAutospacing="0"/>
      <w:ind/>
    </w:pPr>
  </w:style>
  <w:style w:type="paragraph" w:styleId="999" w:default="1">
    <w:name w:val="Normal"/>
    <w:qFormat/>
    <w:pPr>
      <w:pBdr/>
      <w:spacing/>
      <w:ind/>
    </w:pPr>
  </w:style>
  <w:style w:type="paragraph" w:styleId="1000">
    <w:name w:val="Heading 1"/>
    <w:basedOn w:val="999"/>
    <w:next w:val="1012"/>
    <w:link w:val="1024"/>
    <w:uiPriority w:val="9"/>
    <w:qFormat/>
    <w:pPr>
      <w:keepNext w:val="true"/>
      <w:keepLines w:val="true"/>
      <w:numPr>
        <w:numId w:val="1"/>
      </w:numPr>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1001">
    <w:name w:val="Heading 2"/>
    <w:basedOn w:val="999"/>
    <w:next w:val="1012"/>
    <w:link w:val="1025"/>
    <w:uiPriority w:val="9"/>
    <w:unhideWhenUsed/>
    <w:qFormat/>
    <w:pPr>
      <w:keepNext w:val="true"/>
      <w:keepLines w:val="true"/>
      <w:numPr>
        <w:ilvl w:val="1"/>
        <w:numId w:val="1"/>
      </w:numPr>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1002">
    <w:name w:val="Heading 3"/>
    <w:basedOn w:val="999"/>
    <w:next w:val="1012"/>
    <w:link w:val="1026"/>
    <w:uiPriority w:val="9"/>
    <w:unhideWhenUsed/>
    <w:qFormat/>
    <w:pPr>
      <w:keepNext w:val="true"/>
      <w:keepLines w:val="true"/>
      <w:numPr>
        <w:ilvl w:val="2"/>
        <w:numId w:val="1"/>
      </w:numPr>
      <w:pBdr/>
      <w:spacing w:after="80" w:before="160"/>
      <w:ind/>
      <w:outlineLvl w:val="2"/>
    </w:pPr>
    <w:rPr>
      <w:rFonts w:eastAsiaTheme="majorEastAsia" w:cstheme="majorBidi"/>
      <w:color w:val="0f4761" w:themeColor="accent1" w:themeShade="BF"/>
      <w:sz w:val="28"/>
      <w:szCs w:val="28"/>
    </w:rPr>
  </w:style>
  <w:style w:type="paragraph" w:styleId="1003">
    <w:name w:val="Heading 4"/>
    <w:basedOn w:val="999"/>
    <w:next w:val="1012"/>
    <w:link w:val="1027"/>
    <w:uiPriority w:val="9"/>
    <w:semiHidden/>
    <w:unhideWhenUsed/>
    <w:qFormat/>
    <w:pPr>
      <w:keepNext w:val="true"/>
      <w:keepLines w:val="true"/>
      <w:numPr>
        <w:ilvl w:val="3"/>
        <w:numId w:val="1"/>
      </w:numPr>
      <w:pBdr/>
      <w:spacing w:after="40" w:before="80"/>
      <w:ind/>
      <w:outlineLvl w:val="3"/>
    </w:pPr>
    <w:rPr>
      <w:rFonts w:eastAsiaTheme="majorEastAsia" w:cstheme="majorBidi"/>
      <w:i/>
      <w:iCs/>
      <w:color w:val="0f4761" w:themeColor="accent1" w:themeShade="BF"/>
    </w:rPr>
  </w:style>
  <w:style w:type="paragraph" w:styleId="1004">
    <w:name w:val="Heading 5"/>
    <w:basedOn w:val="999"/>
    <w:next w:val="1012"/>
    <w:link w:val="1028"/>
    <w:uiPriority w:val="9"/>
    <w:unhideWhenUsed/>
    <w:qFormat/>
    <w:pPr>
      <w:keepNext w:val="true"/>
      <w:keepLines w:val="true"/>
      <w:numPr>
        <w:ilvl w:val="4"/>
        <w:numId w:val="1"/>
      </w:numPr>
      <w:pBdr/>
      <w:spacing w:after="40" w:before="80"/>
      <w:ind/>
      <w:outlineLvl w:val="4"/>
    </w:pPr>
    <w:rPr>
      <w:rFonts w:eastAsiaTheme="majorEastAsia" w:cstheme="majorBidi"/>
      <w:color w:val="0f4761" w:themeColor="accent1" w:themeShade="BF"/>
    </w:rPr>
  </w:style>
  <w:style w:type="paragraph" w:styleId="1005">
    <w:name w:val="Heading 6"/>
    <w:basedOn w:val="999"/>
    <w:next w:val="1012"/>
    <w:link w:val="1029"/>
    <w:uiPriority w:val="9"/>
    <w:semiHidden/>
    <w:unhideWhenUsed/>
    <w:qFormat/>
    <w:pPr>
      <w:keepNext w:val="true"/>
      <w:keepLines w:val="true"/>
      <w:numPr>
        <w:ilvl w:val="5"/>
        <w:numId w:val="1"/>
      </w:numPr>
      <w:pBdr/>
      <w:spacing w:after="0" w:before="40"/>
      <w:ind/>
      <w:outlineLvl w:val="5"/>
    </w:pPr>
    <w:rPr>
      <w:rFonts w:eastAsiaTheme="majorEastAsia" w:cstheme="majorBidi"/>
      <w:i/>
      <w:iCs/>
      <w:color w:val="595959" w:themeColor="text1" w:themeTint="A6"/>
    </w:rPr>
  </w:style>
  <w:style w:type="paragraph" w:styleId="1006">
    <w:name w:val="Heading 7"/>
    <w:basedOn w:val="999"/>
    <w:next w:val="1012"/>
    <w:link w:val="1030"/>
    <w:uiPriority w:val="9"/>
    <w:semiHidden/>
    <w:unhideWhenUsed/>
    <w:qFormat/>
    <w:pPr>
      <w:keepNext w:val="true"/>
      <w:keepLines w:val="true"/>
      <w:numPr>
        <w:ilvl w:val="6"/>
        <w:numId w:val="1"/>
      </w:numPr>
      <w:pBdr/>
      <w:spacing w:after="0" w:before="40"/>
      <w:ind/>
      <w:outlineLvl w:val="6"/>
    </w:pPr>
    <w:rPr>
      <w:rFonts w:eastAsiaTheme="majorEastAsia" w:cstheme="majorBidi"/>
      <w:color w:val="595959" w:themeColor="text1" w:themeTint="A6"/>
    </w:rPr>
  </w:style>
  <w:style w:type="paragraph" w:styleId="1007">
    <w:name w:val="Heading 8"/>
    <w:basedOn w:val="999"/>
    <w:next w:val="1012"/>
    <w:link w:val="1031"/>
    <w:uiPriority w:val="9"/>
    <w:semiHidden/>
    <w:unhideWhenUsed/>
    <w:qFormat/>
    <w:pPr>
      <w:keepNext w:val="true"/>
      <w:keepLines w:val="true"/>
      <w:numPr>
        <w:ilvl w:val="7"/>
        <w:numId w:val="1"/>
      </w:numPr>
      <w:pBdr/>
      <w:spacing w:after="0"/>
      <w:ind/>
      <w:outlineLvl w:val="7"/>
    </w:pPr>
    <w:rPr>
      <w:rFonts w:eastAsiaTheme="majorEastAsia" w:cstheme="majorBidi"/>
      <w:i/>
      <w:iCs/>
      <w:color w:val="272727" w:themeColor="text1" w:themeTint="D8"/>
    </w:rPr>
  </w:style>
  <w:style w:type="paragraph" w:styleId="1008">
    <w:name w:val="Heading 9"/>
    <w:basedOn w:val="999"/>
    <w:next w:val="1012"/>
    <w:link w:val="1032"/>
    <w:uiPriority w:val="9"/>
    <w:semiHidden/>
    <w:unhideWhenUsed/>
    <w:qFormat/>
    <w:pPr>
      <w:keepNext w:val="true"/>
      <w:keepLines w:val="true"/>
      <w:numPr>
        <w:ilvl w:val="8"/>
        <w:numId w:val="1"/>
      </w:numPr>
      <w:pBdr/>
      <w:spacing w:after="0"/>
      <w:ind/>
      <w:outlineLvl w:val="8"/>
    </w:pPr>
    <w:rPr>
      <w:rFonts w:eastAsiaTheme="majorEastAsia" w:cstheme="majorBidi"/>
      <w:color w:val="272727" w:themeColor="text1" w:themeTint="D8"/>
    </w:rPr>
  </w:style>
  <w:style w:type="character" w:styleId="1009" w:default="1">
    <w:name w:val="Default Paragraph Font"/>
    <w:uiPriority w:val="1"/>
    <w:unhideWhenUsed/>
    <w:pPr>
      <w:pBdr/>
      <w:spacing/>
      <w:ind/>
    </w:pPr>
  </w:style>
  <w:style w:type="table" w:styleId="10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1" w:default="1">
    <w:name w:val="No List"/>
    <w:uiPriority w:val="99"/>
    <w:semiHidden/>
    <w:unhideWhenUsed/>
    <w:pPr>
      <w:pBdr/>
      <w:spacing/>
      <w:ind/>
    </w:pPr>
  </w:style>
  <w:style w:type="paragraph" w:styleId="1012">
    <w:name w:val="Body Text"/>
    <w:basedOn w:val="999"/>
    <w:link w:val="1092"/>
    <w:qFormat/>
    <w:pPr>
      <w:pBdr/>
      <w:spacing w:after="180" w:before="180"/>
      <w:ind/>
    </w:pPr>
  </w:style>
  <w:style w:type="paragraph" w:styleId="1013" w:customStyle="1">
    <w:name w:val="First Paragraph"/>
    <w:basedOn w:val="1012"/>
    <w:next w:val="1012"/>
    <w:qFormat/>
    <w:pPr>
      <w:pBdr/>
      <w:spacing/>
      <w:ind/>
    </w:pPr>
  </w:style>
  <w:style w:type="paragraph" w:styleId="1014" w:customStyle="1">
    <w:name w:val="Compact"/>
    <w:basedOn w:val="1012"/>
    <w:qFormat/>
    <w:pPr>
      <w:pBdr/>
      <w:spacing w:after="36" w:before="36"/>
      <w:ind/>
    </w:pPr>
  </w:style>
  <w:style w:type="paragraph" w:styleId="1015">
    <w:name w:val="Title"/>
    <w:basedOn w:val="999"/>
    <w:next w:val="1012"/>
    <w:link w:val="1016"/>
    <w:uiPriority w:val="10"/>
    <w:qFormat/>
    <w:pPr>
      <w:pBdr/>
      <w:spacing w:after="80"/>
      <w:ind/>
      <w:contextualSpacing w:val="true"/>
      <w:jc w:val="center"/>
    </w:pPr>
    <w:rPr>
      <w:rFonts w:asciiTheme="majorHAnsi" w:hAnsiTheme="majorHAnsi" w:eastAsiaTheme="majorEastAsia" w:cstheme="majorBidi"/>
      <w:spacing w:val="-10"/>
      <w:sz w:val="56"/>
      <w:szCs w:val="56"/>
    </w:rPr>
  </w:style>
  <w:style w:type="character" w:styleId="1016" w:customStyle="1">
    <w:name w:val="Titolo Carattere"/>
    <w:basedOn w:val="1009"/>
    <w:link w:val="1015"/>
    <w:uiPriority w:val="10"/>
    <w:pPr>
      <w:pBdr/>
      <w:spacing/>
      <w:ind/>
    </w:pPr>
    <w:rPr>
      <w:rFonts w:asciiTheme="majorHAnsi" w:hAnsiTheme="majorHAnsi" w:eastAsiaTheme="majorEastAsia" w:cstheme="majorBidi"/>
      <w:spacing w:val="-10"/>
      <w:sz w:val="56"/>
      <w:szCs w:val="56"/>
    </w:rPr>
  </w:style>
  <w:style w:type="paragraph" w:styleId="1017">
    <w:name w:val="Subtitle"/>
    <w:basedOn w:val="1015"/>
    <w:next w:val="1012"/>
    <w:link w:val="1018"/>
    <w:uiPriority w:val="11"/>
    <w:qFormat/>
    <w:pPr>
      <w:numPr>
        <w:ilvl w:val="1"/>
      </w:numPr>
      <w:pBdr/>
      <w:spacing/>
      <w:ind/>
    </w:pPr>
    <w:rPr>
      <w:spacing w:val="15"/>
      <w:sz w:val="28"/>
      <w:szCs w:val="28"/>
    </w:rPr>
  </w:style>
  <w:style w:type="character" w:styleId="1018" w:customStyle="1">
    <w:name w:val="Sottotitolo Carattere"/>
    <w:basedOn w:val="1009"/>
    <w:link w:val="1017"/>
    <w:uiPriority w:val="11"/>
    <w:pPr>
      <w:pBdr/>
      <w:spacing/>
      <w:ind/>
    </w:pPr>
    <w:rPr>
      <w:rFonts w:eastAsiaTheme="majorEastAsia" w:cstheme="majorBidi"/>
      <w:color w:val="595959" w:themeColor="text1" w:themeTint="A6"/>
      <w:spacing w:val="15"/>
      <w:sz w:val="28"/>
      <w:szCs w:val="28"/>
    </w:rPr>
  </w:style>
  <w:style w:type="paragraph" w:styleId="1019" w:customStyle="1">
    <w:name w:val="Author"/>
    <w:next w:val="1012"/>
    <w:qFormat/>
    <w:pPr>
      <w:keepNext w:val="true"/>
      <w:keepLines w:val="true"/>
      <w:pBdr/>
      <w:spacing/>
      <w:ind/>
      <w:jc w:val="center"/>
    </w:pPr>
  </w:style>
  <w:style w:type="paragraph" w:styleId="1020">
    <w:name w:val="Date"/>
    <w:next w:val="1012"/>
    <w:qFormat/>
    <w:pPr>
      <w:keepNext w:val="true"/>
      <w:keepLines w:val="true"/>
      <w:pBdr/>
      <w:spacing/>
      <w:ind/>
      <w:jc w:val="center"/>
    </w:pPr>
  </w:style>
  <w:style w:type="paragraph" w:styleId="1021" w:customStyle="1">
    <w:name w:val="Abstract Title"/>
    <w:basedOn w:val="999"/>
    <w:next w:val="1022"/>
    <w:qFormat/>
    <w:pPr>
      <w:keepNext w:val="true"/>
      <w:keepLines w:val="true"/>
      <w:pBdr/>
      <w:spacing w:after="0" w:before="300"/>
      <w:ind/>
      <w:jc w:val="center"/>
    </w:pPr>
    <w:rPr>
      <w:b/>
      <w:sz w:val="20"/>
      <w:szCs w:val="20"/>
    </w:rPr>
  </w:style>
  <w:style w:type="paragraph" w:styleId="1022" w:customStyle="1">
    <w:name w:val="Abstract"/>
    <w:basedOn w:val="999"/>
    <w:next w:val="1012"/>
    <w:qFormat/>
    <w:pPr>
      <w:keepNext w:val="true"/>
      <w:keepLines w:val="true"/>
      <w:pBdr/>
      <w:spacing w:after="300" w:before="100"/>
      <w:ind/>
    </w:pPr>
    <w:rPr>
      <w:sz w:val="20"/>
      <w:szCs w:val="20"/>
    </w:rPr>
  </w:style>
  <w:style w:type="paragraph" w:styleId="1023">
    <w:name w:val="Bibliography"/>
    <w:basedOn w:val="999"/>
    <w:qFormat/>
    <w:pPr>
      <w:pBdr/>
      <w:spacing/>
      <w:ind/>
    </w:pPr>
  </w:style>
  <w:style w:type="character" w:styleId="1024" w:customStyle="1">
    <w:name w:val="Titolo 1 Carattere"/>
    <w:basedOn w:val="1009"/>
    <w:link w:val="1000"/>
    <w:uiPriority w:val="9"/>
    <w:pPr>
      <w:pBdr/>
      <w:spacing/>
      <w:ind/>
    </w:pPr>
    <w:rPr>
      <w:rFonts w:asciiTheme="majorHAnsi" w:hAnsiTheme="majorHAnsi" w:eastAsiaTheme="majorEastAsia" w:cstheme="majorBidi"/>
      <w:color w:val="0f4761" w:themeColor="accent1" w:themeShade="BF"/>
      <w:sz w:val="40"/>
      <w:szCs w:val="40"/>
    </w:rPr>
  </w:style>
  <w:style w:type="character" w:styleId="1025" w:customStyle="1">
    <w:name w:val="Titolo 2 Carattere"/>
    <w:basedOn w:val="1009"/>
    <w:link w:val="1001"/>
    <w:uiPriority w:val="9"/>
    <w:pPr>
      <w:pBdr/>
      <w:spacing/>
      <w:ind/>
    </w:pPr>
    <w:rPr>
      <w:rFonts w:asciiTheme="majorHAnsi" w:hAnsiTheme="majorHAnsi" w:eastAsiaTheme="majorEastAsia" w:cstheme="majorBidi"/>
      <w:color w:val="0f4761" w:themeColor="accent1" w:themeShade="BF"/>
      <w:sz w:val="32"/>
      <w:szCs w:val="32"/>
    </w:rPr>
  </w:style>
  <w:style w:type="character" w:styleId="1026" w:customStyle="1">
    <w:name w:val="Titolo 3 Carattere"/>
    <w:basedOn w:val="1009"/>
    <w:link w:val="1002"/>
    <w:uiPriority w:val="9"/>
    <w:pPr>
      <w:pBdr/>
      <w:spacing/>
      <w:ind/>
    </w:pPr>
    <w:rPr>
      <w:rFonts w:eastAsiaTheme="majorEastAsia" w:cstheme="majorBidi"/>
      <w:color w:val="0f4761" w:themeColor="accent1" w:themeShade="BF"/>
      <w:sz w:val="28"/>
      <w:szCs w:val="28"/>
    </w:rPr>
  </w:style>
  <w:style w:type="character" w:styleId="1027" w:customStyle="1">
    <w:name w:val="Titolo 4 Carattere"/>
    <w:basedOn w:val="1009"/>
    <w:link w:val="1003"/>
    <w:uiPriority w:val="9"/>
    <w:semiHidden/>
    <w:pPr>
      <w:pBdr/>
      <w:spacing/>
      <w:ind/>
    </w:pPr>
    <w:rPr>
      <w:rFonts w:eastAsiaTheme="majorEastAsia" w:cstheme="majorBidi"/>
      <w:i/>
      <w:iCs/>
      <w:color w:val="0f4761" w:themeColor="accent1" w:themeShade="BF"/>
    </w:rPr>
  </w:style>
  <w:style w:type="character" w:styleId="1028" w:customStyle="1">
    <w:name w:val="Titolo 5 Carattere"/>
    <w:basedOn w:val="1009"/>
    <w:link w:val="1004"/>
    <w:uiPriority w:val="9"/>
    <w:pPr>
      <w:pBdr/>
      <w:spacing/>
      <w:ind/>
    </w:pPr>
    <w:rPr>
      <w:rFonts w:eastAsiaTheme="majorEastAsia" w:cstheme="majorBidi"/>
      <w:color w:val="0f4761" w:themeColor="accent1" w:themeShade="BF"/>
    </w:rPr>
  </w:style>
  <w:style w:type="character" w:styleId="1029" w:customStyle="1">
    <w:name w:val="Titolo 6 Carattere"/>
    <w:basedOn w:val="1009"/>
    <w:link w:val="1005"/>
    <w:uiPriority w:val="9"/>
    <w:semiHidden/>
    <w:pPr>
      <w:pBdr/>
      <w:spacing/>
      <w:ind/>
    </w:pPr>
    <w:rPr>
      <w:rFonts w:eastAsiaTheme="majorEastAsia" w:cstheme="majorBidi"/>
      <w:i/>
      <w:iCs/>
      <w:color w:val="595959" w:themeColor="text1" w:themeTint="A6"/>
    </w:rPr>
  </w:style>
  <w:style w:type="character" w:styleId="1030" w:customStyle="1">
    <w:name w:val="Titolo 7 Carattere"/>
    <w:basedOn w:val="1009"/>
    <w:link w:val="1006"/>
    <w:uiPriority w:val="9"/>
    <w:semiHidden/>
    <w:pPr>
      <w:pBdr/>
      <w:spacing/>
      <w:ind/>
    </w:pPr>
    <w:rPr>
      <w:rFonts w:eastAsiaTheme="majorEastAsia" w:cstheme="majorBidi"/>
      <w:color w:val="595959" w:themeColor="text1" w:themeTint="A6"/>
    </w:rPr>
  </w:style>
  <w:style w:type="character" w:styleId="1031" w:customStyle="1">
    <w:name w:val="Titolo 8 Carattere"/>
    <w:basedOn w:val="1009"/>
    <w:link w:val="1007"/>
    <w:uiPriority w:val="9"/>
    <w:semiHidden/>
    <w:pPr>
      <w:pBdr/>
      <w:spacing/>
      <w:ind/>
    </w:pPr>
    <w:rPr>
      <w:rFonts w:eastAsiaTheme="majorEastAsia" w:cstheme="majorBidi"/>
      <w:i/>
      <w:iCs/>
      <w:color w:val="272727" w:themeColor="text1" w:themeTint="D8"/>
    </w:rPr>
  </w:style>
  <w:style w:type="character" w:styleId="1032" w:customStyle="1">
    <w:name w:val="Titolo 9 Carattere"/>
    <w:basedOn w:val="1009"/>
    <w:link w:val="1008"/>
    <w:uiPriority w:val="9"/>
    <w:semiHidden/>
    <w:pPr>
      <w:pBdr/>
      <w:spacing/>
      <w:ind/>
    </w:pPr>
    <w:rPr>
      <w:rFonts w:eastAsiaTheme="majorEastAsia" w:cstheme="majorBidi"/>
      <w:color w:val="272727" w:themeColor="text1" w:themeTint="D8"/>
    </w:rPr>
  </w:style>
  <w:style w:type="paragraph" w:styleId="1033">
    <w:name w:val="Block Text"/>
    <w:basedOn w:val="1012"/>
    <w:next w:val="1012"/>
    <w:uiPriority w:val="9"/>
    <w:unhideWhenUsed/>
    <w:qFormat/>
    <w:pPr>
      <w:pBdr/>
      <w:spacing w:after="100" w:before="100"/>
      <w:ind w:right="480" w:left="480"/>
    </w:pPr>
  </w:style>
  <w:style w:type="paragraph" w:styleId="1034">
    <w:name w:val="footnote text"/>
    <w:basedOn w:val="999"/>
    <w:uiPriority w:val="9"/>
    <w:unhideWhenUsed/>
    <w:qFormat/>
    <w:pPr>
      <w:pBdr/>
      <w:spacing/>
      <w:ind/>
    </w:pPr>
  </w:style>
  <w:style w:type="paragraph" w:styleId="1035" w:customStyle="1">
    <w:name w:val="Footnote Block Text"/>
    <w:basedOn w:val="1034"/>
    <w:next w:val="1034"/>
    <w:uiPriority w:val="9"/>
    <w:unhideWhenUsed/>
    <w:qFormat/>
    <w:pPr>
      <w:pBdr/>
      <w:spacing w:after="100" w:before="100"/>
      <w:ind w:right="480" w:left="480"/>
    </w:pPr>
  </w:style>
  <w:style w:type="table" w:styleId="1036"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7" w:customStyle="1">
    <w:name w:val="Definition Term"/>
    <w:basedOn w:val="999"/>
    <w:next w:val="1038"/>
    <w:pPr>
      <w:keepNext w:val="true"/>
      <w:keepLines w:val="true"/>
      <w:pBdr/>
      <w:spacing w:after="0"/>
      <w:ind/>
    </w:pPr>
    <w:rPr>
      <w:b/>
    </w:rPr>
  </w:style>
  <w:style w:type="paragraph" w:styleId="1038" w:customStyle="1">
    <w:name w:val="Definition"/>
    <w:basedOn w:val="999"/>
    <w:pPr>
      <w:pBdr/>
      <w:spacing/>
      <w:ind/>
    </w:pPr>
  </w:style>
  <w:style w:type="paragraph" w:styleId="1039">
    <w:name w:val="Caption"/>
    <w:basedOn w:val="999"/>
    <w:link w:val="1044"/>
    <w:pPr>
      <w:pBdr/>
      <w:spacing w:after="120"/>
      <w:ind/>
    </w:pPr>
    <w:rPr>
      <w:i/>
    </w:rPr>
  </w:style>
  <w:style w:type="paragraph" w:styleId="1040" w:customStyle="1">
    <w:name w:val="Table Caption"/>
    <w:basedOn w:val="1039"/>
    <w:pPr>
      <w:keepNext w:val="true"/>
      <w:pBdr/>
      <w:spacing/>
      <w:ind/>
    </w:pPr>
  </w:style>
  <w:style w:type="paragraph" w:styleId="1041" w:customStyle="1">
    <w:name w:val="Image Caption"/>
    <w:basedOn w:val="1039"/>
    <w:pPr>
      <w:pBdr/>
      <w:spacing/>
      <w:ind/>
    </w:pPr>
  </w:style>
  <w:style w:type="paragraph" w:styleId="1042" w:customStyle="1">
    <w:name w:val="Figure"/>
    <w:basedOn w:val="999"/>
    <w:pPr>
      <w:pBdr/>
      <w:spacing/>
      <w:ind/>
    </w:pPr>
  </w:style>
  <w:style w:type="paragraph" w:styleId="1043" w:customStyle="1">
    <w:name w:val="Captioned Figure"/>
    <w:basedOn w:val="1042"/>
    <w:pPr>
      <w:keepNext w:val="true"/>
      <w:pBdr/>
      <w:spacing/>
      <w:ind/>
    </w:pPr>
  </w:style>
  <w:style w:type="character" w:styleId="1044" w:customStyle="1">
    <w:name w:val="Didascalia Carattere"/>
    <w:basedOn w:val="1009"/>
    <w:link w:val="1039"/>
    <w:pPr>
      <w:pBdr/>
      <w:spacing/>
      <w:ind/>
    </w:pPr>
  </w:style>
  <w:style w:type="character" w:styleId="1045" w:customStyle="1">
    <w:name w:val="Verbatim Char"/>
    <w:basedOn w:val="1044"/>
    <w:link w:val="1050"/>
    <w:pPr>
      <w:pBdr/>
      <w:spacing/>
      <w:ind/>
    </w:pPr>
    <w:rPr>
      <w:rFonts w:ascii="Consolas" w:hAnsi="Consolas"/>
      <w:sz w:val="22"/>
    </w:rPr>
  </w:style>
  <w:style w:type="character" w:styleId="1046" w:customStyle="1">
    <w:name w:val="Section Number"/>
    <w:basedOn w:val="1044"/>
    <w:pPr>
      <w:pBdr/>
      <w:spacing/>
      <w:ind/>
    </w:pPr>
  </w:style>
  <w:style w:type="character" w:styleId="1047">
    <w:name w:val="footnote reference"/>
    <w:basedOn w:val="1044"/>
    <w:pPr>
      <w:pBdr/>
      <w:spacing/>
      <w:ind/>
    </w:pPr>
    <w:rPr>
      <w:vertAlign w:val="superscript"/>
    </w:rPr>
  </w:style>
  <w:style w:type="character" w:styleId="1048">
    <w:name w:val="Hyperlink"/>
    <w:basedOn w:val="1044"/>
    <w:pPr>
      <w:pBdr/>
      <w:spacing/>
      <w:ind/>
    </w:pPr>
    <w:rPr>
      <w:color w:val="156082" w:themeColor="accent1"/>
    </w:rPr>
  </w:style>
  <w:style w:type="paragraph" w:styleId="1049">
    <w:name w:val="TOC Heading"/>
    <w:basedOn w:val="1000"/>
    <w:next w:val="1012"/>
    <w:uiPriority w:val="39"/>
    <w:unhideWhenUsed/>
    <w:qFormat/>
    <w:pPr>
      <w:pBdr/>
      <w:spacing w:before="240" w:line="259" w:lineRule="auto"/>
      <w:ind/>
      <w:outlineLvl w:val="9"/>
    </w:pPr>
  </w:style>
  <w:style w:type="paragraph" w:styleId="1050" w:customStyle="1">
    <w:name w:val="Source Code"/>
    <w:basedOn w:val="999"/>
    <w:link w:val="1045"/>
    <w:pPr>
      <w:pBdr/>
      <w:spacing/>
      <w:ind/>
    </w:pPr>
  </w:style>
  <w:style w:type="character" w:styleId="1051" w:customStyle="1">
    <w:name w:val="KeywordTok"/>
    <w:basedOn w:val="1045"/>
    <w:pPr>
      <w:pBdr/>
      <w:spacing/>
      <w:ind/>
    </w:pPr>
    <w:rPr>
      <w:rFonts w:ascii="Consolas" w:hAnsi="Consolas"/>
      <w:b/>
      <w:color w:val="007020"/>
      <w:sz w:val="22"/>
    </w:rPr>
  </w:style>
  <w:style w:type="character" w:styleId="1052" w:customStyle="1">
    <w:name w:val="DataTypeTok"/>
    <w:basedOn w:val="1045"/>
    <w:pPr>
      <w:pBdr/>
      <w:spacing/>
      <w:ind/>
    </w:pPr>
    <w:rPr>
      <w:rFonts w:ascii="Consolas" w:hAnsi="Consolas"/>
      <w:color w:val="902000"/>
      <w:sz w:val="22"/>
    </w:rPr>
  </w:style>
  <w:style w:type="character" w:styleId="1053" w:customStyle="1">
    <w:name w:val="DecValTok"/>
    <w:basedOn w:val="1045"/>
    <w:pPr>
      <w:pBdr/>
      <w:spacing/>
      <w:ind/>
    </w:pPr>
    <w:rPr>
      <w:rFonts w:ascii="Consolas" w:hAnsi="Consolas"/>
      <w:color w:val="40a070"/>
      <w:sz w:val="22"/>
    </w:rPr>
  </w:style>
  <w:style w:type="character" w:styleId="1054" w:customStyle="1">
    <w:name w:val="BaseNTok"/>
    <w:basedOn w:val="1045"/>
    <w:pPr>
      <w:pBdr/>
      <w:spacing/>
      <w:ind/>
    </w:pPr>
    <w:rPr>
      <w:rFonts w:ascii="Consolas" w:hAnsi="Consolas"/>
      <w:color w:val="40a070"/>
      <w:sz w:val="22"/>
    </w:rPr>
  </w:style>
  <w:style w:type="character" w:styleId="1055" w:customStyle="1">
    <w:name w:val="FloatTok"/>
    <w:basedOn w:val="1045"/>
    <w:pPr>
      <w:pBdr/>
      <w:spacing/>
      <w:ind/>
    </w:pPr>
    <w:rPr>
      <w:rFonts w:ascii="Consolas" w:hAnsi="Consolas"/>
      <w:color w:val="40a070"/>
      <w:sz w:val="22"/>
    </w:rPr>
  </w:style>
  <w:style w:type="character" w:styleId="1056" w:customStyle="1">
    <w:name w:val="ConstantTok"/>
    <w:basedOn w:val="1045"/>
    <w:pPr>
      <w:pBdr/>
      <w:spacing/>
      <w:ind/>
    </w:pPr>
    <w:rPr>
      <w:rFonts w:ascii="Consolas" w:hAnsi="Consolas"/>
      <w:color w:val="880000"/>
      <w:sz w:val="22"/>
    </w:rPr>
  </w:style>
  <w:style w:type="character" w:styleId="1057" w:customStyle="1">
    <w:name w:val="CharTok"/>
    <w:basedOn w:val="1045"/>
    <w:pPr>
      <w:pBdr/>
      <w:spacing/>
      <w:ind/>
    </w:pPr>
    <w:rPr>
      <w:rFonts w:ascii="Consolas" w:hAnsi="Consolas"/>
      <w:color w:val="4070a0"/>
      <w:sz w:val="22"/>
    </w:rPr>
  </w:style>
  <w:style w:type="character" w:styleId="1058" w:customStyle="1">
    <w:name w:val="SpecialCharTok"/>
    <w:basedOn w:val="1045"/>
    <w:pPr>
      <w:pBdr/>
      <w:spacing/>
      <w:ind/>
    </w:pPr>
    <w:rPr>
      <w:rFonts w:ascii="Consolas" w:hAnsi="Consolas"/>
      <w:color w:val="4070a0"/>
      <w:sz w:val="22"/>
    </w:rPr>
  </w:style>
  <w:style w:type="character" w:styleId="1059" w:customStyle="1">
    <w:name w:val="StringTok"/>
    <w:basedOn w:val="1045"/>
    <w:pPr>
      <w:pBdr/>
      <w:spacing/>
      <w:ind/>
    </w:pPr>
    <w:rPr>
      <w:rFonts w:ascii="Consolas" w:hAnsi="Consolas"/>
      <w:color w:val="4070a0"/>
      <w:sz w:val="22"/>
    </w:rPr>
  </w:style>
  <w:style w:type="character" w:styleId="1060" w:customStyle="1">
    <w:name w:val="VerbatimStringTok"/>
    <w:basedOn w:val="1045"/>
    <w:pPr>
      <w:pBdr/>
      <w:spacing/>
      <w:ind/>
    </w:pPr>
    <w:rPr>
      <w:rFonts w:ascii="Consolas" w:hAnsi="Consolas"/>
      <w:color w:val="4070a0"/>
      <w:sz w:val="22"/>
    </w:rPr>
  </w:style>
  <w:style w:type="character" w:styleId="1061" w:customStyle="1">
    <w:name w:val="SpecialStringTok"/>
    <w:basedOn w:val="1045"/>
    <w:pPr>
      <w:pBdr/>
      <w:spacing/>
      <w:ind/>
    </w:pPr>
    <w:rPr>
      <w:rFonts w:ascii="Consolas" w:hAnsi="Consolas"/>
      <w:color w:val="bb6688"/>
      <w:sz w:val="22"/>
    </w:rPr>
  </w:style>
  <w:style w:type="character" w:styleId="1062" w:customStyle="1">
    <w:name w:val="ImportTok"/>
    <w:basedOn w:val="1045"/>
    <w:pPr>
      <w:pBdr/>
      <w:spacing/>
      <w:ind/>
    </w:pPr>
    <w:rPr>
      <w:rFonts w:ascii="Consolas" w:hAnsi="Consolas"/>
      <w:b/>
      <w:color w:val="008000"/>
      <w:sz w:val="22"/>
    </w:rPr>
  </w:style>
  <w:style w:type="character" w:styleId="1063" w:customStyle="1">
    <w:name w:val="CommentTok"/>
    <w:basedOn w:val="1045"/>
    <w:pPr>
      <w:pBdr/>
      <w:spacing/>
      <w:ind/>
    </w:pPr>
    <w:rPr>
      <w:rFonts w:ascii="Consolas" w:hAnsi="Consolas"/>
      <w:i/>
      <w:color w:val="60a0b0"/>
      <w:sz w:val="22"/>
    </w:rPr>
  </w:style>
  <w:style w:type="character" w:styleId="1064" w:customStyle="1">
    <w:name w:val="DocumentationTok"/>
    <w:basedOn w:val="1045"/>
    <w:pPr>
      <w:pBdr/>
      <w:spacing/>
      <w:ind/>
    </w:pPr>
    <w:rPr>
      <w:rFonts w:ascii="Consolas" w:hAnsi="Consolas"/>
      <w:i/>
      <w:color w:val="ba2121"/>
      <w:sz w:val="22"/>
    </w:rPr>
  </w:style>
  <w:style w:type="character" w:styleId="1065" w:customStyle="1">
    <w:name w:val="AnnotationTok"/>
    <w:basedOn w:val="1045"/>
    <w:pPr>
      <w:pBdr/>
      <w:spacing/>
      <w:ind/>
    </w:pPr>
    <w:rPr>
      <w:rFonts w:ascii="Consolas" w:hAnsi="Consolas"/>
      <w:b/>
      <w:i/>
      <w:color w:val="60a0b0"/>
      <w:sz w:val="22"/>
    </w:rPr>
  </w:style>
  <w:style w:type="character" w:styleId="1066" w:customStyle="1">
    <w:name w:val="CommentVarTok"/>
    <w:basedOn w:val="1045"/>
    <w:pPr>
      <w:pBdr/>
      <w:spacing/>
      <w:ind/>
    </w:pPr>
    <w:rPr>
      <w:rFonts w:ascii="Consolas" w:hAnsi="Consolas"/>
      <w:b/>
      <w:i/>
      <w:color w:val="60a0b0"/>
      <w:sz w:val="22"/>
    </w:rPr>
  </w:style>
  <w:style w:type="character" w:styleId="1067" w:customStyle="1">
    <w:name w:val="OtherTok"/>
    <w:basedOn w:val="1045"/>
    <w:pPr>
      <w:pBdr/>
      <w:spacing/>
      <w:ind/>
    </w:pPr>
    <w:rPr>
      <w:rFonts w:ascii="Consolas" w:hAnsi="Consolas"/>
      <w:color w:val="007020"/>
      <w:sz w:val="22"/>
    </w:rPr>
  </w:style>
  <w:style w:type="character" w:styleId="1068" w:customStyle="1">
    <w:name w:val="FunctionTok"/>
    <w:basedOn w:val="1045"/>
    <w:pPr>
      <w:pBdr/>
      <w:spacing/>
      <w:ind/>
    </w:pPr>
    <w:rPr>
      <w:rFonts w:ascii="Consolas" w:hAnsi="Consolas"/>
      <w:color w:val="06287e"/>
      <w:sz w:val="22"/>
    </w:rPr>
  </w:style>
  <w:style w:type="character" w:styleId="1069" w:customStyle="1">
    <w:name w:val="VariableTok"/>
    <w:basedOn w:val="1045"/>
    <w:pPr>
      <w:pBdr/>
      <w:spacing/>
      <w:ind/>
    </w:pPr>
    <w:rPr>
      <w:rFonts w:ascii="Consolas" w:hAnsi="Consolas"/>
      <w:color w:val="19177c"/>
      <w:sz w:val="22"/>
    </w:rPr>
  </w:style>
  <w:style w:type="character" w:styleId="1070" w:customStyle="1">
    <w:name w:val="ControlFlowTok"/>
    <w:basedOn w:val="1045"/>
    <w:pPr>
      <w:pBdr/>
      <w:spacing/>
      <w:ind/>
    </w:pPr>
    <w:rPr>
      <w:rFonts w:ascii="Consolas" w:hAnsi="Consolas"/>
      <w:b/>
      <w:color w:val="007020"/>
      <w:sz w:val="22"/>
    </w:rPr>
  </w:style>
  <w:style w:type="character" w:styleId="1071" w:customStyle="1">
    <w:name w:val="OperatorTok"/>
    <w:basedOn w:val="1045"/>
    <w:pPr>
      <w:pBdr/>
      <w:spacing/>
      <w:ind/>
    </w:pPr>
    <w:rPr>
      <w:rFonts w:ascii="Consolas" w:hAnsi="Consolas"/>
      <w:color w:val="666666"/>
      <w:sz w:val="22"/>
    </w:rPr>
  </w:style>
  <w:style w:type="character" w:styleId="1072" w:customStyle="1">
    <w:name w:val="BuiltInTok"/>
    <w:basedOn w:val="1045"/>
    <w:pPr>
      <w:pBdr/>
      <w:spacing/>
      <w:ind/>
    </w:pPr>
    <w:rPr>
      <w:rFonts w:ascii="Consolas" w:hAnsi="Consolas"/>
      <w:color w:val="008000"/>
      <w:sz w:val="22"/>
    </w:rPr>
  </w:style>
  <w:style w:type="character" w:styleId="1073" w:customStyle="1">
    <w:name w:val="ExtensionTok"/>
    <w:basedOn w:val="1045"/>
    <w:pPr>
      <w:pBdr/>
      <w:spacing/>
      <w:ind/>
    </w:pPr>
    <w:rPr>
      <w:rFonts w:ascii="Consolas" w:hAnsi="Consolas"/>
      <w:sz w:val="22"/>
    </w:rPr>
  </w:style>
  <w:style w:type="character" w:styleId="1074" w:customStyle="1">
    <w:name w:val="PreprocessorTok"/>
    <w:basedOn w:val="1045"/>
    <w:pPr>
      <w:pBdr/>
      <w:spacing/>
      <w:ind/>
    </w:pPr>
    <w:rPr>
      <w:rFonts w:ascii="Consolas" w:hAnsi="Consolas"/>
      <w:color w:val="bc7a00"/>
      <w:sz w:val="22"/>
    </w:rPr>
  </w:style>
  <w:style w:type="character" w:styleId="1075" w:customStyle="1">
    <w:name w:val="AttributeTok"/>
    <w:basedOn w:val="1045"/>
    <w:pPr>
      <w:pBdr/>
      <w:spacing/>
      <w:ind/>
    </w:pPr>
    <w:rPr>
      <w:rFonts w:ascii="Consolas" w:hAnsi="Consolas"/>
      <w:color w:val="7d9029"/>
      <w:sz w:val="22"/>
    </w:rPr>
  </w:style>
  <w:style w:type="character" w:styleId="1076" w:customStyle="1">
    <w:name w:val="RegionMarkerTok"/>
    <w:basedOn w:val="1045"/>
    <w:pPr>
      <w:pBdr/>
      <w:spacing/>
      <w:ind/>
    </w:pPr>
    <w:rPr>
      <w:rFonts w:ascii="Consolas" w:hAnsi="Consolas"/>
      <w:sz w:val="22"/>
    </w:rPr>
  </w:style>
  <w:style w:type="character" w:styleId="1077" w:customStyle="1">
    <w:name w:val="InformationTok"/>
    <w:basedOn w:val="1045"/>
    <w:pPr>
      <w:pBdr/>
      <w:spacing/>
      <w:ind/>
    </w:pPr>
    <w:rPr>
      <w:rFonts w:ascii="Consolas" w:hAnsi="Consolas"/>
      <w:b/>
      <w:i/>
      <w:color w:val="60a0b0"/>
      <w:sz w:val="22"/>
    </w:rPr>
  </w:style>
  <w:style w:type="character" w:styleId="1078" w:customStyle="1">
    <w:name w:val="WarningTok"/>
    <w:basedOn w:val="1045"/>
    <w:pPr>
      <w:pBdr/>
      <w:spacing/>
      <w:ind/>
    </w:pPr>
    <w:rPr>
      <w:rFonts w:ascii="Consolas" w:hAnsi="Consolas"/>
      <w:b/>
      <w:i/>
      <w:color w:val="60a0b0"/>
      <w:sz w:val="22"/>
    </w:rPr>
  </w:style>
  <w:style w:type="character" w:styleId="1079" w:customStyle="1">
    <w:name w:val="AlertTok"/>
    <w:basedOn w:val="1045"/>
    <w:pPr>
      <w:pBdr/>
      <w:spacing/>
      <w:ind/>
    </w:pPr>
    <w:rPr>
      <w:rFonts w:ascii="Consolas" w:hAnsi="Consolas"/>
      <w:b/>
      <w:color w:val="ff0000"/>
      <w:sz w:val="22"/>
    </w:rPr>
  </w:style>
  <w:style w:type="character" w:styleId="1080" w:customStyle="1">
    <w:name w:val="ErrorTok"/>
    <w:basedOn w:val="1045"/>
    <w:pPr>
      <w:pBdr/>
      <w:spacing/>
      <w:ind/>
    </w:pPr>
    <w:rPr>
      <w:rFonts w:ascii="Consolas" w:hAnsi="Consolas"/>
      <w:b/>
      <w:color w:val="ff0000"/>
      <w:sz w:val="22"/>
    </w:rPr>
  </w:style>
  <w:style w:type="character" w:styleId="1081" w:customStyle="1">
    <w:name w:val="NormalTok"/>
    <w:basedOn w:val="1045"/>
    <w:pPr>
      <w:pBdr/>
      <w:spacing/>
      <w:ind/>
    </w:pPr>
    <w:rPr>
      <w:rFonts w:ascii="Consolas" w:hAnsi="Consolas"/>
      <w:sz w:val="22"/>
    </w:rPr>
  </w:style>
  <w:style w:type="paragraph" w:styleId="1082">
    <w:name w:val="Header"/>
    <w:basedOn w:val="999"/>
    <w:link w:val="1083"/>
    <w:uiPriority w:val="99"/>
    <w:pPr>
      <w:pBdr/>
      <w:tabs>
        <w:tab w:val="center" w:leader="none" w:pos="4819"/>
        <w:tab w:val="right" w:leader="none" w:pos="9638"/>
      </w:tabs>
      <w:spacing w:after="0"/>
      <w:ind/>
    </w:pPr>
  </w:style>
  <w:style w:type="character" w:styleId="1083" w:customStyle="1">
    <w:name w:val="Intestazione Carattere"/>
    <w:basedOn w:val="1009"/>
    <w:link w:val="1082"/>
    <w:uiPriority w:val="99"/>
    <w:pPr>
      <w:pBdr/>
      <w:spacing/>
      <w:ind/>
    </w:pPr>
  </w:style>
  <w:style w:type="paragraph" w:styleId="1084">
    <w:name w:val="Footer"/>
    <w:basedOn w:val="999"/>
    <w:link w:val="1085"/>
    <w:uiPriority w:val="99"/>
    <w:pPr>
      <w:pBdr/>
      <w:tabs>
        <w:tab w:val="center" w:leader="none" w:pos="4819"/>
        <w:tab w:val="right" w:leader="none" w:pos="9638"/>
      </w:tabs>
      <w:spacing w:after="0"/>
      <w:ind/>
    </w:pPr>
  </w:style>
  <w:style w:type="character" w:styleId="1085" w:customStyle="1">
    <w:name w:val="Piè di pagina Carattere"/>
    <w:basedOn w:val="1009"/>
    <w:link w:val="1084"/>
    <w:uiPriority w:val="99"/>
    <w:pPr>
      <w:pBdr/>
      <w:spacing/>
      <w:ind/>
    </w:pPr>
  </w:style>
  <w:style w:type="table" w:styleId="1086">
    <w:name w:val="Table Grid"/>
    <w:basedOn w:val="1010"/>
    <w:pPr>
      <w:pBdr/>
      <w:spacing w:after="0"/>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7">
    <w:name w:val="toc 1"/>
    <w:basedOn w:val="999"/>
    <w:next w:val="999"/>
    <w:uiPriority w:val="39"/>
    <w:pPr>
      <w:pBdr/>
      <w:spacing w:after="100"/>
      <w:ind/>
    </w:pPr>
  </w:style>
  <w:style w:type="paragraph" w:styleId="1088">
    <w:name w:val="toc 2"/>
    <w:basedOn w:val="999"/>
    <w:next w:val="999"/>
    <w:uiPriority w:val="39"/>
    <w:pPr>
      <w:pBdr/>
      <w:spacing w:after="100"/>
      <w:ind w:left="240"/>
    </w:pPr>
  </w:style>
  <w:style w:type="paragraph" w:styleId="1089">
    <w:name w:val="toc 3"/>
    <w:basedOn w:val="999"/>
    <w:next w:val="999"/>
    <w:uiPriority w:val="39"/>
    <w:pPr>
      <w:pBdr/>
      <w:spacing w:after="100"/>
      <w:ind w:left="480"/>
    </w:pPr>
  </w:style>
  <w:style w:type="table" w:styleId="1090">
    <w:name w:val="Plain Table 1"/>
    <w:basedOn w:val="1010"/>
    <w:pPr>
      <w:pBdr/>
      <w:spacing w:after="0"/>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91">
    <w:name w:val="List Paragraph"/>
    <w:basedOn w:val="999"/>
    <w:pPr>
      <w:pBdr/>
      <w:spacing/>
      <w:ind w:left="720"/>
      <w:contextualSpacing w:val="true"/>
    </w:pPr>
  </w:style>
  <w:style w:type="character" w:styleId="1092" w:customStyle="1">
    <w:name w:val="Corpo testo Carattere"/>
    <w:basedOn w:val="1009"/>
    <w:link w:val="1012"/>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image" Target="media/image2.png"/><Relationship Id="rId16"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D6A56FA1-072C-41C1-BB99-0BD17C336E07}">
  <ds:schemaRefs>
    <ds:schemaRef ds:uri="http://schemas.microsoft.com/office/2006/metadata/properties"/>
    <ds:schemaRef ds:uri="http://www.w3.org/2001/XMLSchema-instance"/>
    <ds:schemaRef ds:uri="http://schemas.microsoft.com/office/infopath/2007/PartnerControls"/>
    <ds:schemaRef ds:uri="3860f171-e219-4812-b5cd-5eb7ddcbb62c"/>
    <ds:schemaRef ds:uri="e4e6b3fe-942f-4e29-b26a-28e2b4d909d3"/>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Silvestro Amodeo</dc:creator>
  <cp:keywords/>
  <dc:language>it</dc:language>
  <cp:lastModifiedBy>Francesco Scavello</cp:lastModifiedBy>
  <cp:revision>7</cp:revision>
  <dcterms:created xsi:type="dcterms:W3CDTF">2025-10-15T14:40:00Z</dcterms:created>
  <dcterms:modified xsi:type="dcterms:W3CDTF">2025-10-29T08:04:28Z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