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commentsExtended.xml" ContentType="application/vnd.openxmlformats-officedocument.wordprocessingml.commentsExtended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people.xml" ContentType="application/vnd.openxmlformats-officedocument.wordprocessingml.people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13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/>
      <w:bookmarkStart w:id="0" w:name="Xb86a0334da18bd5dcadfa5ca6143a46167e6f72"/>
      <w:r/>
      <w:bookmarkStart w:id="1" w:name="content"/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3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3"/>
        <w:pBdr/>
        <w:spacing/>
        <w:ind/>
        <w:jc w:val="center"/>
        <w:rPr>
          <w:rFonts w:asciiTheme="majorHAnsi" w:hAnsiTheme="majorHAnsi" w:eastAsiaTheme="majorEastAsia" w:cstheme="majorBidi"/>
          <w:spacing w:val="-10"/>
          <w:sz w:val="56"/>
          <w:szCs w:val="56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  <w:r>
        <w:rPr>
          <w:rFonts w:asciiTheme="majorHAnsi" w:hAnsiTheme="majorHAnsi" w:eastAsiaTheme="majorEastAsia" w:cstheme="majorBidi"/>
          <w:spacing w:val="-10"/>
          <w:sz w:val="56"/>
          <w:szCs w:val="56"/>
        </w:rPr>
      </w:r>
    </w:p>
    <w:p>
      <w:pPr>
        <w:pStyle w:val="1013"/>
        <w:pBdr/>
        <w:spacing/>
        <w:ind/>
        <w:jc w:val="center"/>
        <w:rPr>
          <w:lang w:val="it-IT"/>
        </w:rPr>
      </w:pPr>
      <w:r>
        <w:rPr>
          <w:rFonts w:asciiTheme="majorHAnsi" w:hAnsiTheme="majorHAnsi" w:eastAsiaTheme="majorEastAsia" w:cstheme="majorBidi"/>
          <w:spacing w:val="-10"/>
          <w:sz w:val="56"/>
          <w:szCs w:val="56"/>
        </w:rPr>
        <w:t xml:space="preserve">IO-03: Movimentazione in Sicurezza e Carichi Voluminosi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1086"/>
      </w:tblPr>
      <w:tblGrid>
        <w:gridCol w:w="10173"/>
      </w:tblGrid>
      <w:tr>
        <w:trPr>
          <w:trHeight w:val="1200"/>
        </w:trPr>
        <w:tc>
          <w:tcPr>
            <w:tcBorders/>
            <w:tcW w:w="10173" w:type="dxa"/>
            <w:textDirection w:val="lrTb"/>
            <w:noWrap w:val="false"/>
          </w:tcPr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114925" cy="19050"/>
                      <wp:effectExtent l="0" t="0" r="0" b="0"/>
                      <wp:docPr id="2" name="Immagine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11492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02.75pt;height:1.50pt;mso-wrap-distance-left:0.00pt;mso-wrap-distance-top:0.00pt;mso-wrap-distance-right:0.00pt;mso-wrap-distance-bottom:0.00pt;z-index:1;" stroked="f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COPIA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3" name="Immagine 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4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controllata         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013"/>
              <w:pBdr/>
              <w:spacing w:after="0" w:before="0"/>
              <w:ind/>
              <w:rPr>
                <w:lang w:val="it-IT"/>
              </w:rPr>
            </w:pPr>
            <w:r>
              <w:rPr>
                <w:lang w:val="it-IT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61925" cy="161925"/>
                      <wp:effectExtent l="0" t="0" r="0" b="0"/>
                      <wp:docPr id="4" name="Immagine 1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1925" cy="1619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12.75pt;height:12.75pt;mso-wrap-distance-left:0.00pt;mso-wrap-distance-top:0.00pt;mso-wrap-distance-right:0.00pt;mso-wrap-distance-bottom:0.00pt;z-index:1;" stroked="f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lang w:val="it-IT"/>
              </w:rPr>
              <w:t xml:space="preserve">non controllata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13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13"/>
        <w:pBdr/>
        <w:spacing/>
        <w:ind/>
        <w:rPr>
          <w:lang w:val="it-IT"/>
        </w:rPr>
      </w:pPr>
      <w:r>
        <w:rPr>
          <w:lang w:val="it-IT"/>
        </w:rPr>
        <w:t xml:space="preserve">  </w:t>
      </w:r>
      <w:r>
        <w:rPr>
          <w:lang w:val="it-IT"/>
        </w:rPr>
      </w:r>
      <w:r>
        <w:rPr>
          <w:lang w:val="it-IT"/>
        </w:rPr>
      </w:r>
    </w:p>
    <w:tbl>
      <w:tblPr>
        <w:tblW w:w="0" w:type="auto"/>
        <w:tblCellMar>
          <w:left w:w="71" w:type="dxa"/>
          <w:right w:w="71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Spacing w:w="0" w:type="dxa"/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>
        <w:trPr>
          <w:tblCellSpacing w:w="0" w:type="dxa"/>
        </w:trPr>
        <w:tc>
          <w:tcPr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592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STATO DELLE REVISIONI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203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b/>
                <w:bCs/>
                <w:lang w:val="it-IT"/>
              </w:rPr>
              <w:t xml:space="preserve">ITER DI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REV.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MOTIVO DELLA REVISIONE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DATA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REDAZIONE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APPROVAZIONE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  <w:tr>
        <w:trPr>
          <w:tblCellSpacing w:w="0" w:type="dxa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63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0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4678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Nuova Emissione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27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14/10/2025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86" w:type="dxa"/>
            <w:vAlign w:val="center"/>
            <w:textDirection w:val="lrTb"/>
            <w:noWrap w:val="false"/>
          </w:tcPr>
          <w:p>
            <w:pPr>
              <w:pStyle w:val="1013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  <w:t xml:space="preserve"> </w:t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</w:tr>
    </w:tbl>
    <w:p>
      <w:pPr>
        <w:pStyle w:val="1013"/>
        <w:pBdr/>
        <w:spacing/>
        <w:ind/>
        <w:rPr>
          <w:lang w:val="it-IT"/>
        </w:rPr>
      </w:pPr>
      <w:r>
        <w:rPr>
          <w:lang w:val="it-IT"/>
        </w:rPr>
        <w:t xml:space="preserve"> </w:t>
      </w:r>
      <w:r>
        <w:rPr>
          <w:lang w:val="it-IT"/>
        </w:rPr>
      </w:r>
      <w:r>
        <w:rPr>
          <w:lang w:val="it-IT"/>
        </w:rPr>
      </w:r>
    </w:p>
    <w:p>
      <w:pPr>
        <w:pStyle w:val="1004"/>
        <w:numPr>
          <w:ilvl w:val="0"/>
          <w:numId w:val="0"/>
        </w:numPr>
        <w:pBdr/>
        <w:spacing/>
        <w:ind/>
        <w:rPr/>
      </w:pPr>
      <w:r/>
      <w:bookmarkStart w:id="2" w:name="citations"/>
      <w:r/>
      <w:bookmarkEnd w:id="0"/>
      <w:r/>
      <w:bookmarkEnd w:id="1"/>
      <w:r>
        <w:br w:type="page" w:clear="all"/>
      </w:r>
      <w:bookmarkStart w:id="3" w:name="X418b204c713286584bfa4ab310ddfb40941ece7"/>
      <w:r>
        <w:t xml:space="preserve">Versione per affissione (sintesi) – </w:t>
      </w:r>
      <w:r>
        <w:rPr>
          <w:b/>
          <w:bCs/>
        </w:rPr>
        <w:t xml:space="preserve">MOVIMENTAZIONE BINS E CASSONI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Controllo Prima del Sollevamento:</w:t>
      </w:r>
      <w:r>
        <w:t xml:space="preserve"> Verificare l’integrità del </w:t>
      </w:r>
      <w:r>
        <w:t xml:space="preserve">bins</w:t>
      </w:r>
      <w:r>
        <w:t xml:space="preserve"> (cassone) prima di sollevarlo: fondo e pareti integri, niente crepe. Se danneggiato, </w:t>
      </w:r>
      <w:r>
        <w:rPr>
          <w:b/>
          <w:bCs/>
        </w:rPr>
        <w:t xml:space="preserve">non usare carrello</w:t>
      </w:r>
      <w:r>
        <w:t xml:space="preserve"> – potrebbe rompersi in aria. Trasferire il contenuto in un altro contenitore.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Carico Bilanciato:</w:t>
      </w:r>
      <w:r>
        <w:t xml:space="preserve"> Posizionare le forche ben centrate sotto il </w:t>
      </w:r>
      <w:r>
        <w:t xml:space="preserve">bins</w:t>
      </w:r>
      <w:r>
        <w:t xml:space="preserve">. Assicurarsi che il carico (frutta, bucce, etc.) sia distribuito uniformemente e non ecceda i bordi. Niente carichi sbilanciati o sovraccarico oltre capacità del </w:t>
      </w:r>
      <w:r>
        <w:t xml:space="preserve">bins</w:t>
      </w:r>
      <w:r>
        <w:t xml:space="preserve">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Altezza di Trasporto:</w:t>
      </w:r>
      <w:r>
        <w:t xml:space="preserve"> Trasportare i </w:t>
      </w:r>
      <w:r>
        <w:t xml:space="preserve">bins</w:t>
      </w:r>
      <w:r>
        <w:t xml:space="preserve"> tenendoli </w:t>
      </w:r>
      <w:r>
        <w:rPr>
          <w:b/>
          <w:bCs/>
        </w:rPr>
        <w:t xml:space="preserve">bassi (10-15 cm da terra)</w:t>
      </w:r>
      <w:r>
        <w:t xml:space="preserve">. Non girare né frenare bruscamente con un </w:t>
      </w:r>
      <w:r>
        <w:t xml:space="preserve">bins</w:t>
      </w:r>
      <w:r>
        <w:t xml:space="preserve"> alzato. Sollevare in alto solo quando si è di fronte alla posizione di stoccaggio.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Impilamento Sicuro:</w:t>
      </w:r>
      <w:r>
        <w:t xml:space="preserve"> Non impilare più di 3 </w:t>
      </w:r>
      <w:r>
        <w:t xml:space="preserve">bins</w:t>
      </w:r>
      <w:r>
        <w:t xml:space="preserve"> pieni (altezza max definita). Allineare bene i </w:t>
      </w:r>
      <w:r>
        <w:t xml:space="preserve">bins</w:t>
      </w:r>
      <w:r>
        <w:t xml:space="preserve"> uno sull’altro; mai “a piramide” o su superfici </w:t>
      </w:r>
      <w:r>
        <w:t xml:space="preserve">dislivellate</w:t>
      </w:r>
      <w:r>
        <w:t xml:space="preserve">. Se i </w:t>
      </w:r>
      <w:r>
        <w:t xml:space="preserve">bins</w:t>
      </w:r>
      <w:r>
        <w:t xml:space="preserve"> hanno incastri, assicurarsi che siano innestati. Non arrampicarsi sui </w:t>
      </w:r>
      <w:r>
        <w:t xml:space="preserve">bins</w:t>
      </w:r>
      <w:r>
        <w:t xml:space="preserve"> per sistemare il carico.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DPI e Attenzione:</w:t>
      </w:r>
      <w:r>
        <w:rPr>
          <w:highlight w:val="yellow"/>
        </w:rPr>
        <w:t xml:space="preserve"> Indossare </w:t>
      </w:r>
      <w:commentRangeStart w:id="0"/>
      <w:r>
        <w:rPr>
          <w:highlight w:val="yellow"/>
        </w:rPr>
        <w:t xml:space="preserve">casco</w:t>
      </w:r>
      <w:commentRangeEnd w:id="0"/>
      <w:r>
        <w:commentReference w:id="0"/>
      </w:r>
      <w:r>
        <w:rPr>
          <w:highlight w:val="yellow"/>
        </w:rPr>
        <w:t xml:space="preserve"> protettivo in aree di impilamento</w:t>
      </w:r>
      <w:r>
        <w:t xml:space="preserve"> (rischio caduta oggetti dall’alto). </w:t>
      </w:r>
      <w:r>
        <w:rPr>
          <w:highlight w:val="none"/>
        </w:rPr>
        <w:t xml:space="preserve">Occhiali protettivi se si movimentano </w:t>
      </w:r>
      <w:r>
        <w:rPr>
          <w:highlight w:val="none"/>
        </w:rPr>
        <w:t xml:space="preserve">bucce agrumi </w:t>
      </w:r>
      <w:r>
        <w:t xml:space="preserve">(spari di liquidi acidi possibili – pratica che usualmente non viene utilizzato). Guanti </w:t>
      </w:r>
      <w:r>
        <w:t xml:space="preserve">antiabrasione</w:t>
      </w:r>
      <w:r>
        <w:t xml:space="preserve"> per maneggiare </w:t>
      </w:r>
      <w:r>
        <w:t xml:space="preserve">bins</w:t>
      </w:r>
      <w:r>
        <w:t xml:space="preserve"> a mano.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Divieto di Sosta Sotto Carichi:</w:t>
      </w:r>
      <w:r>
        <w:t xml:space="preserve"> Assolutamente vietato sostare sotto un </w:t>
      </w:r>
      <w:r>
        <w:t xml:space="preserve">bins</w:t>
      </w:r>
      <w:r>
        <w:t xml:space="preserve"> sospeso o tra il carrello e il </w:t>
      </w:r>
      <w:r>
        <w:t xml:space="preserve">bins</w:t>
      </w:r>
      <w:r>
        <w:t xml:space="preserve"> durante deposizione. Il pedone stia lontano; se deve guidare il carrellista, lo faccia dal lato a distanza di sicurezza, mai sotto.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Uso Attrezzature Ausiliarie:</w:t>
      </w:r>
      <w:r>
        <w:t xml:space="preserve"> Per rovesciare </w:t>
      </w:r>
      <w:r>
        <w:t xml:space="preserve">bins</w:t>
      </w:r>
      <w:r>
        <w:t xml:space="preserve"> (scarico su nastri), usare il ribaltatore meccanico apposito se presente; non fare manovre improvvisate col muletto (rischio caduta improvvisa contenuto).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Spazi di Manovra:</w:t>
      </w:r>
      <w:r>
        <w:t xml:space="preserve"> Mantenere l’area di stoccaggio </w:t>
      </w:r>
      <w:r>
        <w:t xml:space="preserve">bins</w:t>
      </w:r>
      <w:r>
        <w:t xml:space="preserve"> sgombra: niente ostacoli per terra che possano far sobbalzare il carrello. Illuminazione adeguata – accendere luci aggiuntive se servono in magazzino buio.</w:t>
      </w:r>
      <w:r/>
    </w:p>
    <w:p>
      <w:pPr>
        <w:pStyle w:val="1014"/>
        <w:numPr>
          <w:ilvl w:val="0"/>
          <w:numId w:val="21"/>
        </w:numPr>
        <w:pBdr/>
        <w:spacing/>
        <w:ind/>
        <w:rPr/>
      </w:pPr>
      <w:r>
        <w:rPr>
          <w:b/>
          <w:bCs/>
        </w:rPr>
        <w:t xml:space="preserve">In caso di Caduta </w:t>
      </w:r>
      <w:r>
        <w:rPr>
          <w:b/>
          <w:bCs/>
        </w:rPr>
        <w:t xml:space="preserve">Bins</w:t>
      </w:r>
      <w:r>
        <w:rPr>
          <w:b/>
          <w:bCs/>
        </w:rPr>
        <w:t xml:space="preserve">:</w:t>
      </w:r>
      <w:r>
        <w:t xml:space="preserve"> Se un </w:t>
      </w:r>
      <w:r>
        <w:t xml:space="preserve">bins</w:t>
      </w:r>
      <w:r>
        <w:t xml:space="preserve"> cade dal muletto, </w:t>
      </w:r>
      <w:r>
        <w:rPr>
          <w:b/>
          <w:bCs/>
        </w:rPr>
        <w:t xml:space="preserve">non tentare di bloccarlo a mano</w:t>
      </w:r>
      <w:r>
        <w:t xml:space="preserve"> – indietreggiare per evitare colpi. Dopo la caduta, non cercare di rimetterlo su forche con mani e piedi in mezzo – usare il carrello delicatamente. Segnalare il </w:t>
      </w:r>
      <w:r>
        <w:t xml:space="preserve">bins</w:t>
      </w:r>
      <w:r>
        <w:t xml:space="preserve"> caduto al responsabile.</w:t>
      </w:r>
      <w:r/>
      <w:r/>
    </w:p>
    <w:p>
      <w:pPr>
        <w:pBdr/>
        <w:spacing/>
        <w:ind/>
        <w:rPr>
          <w:rFonts w:eastAsiaTheme="majorEastAsia" w:cstheme="majorBidi"/>
          <w:color w:val="0f4761" w:themeColor="accent1" w:themeShade="BF"/>
        </w:rPr>
      </w:pPr>
      <w:r>
        <w:br w:type="page" w:clear="all"/>
      </w:r>
      <w:r>
        <w:rPr>
          <w:rFonts w:eastAsiaTheme="majorEastAsia" w:cstheme="majorBidi"/>
          <w:color w:val="0f4761" w:themeColor="accent1" w:themeShade="BF"/>
        </w:rPr>
      </w:r>
      <w:r>
        <w:rPr>
          <w:rFonts w:eastAsiaTheme="majorEastAsia" w:cstheme="majorBidi"/>
          <w:color w:val="0f4761" w:themeColor="accent1" w:themeShade="BF"/>
        </w:rPr>
      </w:r>
    </w:p>
    <w:p>
      <w:pPr>
        <w:pStyle w:val="1004"/>
        <w:numPr>
          <w:ilvl w:val="0"/>
          <w:numId w:val="0"/>
        </w:numPr>
        <w:pBdr/>
        <w:spacing/>
        <w:ind w:hanging="1008" w:left="1008"/>
        <w:rPr/>
      </w:pPr>
      <w:r>
        <w:t xml:space="preserve">Versione estesa – </w:t>
      </w:r>
      <w:r>
        <w:rPr>
          <w:b/>
          <w:bCs/>
        </w:rPr>
        <w:t xml:space="preserve">Istruzione Operativa per Movimentazione Sicura di Cassoni (“</w:t>
      </w:r>
      <w:r>
        <w:rPr>
          <w:b/>
          <w:bCs/>
        </w:rPr>
        <w:t xml:space="preserve">Bins</w:t>
      </w:r>
      <w:r>
        <w:rPr>
          <w:b/>
          <w:bCs/>
        </w:rPr>
        <w:t xml:space="preserve">”) e Altri Carichi Ingombranti</w:t>
      </w:r>
      <w:r/>
    </w:p>
    <w:p>
      <w:pPr>
        <w:pStyle w:val="1013"/>
        <w:pBdr/>
        <w:spacing/>
        <w:ind/>
        <w:rPr/>
      </w:pPr>
      <w:r>
        <w:rPr>
          <w:b/>
          <w:bCs/>
        </w:rPr>
        <w:t xml:space="preserve">Premessa e rischi:</w:t>
      </w:r>
      <w:r>
        <w:t xml:space="preserve"> </w:t>
      </w:r>
      <w:r>
        <w:t xml:space="preserve">Agrumigel</w:t>
      </w:r>
      <w:r>
        <w:t xml:space="preserve"> utilizza grandi cassoni di plastica (</w:t>
      </w:r>
      <w:r>
        <w:t xml:space="preserve">bins</w:t>
      </w:r>
      <w:r>
        <w:t xml:space="preserve">) per contenere materie prime (agrumi) </w:t>
      </w:r>
      <w:r>
        <w:t xml:space="preserve">e per movimentare altri materiali voluminosi. Tali </w:t>
      </w:r>
      <w:r>
        <w:t xml:space="preserve">bins</w:t>
      </w:r>
      <w:r>
        <w:t xml:space="preserve">, spesso impilati, se non gestiti correttamente possono causare infortuni: rischio di schiacciamento arti </w:t>
      </w:r>
      <w:r>
        <w:t xml:space="preserve">se cadono, urti contro persone o strutture, mal di schiena se manipolati manualmente in modo scorretto. Inoltre, carichi voluminosi riducono la visibilità dei carrellisti e possono urtare contro ostacoli elevati. Questa IO mira a prevenire ribaltamenti di </w:t>
      </w:r>
      <w:r>
        <w:t xml:space="preserve">bins</w:t>
      </w:r>
      <w:r>
        <w:t xml:space="preserve"> e infortuni da movimentazione.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Caratteristiche dei </w:t>
      </w:r>
      <w:r>
        <w:rPr>
          <w:b/>
          <w:bCs/>
        </w:rPr>
        <w:t xml:space="preserve">bins</w:t>
      </w:r>
      <w:r>
        <w:rPr>
          <w:b/>
          <w:bCs/>
        </w:rPr>
        <w:t xml:space="preserve"> e portate:</w:t>
      </w:r>
      <w:r>
        <w:t xml:space="preserve"> I </w:t>
      </w:r>
      <w:r>
        <w:t xml:space="preserve">bins</w:t>
      </w:r>
      <w:r>
        <w:t xml:space="preserve"> tipici sono in plastica alimentare, dimensioni ~1,2x1x0,8 m, peso a vuoto ~30 kg, portata max ~300-500 kg di contenuto. Sono progettati per essere impilati (4 piedi incastrabili sul coperchio del </w:t>
      </w:r>
      <w:r>
        <w:t xml:space="preserve">bins</w:t>
      </w:r>
      <w:r>
        <w:t xml:space="preserve"> sottostante). Non devono essere impilati più in alto di quanto stabile.</w:t>
      </w:r>
      <w:r>
        <w:t xml:space="preserve"> Per sicurezza interna, la regola è: </w:t>
      </w:r>
      <w:r>
        <w:rPr>
          <w:b/>
          <w:bCs/>
        </w:rPr>
        <w:t xml:space="preserve">max 4 </w:t>
      </w:r>
      <w:r>
        <w:rPr>
          <w:b/>
          <w:bCs/>
        </w:rPr>
        <w:t xml:space="preserve">bins</w:t>
      </w:r>
      <w:r>
        <w:rPr>
          <w:b/>
          <w:bCs/>
        </w:rPr>
        <w:t xml:space="preserve"> pieni, max 6 </w:t>
      </w:r>
      <w:r>
        <w:rPr>
          <w:b/>
          <w:bCs/>
        </w:rPr>
        <w:t xml:space="preserve">bins</w:t>
      </w:r>
      <w:r>
        <w:rPr>
          <w:b/>
          <w:bCs/>
        </w:rPr>
        <w:t xml:space="preserve"> vuoti in altezza</w:t>
      </w:r>
      <w:r>
        <w:t xml:space="preserve">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Ispezione e cura dei contenitori:</w:t>
      </w:r>
      <w:r>
        <w:t xml:space="preserve"> Il Magazziniere o il personale che lavora con i </w:t>
      </w:r>
      <w:r>
        <w:t xml:space="preserve">bins</w:t>
      </w:r>
      <w:r>
        <w:t xml:space="preserve"> controlla periodicamente lo stato: crepe nelle pareti, piedi rotti, deformazioni. Un </w:t>
      </w:r>
      <w:r>
        <w:t xml:space="preserve">bins</w:t>
      </w:r>
      <w:r>
        <w:t xml:space="preserve"> in condizioni scadenti viene ritirato dal servizio (etichettarlo “NON USARE – DANNEGGIATO” e portarlo nell’area rifiuti plastici per riparazione o smaltimento). Mai caricare liquidi sfusi in </w:t>
      </w:r>
      <w:r>
        <w:t xml:space="preserve">bins</w:t>
      </w:r>
      <w:r>
        <w:t xml:space="preserve"> non progettati per liquidi (rischio cedimento per pressione idrostatica). Non sovraccaricare oltre il limite – se si nota flessione eccessiva delle pareti, togliere materiale.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Movimentazione con carrello elevatore:</w:t>
      </w:r>
      <w:r>
        <w:t xml:space="preserve"> - Inserire le forche fino in fondo sotto il </w:t>
      </w:r>
      <w:r>
        <w:t xml:space="preserve">bins</w:t>
      </w:r>
      <w:r>
        <w:t xml:space="preserve">, assicurandosi che escano leggermente dall’altro lato (così il </w:t>
      </w:r>
      <w:r>
        <w:t xml:space="preserve">bins</w:t>
      </w:r>
      <w:r>
        <w:t xml:space="preserve"> è completamente sostenuto). Se le forche sono troppo corte e il </w:t>
      </w:r>
      <w:r>
        <w:t xml:space="preserve">bins</w:t>
      </w:r>
      <w:r>
        <w:t xml:space="preserve"> sporge, è a rischio scivolamento. Se necessario, usare prolunghe di forche quando spessore </w:t>
      </w:r>
      <w:r>
        <w:t xml:space="preserve">bins</w:t>
      </w:r>
      <w:r>
        <w:t xml:space="preserve"> è maggiore della lunghezza standard. - Forche regolate alla giusta distanza: i piedi del </w:t>
      </w:r>
      <w:r>
        <w:t xml:space="preserve">bins</w:t>
      </w:r>
      <w:r>
        <w:t xml:space="preserve"> sono di solito in corrispondenza di alveoli in cui far entrar</w:t>
      </w:r>
      <w:r>
        <w:t xml:space="preserve">e le forche. Mantenere le forche parallele al suolo fino a inserimento poi leggermente inclinare indietro per stabilizzare. - Sollevare dolcemente: evitare strattoni. Una volta sollevato quel tanto che basta per non strisciare, spostarsi. - Visibilità: un </w:t>
      </w:r>
      <w:r>
        <w:t xml:space="preserve">bins</w:t>
      </w:r>
      <w:r>
        <w:t xml:space="preserve"> di agrumi può essere alto quanto il montante, riducendo la vista frontale. Preferire la retromarcia come da IO-02, oppure se percorrendo brevissima distanza frontale, far accompagnare da qualcuno. - Deposito: posare il </w:t>
      </w:r>
      <w:r>
        <w:t xml:space="preserve">bins</w:t>
      </w:r>
      <w:r>
        <w:t xml:space="preserve"> su superficie piana. Per impilare: allineare bene sopra il sottostante, </w:t>
      </w:r>
      <w:r>
        <w:t xml:space="preserve">scendere lentamente finché i piedini non centrano le loro sedi. Controllare da terra poi che sia appoggiato stabile. - Ribaltamento per svuotamento: se non c’è ribaltatore idraulico sul muletto, procedere con cautela manuale è pericoloso. Si dispone di diversi ribaltabins automatici</w:t>
      </w:r>
      <w:r>
        <w:t xml:space="preserve"> presso la linea di spremitura dove i </w:t>
      </w:r>
      <w:r>
        <w:t xml:space="preserve">bins</w:t>
      </w:r>
      <w:r>
        <w:t xml:space="preserve"> di agrumi vengono agganciati e capovolti su un nastro, e uno presso la linea di lavorazione melagrane. Solo addetti formati usano quell’impianto: accertarsi che i fermi meccanici del </w:t>
      </w:r>
      <w:r>
        <w:t xml:space="preserve">bins</w:t>
      </w:r>
      <w:r>
        <w:t xml:space="preserve"> siano ben chiusi prima di azionare rotazione. Durante rotazione, nessuno vicino al raggio di movimento (barriera presente). - Se un </w:t>
      </w:r>
      <w:r>
        <w:t xml:space="preserve">bins</w:t>
      </w:r>
      <w:r>
        <w:t xml:space="preserve"> deve essere inclinato col muletto (pratica sconsigliata), bisogna usare cinghie per legarlo </w:t>
      </w:r>
      <w:r>
        <w:t xml:space="preserve">alle forche per evitare scivoli improvvisi – questa operazione va comunque normata e autorizzata dal responsabile, non improvvisata.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Movimentazione manuale e postura:</w:t>
      </w:r>
      <w:r>
        <w:t xml:space="preserve"> Un </w:t>
      </w:r>
      <w:r>
        <w:t xml:space="preserve">bins</w:t>
      </w:r>
      <w:r>
        <w:t xml:space="preserve"> vuoto può essere spostato a mano da </w:t>
      </w:r>
      <w:r>
        <w:t xml:space="preserve">2</w:t>
      </w:r>
      <w:r>
        <w:t xml:space="preserve"> persone, ma con difficoltà per ingombro. Meglio usare transpallet manuale o carrellino se necessario spostarne uno vuoto. Non tentare di sollevare a mano un </w:t>
      </w:r>
      <w:r>
        <w:t xml:space="preserve">bins</w:t>
      </w:r>
      <w:r>
        <w:t xml:space="preserve"> pieno (impossibile senza attrezzature). Se occorre prelevare materiale da un </w:t>
      </w:r>
      <w:r>
        <w:t xml:space="preserve">bins</w:t>
      </w:r>
      <w:r>
        <w:t xml:space="preserve"> a mano, adottare postura corretta: non chinarsi dentro oltre la cinta – usare pala o attrezzo lungo se possibile, oppure salire su pedana per non piegare schiena oltre 90°. Se il lavoro è frequente (es. riempire sacchi da </w:t>
      </w:r>
      <w:r>
        <w:t xml:space="preserve">bins</w:t>
      </w:r>
      <w:r>
        <w:t xml:space="preserve"> di scarti), predisporre un tavolo vibrante o inclina-</w:t>
      </w:r>
      <w:r>
        <w:t xml:space="preserve">bins</w:t>
      </w:r>
      <w:r>
        <w:t xml:space="preserve"> per ridurre lo sforzo.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Stoccaggio e sicurezza area:</w:t>
      </w:r>
      <w:r>
        <w:t xml:space="preserve"> - Mantenere file di </w:t>
      </w:r>
      <w:r>
        <w:t xml:space="preserve">bins</w:t>
      </w:r>
      <w:r>
        <w:t xml:space="preserve"> ordinate, preferibilmente singole o doppie file, con spazio sufficiente per i carrelli tra di esse (corsie ~3 m per manovra). - Non posizionare </w:t>
      </w:r>
      <w:r>
        <w:t xml:space="preserve">bins</w:t>
      </w:r>
      <w:r>
        <w:t xml:space="preserve"> impilati vicino a bordi di soppalchi o buche senza protezione: rischio caduta dall’alto. -</w:t>
      </w:r>
      <w:r>
        <w:rPr>
          <w:highlight w:val="none"/>
        </w:rPr>
        <w:t xml:space="preserve"> </w:t>
      </w:r>
      <w:r>
        <w:rPr>
          <w:highlight w:val="none"/>
        </w:rPr>
        <w:t xml:space="preserve">Segnalare area impilamento con cartello “Carichi sospesi – vietato </w:t>
      </w:r>
      <w:r>
        <w:rPr>
          <w:highlight w:val="none"/>
        </w:rPr>
        <w:t xml:space="preserve">sostare</w:t>
      </w:r>
      <w:r>
        <w:rPr>
          <w:highlight w:val="none"/>
        </w:rPr>
        <w:t xml:space="preserve">”.</w:t>
      </w:r>
      <w:r/>
      <w:r/>
    </w:p>
    <w:p>
      <w:pPr>
        <w:pStyle w:val="1012"/>
        <w:pBdr/>
        <w:spacing/>
        <w:ind/>
        <w:rPr>
          <w:highlight w:val="yellow"/>
        </w:rPr>
      </w:pPr>
      <w:r>
        <w:rPr>
          <w:b/>
          <w:bCs/>
        </w:rPr>
        <w:t xml:space="preserve">DPI e misure per operatori </w:t>
      </w:r>
      <w:r>
        <w:rPr>
          <w:b/>
          <w:bCs/>
        </w:rPr>
        <w:t xml:space="preserve">bins</w:t>
      </w:r>
      <w:r>
        <w:rPr>
          <w:b/>
          <w:bCs/>
        </w:rPr>
        <w:t xml:space="preserve">:</w:t>
      </w:r>
      <w:r>
        <w:t xml:space="preserve"> Come previsto da DVR.</w:t>
      </w:r>
      <w:r>
        <w:rPr>
          <w:highlight w:val="yellow"/>
        </w:rPr>
      </w:r>
      <w:r>
        <w:rPr>
          <w:highlight w:val="yellow"/>
        </w:rPr>
      </w:r>
    </w:p>
    <w:p>
      <w:pPr>
        <w:pStyle w:val="1012"/>
        <w:pBdr/>
        <w:spacing/>
        <w:ind/>
        <w:rPr/>
      </w:pPr>
      <w:r>
        <w:rPr>
          <w:b/>
          <w:bCs/>
        </w:rPr>
        <w:t xml:space="preserve">Incidenti potenziali e prevenzione:</w:t>
      </w:r>
      <w:r>
        <w:t xml:space="preserve"> - </w:t>
      </w:r>
      <w:r>
        <w:rPr>
          <w:i/>
          <w:iCs/>
        </w:rPr>
        <w:t xml:space="preserve">Crollo pila di </w:t>
      </w:r>
      <w:r>
        <w:rPr>
          <w:i/>
          <w:iCs/>
        </w:rPr>
        <w:t xml:space="preserve">bins</w:t>
      </w:r>
      <w:r>
        <w:rPr>
          <w:i/>
          <w:iCs/>
        </w:rPr>
        <w:t xml:space="preserve">:</w:t>
      </w:r>
      <w:r>
        <w:t xml:space="preserve"> potrebbe accadere se sovraccaricato o urtato da carrello. Prevenzione: rispettare limite pile.</w:t>
      </w:r>
      <w:r>
        <w:t xml:space="preserve"> </w:t>
      </w:r>
      <w:r>
        <w:rPr>
          <w:i/>
          <w:iCs/>
        </w:rPr>
        <w:t xml:space="preserve">Investimento di piede da </w:t>
      </w:r>
      <w:r>
        <w:rPr>
          <w:i/>
          <w:iCs/>
        </w:rPr>
        <w:t xml:space="preserve">bins</w:t>
      </w:r>
      <w:r>
        <w:rPr>
          <w:i/>
          <w:iCs/>
        </w:rPr>
        <w:t xml:space="preserve"> spinto:</w:t>
      </w:r>
      <w:r>
        <w:t xml:space="preserve"> quando si depositano </w:t>
      </w:r>
      <w:r>
        <w:t xml:space="preserve">bins</w:t>
      </w:r>
      <w:r>
        <w:t xml:space="preserve"> a terra manualmente, evitare di far scivolare il </w:t>
      </w:r>
      <w:r>
        <w:t xml:space="preserve">bins</w:t>
      </w:r>
      <w:r>
        <w:t xml:space="preserve"> spingendolo con forza – il collega davanti può avere piedi in traiettoria. Comunicare e posizionare lentamente. - </w:t>
      </w:r>
      <w:r>
        <w:rPr>
          <w:i/>
          <w:iCs/>
        </w:rPr>
        <w:t xml:space="preserve">Dita schiacciate tra </w:t>
      </w:r>
      <w:r>
        <w:rPr>
          <w:i/>
          <w:iCs/>
        </w:rPr>
        <w:t xml:space="preserve">bins</w:t>
      </w:r>
      <w:r>
        <w:rPr>
          <w:i/>
          <w:iCs/>
        </w:rPr>
        <w:t xml:space="preserve">:</w:t>
      </w:r>
      <w:r>
        <w:t xml:space="preserve"> rischio durante impilamento manuale (non raccomandato – usare carrello). Se proprio manuale (vuoti), usare maniglie se presenti o prendere dai lati esterni, mai con dita sotto i piedini. - </w:t>
      </w:r>
      <w:r>
        <w:rPr>
          <w:i/>
          <w:iCs/>
        </w:rPr>
        <w:t xml:space="preserve">Urto altezza porta:</w:t>
      </w:r>
      <w:r>
        <w:t xml:space="preserve"> muovendo </w:t>
      </w:r>
      <w:r>
        <w:t xml:space="preserve">bins</w:t>
      </w:r>
      <w:r>
        <w:t xml:space="preserve"> su forche alte, attenzione a passaggi con altezza limitata (porte, travi): misurare l’altezza e confrontare con </w:t>
      </w:r>
      <w:r>
        <w:t xml:space="preserve">montante+bins</w:t>
      </w:r>
      <w:r>
        <w:t xml:space="preserve">. Diversi capannoni hanno porte H=3m, un muletto con </w:t>
      </w:r>
      <w:r>
        <w:t xml:space="preserve">bins</w:t>
      </w:r>
      <w:r>
        <w:t xml:space="preserve"> alzato a 2.5m passa, ma se erroneamente più su, colpisce architrave – potenziale danno strutturale e caduta detriti. Quindi, abbassare sempre prima di attraversare aperture.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Responsabilità e formazione:</w:t>
      </w:r>
      <w:r>
        <w:t xml:space="preserve"> I carrellisti addetti ai </w:t>
      </w:r>
      <w:r>
        <w:t xml:space="preserve">bins</w:t>
      </w:r>
      <w:r>
        <w:t xml:space="preserve"> devono conoscere le specifiche problematiche </w:t>
      </w:r>
      <w:r>
        <w:rPr>
          <w:highlight w:val="none"/>
        </w:rPr>
        <w:t xml:space="preserve">(formazione interna integrativa sui </w:t>
      </w:r>
      <w:r>
        <w:rPr>
          <w:highlight w:val="none"/>
        </w:rPr>
        <w:t xml:space="preserve">bins</w:t>
      </w:r>
      <w:r>
        <w:rPr>
          <w:highlight w:val="none"/>
        </w:rPr>
        <w:t xml:space="preserve"> </w:t>
      </w:r>
      <w:r>
        <w:t xml:space="preserve">oltre al corso generico muletto). Il </w:t>
      </w:r>
      <w:r>
        <w:rPr>
          <w:b/>
          <w:bCs/>
        </w:rPr>
        <w:t xml:space="preserve">Preposto Area Ricevimento/</w:t>
      </w:r>
      <w:r>
        <w:rPr>
          <w:b/>
          <w:bCs/>
        </w:rPr>
        <w:t xml:space="preserve">Pomace</w:t>
      </w:r>
      <w:r>
        <w:t xml:space="preserve"> assicura che i neo-addetti vengano affiancati da esperti nelle prime settimane così da apprendere prassi corrette. Egli è responsabile di far rispettare le </w:t>
      </w:r>
      <w:r>
        <w:t xml:space="preserve">altezze di impilamento e di far rimuovere immediatamente eventuali configurazioni pericolose (pile sbilenche, </w:t>
      </w:r>
      <w:r>
        <w:t xml:space="preserve">bins</w:t>
      </w:r>
      <w:r>
        <w:t xml:space="preserve"> danneggiati in uso). Il </w:t>
      </w:r>
      <w:r>
        <w:rPr>
          <w:b/>
          <w:bCs/>
        </w:rPr>
        <w:t xml:space="preserve">RSPP</w:t>
      </w:r>
      <w:r>
        <w:t xml:space="preserve"> include il rischio specifico “caduta carichi (</w:t>
      </w:r>
      <w:r>
        <w:t xml:space="preserve">bins</w:t>
      </w:r>
      <w:r>
        <w:t xml:space="preserve">)” nel DVR e propone misure – es. potrebbe proporre l’acquisto di distanziatori o scaffalature apposite se volume stoccaggio aumenta, per evitare pile libere troppo alte.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Ispezioni e manutenzione:</w:t>
      </w:r>
      <w:r>
        <w:t xml:space="preserve"> Oltre al controllo visivo dei </w:t>
      </w:r>
      <w:r>
        <w:t xml:space="preserve">bins</w:t>
      </w:r>
      <w:r>
        <w:t xml:space="preserve"> come detto, l’azienda attua: - </w:t>
      </w:r>
      <w:r>
        <w:rPr>
          <w:i/>
          <w:iCs/>
        </w:rPr>
        <w:t xml:space="preserve">Verifica periodica attrezzature di presa:</w:t>
      </w:r>
      <w:r>
        <w:t xml:space="preserve"> se esistono pinze per </w:t>
      </w:r>
      <w:r>
        <w:t xml:space="preserve">bins</w:t>
      </w:r>
      <w:r>
        <w:t xml:space="preserve"> (accessori del muletto), devono essere verificate annualmente (come attrezzature di sollevamento non marcate CE autonomamente).</w:t>
      </w:r>
      <w:r>
        <w:t xml:space="preserve"> - </w:t>
      </w:r>
      <w:r>
        <w:rPr>
          <w:i/>
          <w:iCs/>
        </w:rPr>
        <w:t xml:space="preserve">Pulizia </w:t>
      </w:r>
      <w:r>
        <w:rPr>
          <w:i/>
          <w:iCs/>
        </w:rPr>
        <w:t xml:space="preserve">bins</w:t>
      </w:r>
      <w:r>
        <w:rPr>
          <w:i/>
          <w:iCs/>
        </w:rPr>
        <w:t xml:space="preserve">:</w:t>
      </w:r>
      <w:r>
        <w:t xml:space="preserve"> Periodicamente i </w:t>
      </w:r>
      <w:r>
        <w:t xml:space="preserve">bins</w:t>
      </w:r>
      <w:r>
        <w:t xml:space="preserve"> in circolazione vanno lavati per igiene alimentare ma anche sicurezza (un </w:t>
      </w:r>
      <w:r>
        <w:t xml:space="preserve">bins</w:t>
      </w:r>
      <w:r>
        <w:t xml:space="preserve"> incrostato di residui può scivolare dalle forche). Programmare lavaggio a fine campagna.</w:t>
      </w:r>
      <w:r/>
    </w:p>
    <w:p>
      <w:pPr>
        <w:pStyle w:val="1012"/>
        <w:pBdr/>
        <w:spacing/>
        <w:ind/>
        <w:rPr/>
      </w:pPr>
      <w:r>
        <w:rPr>
          <w:b/>
          <w:bCs/>
        </w:rPr>
        <w:t xml:space="preserve">Emergenze:</w:t>
      </w:r>
      <w:r>
        <w:t xml:space="preserve"> In caso di emergenza (incendio) in zona stoccaggio </w:t>
      </w:r>
      <w:r>
        <w:t xml:space="preserve">bins</w:t>
      </w:r>
      <w:r>
        <w:t xml:space="preserve">, i </w:t>
      </w:r>
      <w:r>
        <w:t xml:space="preserve">bins</w:t>
      </w:r>
      <w:r>
        <w:t xml:space="preserve"> in plastica sono combustibili. V.F. </w:t>
      </w:r>
      <w:r>
        <w:t xml:space="preserve">accerteranno</w:t>
      </w:r>
      <w:r>
        <w:t xml:space="preserve"> se spostarli o raffreddarli; non spostarli con carrelli durante evacuazione a meno che intralcino le vie di fuga e c’è tempo – priorità persone. Essenziale mantenere vie di fuga libere da </w:t>
      </w:r>
      <w:r>
        <w:t xml:space="preserve">bins</w:t>
      </w:r>
      <w:r>
        <w:t xml:space="preserve"> e pallet.</w:t>
      </w:r>
      <w:r/>
    </w:p>
    <w:p>
      <w:pPr>
        <w:pBdr/>
        <w:spacing/>
        <w:ind/>
        <w:rPr/>
      </w:pPr>
      <w:r/>
      <w:bookmarkEnd w:id="2"/>
      <w:r/>
      <w:r/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7" w:right="1134" w:bottom="1134" w:left="1134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Francesco Scavello" w:date="2025-10-24T15:19:14Z" w:initials="FS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Ne abbiamo caschi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5F1FFB1" w16cex:dateUtc="2025-10-24T13:19:1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5F1FFB1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/>
        <w:ind/>
        <w:rPr/>
      </w:pPr>
      <w:r>
        <w:separator/>
      </w:r>
      <w:r/>
    </w:p>
  </w:endnote>
  <w:endnote w:type="continuationSeparator" w:id="0">
    <w:p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417711698"/>
      <w:docPartObj>
        <w:docPartGallery w:val="Page Numbers (Bottom of Page)"/>
        <w:docPartUnique w:val="true"/>
      </w:docPartObj>
      <w:rPr/>
    </w:sdtPr>
    <w:sdtContent>
      <w:p>
        <w:pPr>
          <w:pStyle w:val="1084"/>
          <w:pBdr/>
          <w:spacing/>
          <w:ind/>
          <w:jc w:val="right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it-IT"/>
          </w:rPr>
          <w:t xml:space="preserve">2</w:t>
        </w:r>
        <w:r>
          <w:fldChar w:fldCharType="end"/>
        </w:r>
        <w:r/>
      </w:p>
    </w:sdtContent>
  </w:sdt>
  <w:p>
    <w:pPr>
      <w:pStyle w:val="108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/>
        <w:ind/>
        <w:rPr/>
      </w:pPr>
      <w:r>
        <w:separator/>
      </w:r>
      <w:r/>
    </w:p>
  </w:footnote>
  <w:footnote w:type="continuationSeparator" w:id="0">
    <w:p>
      <w:pPr>
        <w:pBdr/>
        <w:spacing w:after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jc w:val="center"/>
      <w:tblW w:w="10314" w:type="dxa"/>
      <w:tblBorders/>
      <w:tblLook w:val="04A0" w:firstRow="1" w:lastRow="0" w:firstColumn="1" w:lastColumn="0" w:noHBand="0" w:noVBand="1"/>
      <w:tblStyle w:val="1086"/>
    </w:tblPr>
    <w:tblGrid>
      <w:gridCol w:w="2943"/>
      <w:gridCol w:w="4678"/>
      <w:gridCol w:w="2693"/>
    </w:tblGrid>
    <w:tr>
      <w:trPr>
        <w:jc w:val="center"/>
        <w:trHeight w:val="977"/>
      </w:trPr>
      <w:tc>
        <w:tcPr>
          <w:tcBorders/>
          <w:tcW w:w="2943" w:type="dxa"/>
          <w:vAlign w:val="center"/>
          <w:textDirection w:val="lrTb"/>
          <w:noWrap w:val="false"/>
        </w:tcPr>
        <w:p>
          <w:pPr>
            <w:pStyle w:val="1082"/>
            <w:pBdr/>
            <w:spacing/>
            <w:ind/>
            <w:rPr>
              <w:lang w:val="it-IT"/>
            </w:rPr>
          </w:pPr>
          <w:r>
            <w:rPr>
              <w:lang w:val="it-IT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85850" cy="514350"/>
                    <wp:effectExtent l="0" t="0" r="0" b="0"/>
                    <wp:docPr id="1" name="Immagine 2" descr="Immagine che contiene pesce, clipart, illustrazione&#10;&#10;Il contenuto generato dall'IA potrebbe non essere corretto.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388056367" name="Immagine 2" descr="Immagine che contiene pesce, clipart, illustrazione&#10;&#10;Il contenuto generato dall'IA potrebbe non essere corretto.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8585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50pt;height:40.50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4678" w:type="dxa"/>
          <w:vAlign w:val="center"/>
          <w:textDirection w:val="lrTb"/>
          <w:noWrap w:val="false"/>
        </w:tcPr>
        <w:p>
          <w:pPr>
            <w:pStyle w:val="1082"/>
            <w:pBdr/>
            <w:spacing/>
            <w:ind/>
            <w:rPr>
              <w:lang w:val="it-IT"/>
            </w:rPr>
          </w:pPr>
          <w:r>
            <w:rPr>
              <w:b/>
              <w:bCs/>
            </w:rPr>
            <w:t xml:space="preserve">IO-03: Movimentazione in Sicurezza e Carichi Voluminosi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  <w:tc>
        <w:tcPr>
          <w:tcBorders/>
          <w:tcW w:w="2693" w:type="dxa"/>
          <w:vAlign w:val="center"/>
          <w:textDirection w:val="lrTb"/>
          <w:noWrap w:val="false"/>
        </w:tcPr>
        <w:p>
          <w:pPr>
            <w:pStyle w:val="1082"/>
            <w:pBdr/>
            <w:spacing/>
            <w:ind/>
            <w:rPr/>
          </w:pPr>
          <w:r>
            <w:t xml:space="preserve">IO-0</w:t>
          </w:r>
          <w:r>
            <w:t xml:space="preserve">3</w:t>
          </w:r>
          <w:r/>
        </w:p>
        <w:p>
          <w:pPr>
            <w:pStyle w:val="1082"/>
            <w:pBdr/>
            <w:spacing/>
            <w:ind/>
            <w:rPr>
              <w:lang w:val="it-IT"/>
            </w:rPr>
          </w:pPr>
          <w:r>
            <w:rPr>
              <w:lang w:val="it-IT"/>
            </w:rPr>
            <w:t xml:space="preserve">REV. </w:t>
          </w:r>
          <w:r>
            <w:rPr>
              <w:lang w:val="it-IT"/>
            </w:rPr>
            <w:t xml:space="preserve">00</w:t>
          </w:r>
          <w:r>
            <w:rPr>
              <w:lang w:val="it-IT"/>
            </w:rPr>
            <w:t xml:space="preserve"> del </w:t>
          </w:r>
          <w:r>
            <w:rPr>
              <w:lang w:val="it-IT"/>
            </w:rPr>
            <w:t xml:space="preserve">14</w:t>
          </w:r>
          <w:r>
            <w:rPr>
              <w:lang w:val="it-IT"/>
            </w:rPr>
            <w:t xml:space="preserve">-</w:t>
          </w:r>
          <w:r>
            <w:rPr>
              <w:lang w:val="it-IT"/>
            </w:rPr>
            <w:t xml:space="preserve">10</w:t>
          </w:r>
          <w:r>
            <w:rPr>
              <w:lang w:val="it-IT"/>
            </w:rPr>
            <w:t xml:space="preserve">-2025</w:t>
          </w:r>
          <w:r>
            <w:rPr>
              <w:lang w:val="it-IT"/>
            </w:rPr>
          </w:r>
          <w:r>
            <w:rPr>
              <w:lang w:val="it-IT"/>
            </w:rPr>
          </w:r>
        </w:p>
      </w:tc>
    </w:tr>
  </w:tbl>
  <w:p>
    <w:pPr>
      <w:pStyle w:val="108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5257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977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6697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7417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8137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8857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9577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10297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11017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00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1001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1002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1003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1004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1005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1006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1007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1008"/>
      <w:rPr>
        <w:rFonts w:hint="default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1"/>
  </w:num>
  <w:num w:numId="2">
    <w:abstractNumId w:val="14"/>
  </w:num>
  <w:num w:numId="3">
    <w:abstractNumId w:val="15"/>
  </w:num>
  <w:num w:numId="4">
    <w:abstractNumId w:val="4"/>
  </w:num>
  <w:num w:numId="5">
    <w:abstractNumId w:val="20"/>
  </w:num>
  <w:num w:numId="6">
    <w:abstractNumId w:val="19"/>
  </w:num>
  <w:num w:numId="7">
    <w:abstractNumId w:val="10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13"/>
  </w:num>
  <w:num w:numId="11">
    <w:abstractNumId w:val="5"/>
  </w:num>
  <w:num w:numId="12">
    <w:abstractNumId w:val="18"/>
  </w:num>
  <w:num w:numId="13">
    <w:abstractNumId w:val="9"/>
  </w:num>
  <w:num w:numId="14">
    <w:abstractNumId w:val="16"/>
  </w:num>
  <w:num w:numId="15">
    <w:abstractNumId w:val="7"/>
  </w:num>
  <w:num w:numId="16">
    <w:abstractNumId w:val="3"/>
  </w:num>
  <w:num w:numId="17">
    <w:abstractNumId w:val="12"/>
  </w:num>
  <w:num w:numId="18">
    <w:abstractNumId w:val="6"/>
  </w:num>
  <w:num w:numId="19">
    <w:abstractNumId w:val="17"/>
  </w:num>
  <w:num w:numId="20">
    <w:abstractNumId w:val="0"/>
  </w:num>
  <w:num w:numId="21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rancesco Scavello">
    <w15:presenceInfo w15:providerId="Teamlab" w15:userId="ocxcoxtpen8o_Scavell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283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7">
    <w:name w:val="Table Grid Light"/>
    <w:basedOn w:val="10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2"/>
    <w:basedOn w:val="10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1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2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3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4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5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6"/>
    <w:basedOn w:val="10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1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2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3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4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5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6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1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2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3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4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5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6"/>
    <w:basedOn w:val="10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1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2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3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4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5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6"/>
    <w:basedOn w:val="10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1">
    <w:name w:val="Heading 1 Char"/>
    <w:basedOn w:val="1009"/>
    <w:link w:val="10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2">
    <w:name w:val="Heading 2 Char"/>
    <w:basedOn w:val="1009"/>
    <w:link w:val="10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3">
    <w:name w:val="Heading 3 Char"/>
    <w:basedOn w:val="1009"/>
    <w:link w:val="10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4">
    <w:name w:val="Heading 4 Char"/>
    <w:basedOn w:val="1009"/>
    <w:link w:val="10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5">
    <w:name w:val="Heading 5 Char"/>
    <w:basedOn w:val="1009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6">
    <w:name w:val="Heading 6 Char"/>
    <w:basedOn w:val="1009"/>
    <w:link w:val="10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7">
    <w:name w:val="Heading 7 Char"/>
    <w:basedOn w:val="1009"/>
    <w:link w:val="10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8">
    <w:name w:val="Heading 8 Char"/>
    <w:basedOn w:val="1009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9">
    <w:name w:val="Heading 9 Char"/>
    <w:basedOn w:val="1009"/>
    <w:link w:val="10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0">
    <w:name w:val="Title Char"/>
    <w:basedOn w:val="1009"/>
    <w:link w:val="10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1">
    <w:name w:val="Subtitle Char"/>
    <w:basedOn w:val="1009"/>
    <w:link w:val="10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2">
    <w:name w:val="Quote"/>
    <w:basedOn w:val="999"/>
    <w:next w:val="999"/>
    <w:link w:val="9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3">
    <w:name w:val="Quote Char"/>
    <w:basedOn w:val="1009"/>
    <w:link w:val="9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4">
    <w:name w:val="Intense Emphasis"/>
    <w:basedOn w:val="10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5">
    <w:name w:val="Intense Quote"/>
    <w:basedOn w:val="999"/>
    <w:next w:val="999"/>
    <w:link w:val="9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6">
    <w:name w:val="Intense Quote Char"/>
    <w:basedOn w:val="1009"/>
    <w:link w:val="9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7">
    <w:name w:val="Intense Reference"/>
    <w:basedOn w:val="10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8">
    <w:name w:val="No Spacing"/>
    <w:basedOn w:val="999"/>
    <w:uiPriority w:val="1"/>
    <w:qFormat/>
    <w:pPr>
      <w:pBdr/>
      <w:spacing w:after="0" w:line="240" w:lineRule="auto"/>
      <w:ind/>
    </w:pPr>
  </w:style>
  <w:style w:type="character" w:styleId="979">
    <w:name w:val="Subtle Emphasis"/>
    <w:basedOn w:val="10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0">
    <w:name w:val="Emphasis"/>
    <w:basedOn w:val="1009"/>
    <w:uiPriority w:val="20"/>
    <w:qFormat/>
    <w:pPr>
      <w:pBdr/>
      <w:spacing/>
      <w:ind/>
    </w:pPr>
    <w:rPr>
      <w:i/>
      <w:iCs/>
    </w:rPr>
  </w:style>
  <w:style w:type="character" w:styleId="981">
    <w:name w:val="Strong"/>
    <w:basedOn w:val="1009"/>
    <w:uiPriority w:val="22"/>
    <w:qFormat/>
    <w:pPr>
      <w:pBdr/>
      <w:spacing/>
      <w:ind/>
    </w:pPr>
    <w:rPr>
      <w:b/>
      <w:bCs/>
    </w:rPr>
  </w:style>
  <w:style w:type="character" w:styleId="982">
    <w:name w:val="Subtle Reference"/>
    <w:basedOn w:val="10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3">
    <w:name w:val="Book Title"/>
    <w:basedOn w:val="100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4">
    <w:name w:val="Header Char"/>
    <w:basedOn w:val="1009"/>
    <w:link w:val="1082"/>
    <w:uiPriority w:val="99"/>
    <w:pPr>
      <w:pBdr/>
      <w:spacing/>
      <w:ind/>
    </w:pPr>
  </w:style>
  <w:style w:type="character" w:styleId="985">
    <w:name w:val="Footer Char"/>
    <w:basedOn w:val="1009"/>
    <w:link w:val="1084"/>
    <w:uiPriority w:val="99"/>
    <w:pPr>
      <w:pBdr/>
      <w:spacing/>
      <w:ind/>
    </w:pPr>
  </w:style>
  <w:style w:type="character" w:styleId="986">
    <w:name w:val="Footnote Text Char"/>
    <w:basedOn w:val="1009"/>
    <w:link w:val="1034"/>
    <w:uiPriority w:val="99"/>
    <w:semiHidden/>
    <w:pPr>
      <w:pBdr/>
      <w:spacing/>
      <w:ind/>
    </w:pPr>
    <w:rPr>
      <w:sz w:val="20"/>
      <w:szCs w:val="20"/>
    </w:rPr>
  </w:style>
  <w:style w:type="paragraph" w:styleId="987">
    <w:name w:val="endnote text"/>
    <w:basedOn w:val="999"/>
    <w:link w:val="9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8">
    <w:name w:val="Endnote Text Char"/>
    <w:basedOn w:val="1009"/>
    <w:link w:val="987"/>
    <w:uiPriority w:val="99"/>
    <w:semiHidden/>
    <w:pPr>
      <w:pBdr/>
      <w:spacing/>
      <w:ind/>
    </w:pPr>
    <w:rPr>
      <w:sz w:val="20"/>
      <w:szCs w:val="20"/>
    </w:rPr>
  </w:style>
  <w:style w:type="character" w:styleId="989">
    <w:name w:val="endnote reference"/>
    <w:basedOn w:val="1009"/>
    <w:uiPriority w:val="99"/>
    <w:semiHidden/>
    <w:unhideWhenUsed/>
    <w:pPr>
      <w:pBdr/>
      <w:spacing/>
      <w:ind/>
    </w:pPr>
    <w:rPr>
      <w:vertAlign w:val="superscript"/>
    </w:rPr>
  </w:style>
  <w:style w:type="character" w:styleId="990">
    <w:name w:val="FollowedHyperlink"/>
    <w:basedOn w:val="10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1">
    <w:name w:val="toc 4"/>
    <w:basedOn w:val="999"/>
    <w:next w:val="999"/>
    <w:uiPriority w:val="39"/>
    <w:unhideWhenUsed/>
    <w:pPr>
      <w:pBdr/>
      <w:spacing w:after="100"/>
      <w:ind w:left="660"/>
    </w:pPr>
  </w:style>
  <w:style w:type="paragraph" w:styleId="992">
    <w:name w:val="toc 5"/>
    <w:basedOn w:val="999"/>
    <w:next w:val="999"/>
    <w:uiPriority w:val="39"/>
    <w:unhideWhenUsed/>
    <w:pPr>
      <w:pBdr/>
      <w:spacing w:after="100"/>
      <w:ind w:left="880"/>
    </w:pPr>
  </w:style>
  <w:style w:type="paragraph" w:styleId="993">
    <w:name w:val="toc 6"/>
    <w:basedOn w:val="999"/>
    <w:next w:val="999"/>
    <w:uiPriority w:val="39"/>
    <w:unhideWhenUsed/>
    <w:pPr>
      <w:pBdr/>
      <w:spacing w:after="100"/>
      <w:ind w:left="1100"/>
    </w:pPr>
  </w:style>
  <w:style w:type="paragraph" w:styleId="994">
    <w:name w:val="toc 7"/>
    <w:basedOn w:val="999"/>
    <w:next w:val="999"/>
    <w:uiPriority w:val="39"/>
    <w:unhideWhenUsed/>
    <w:pPr>
      <w:pBdr/>
      <w:spacing w:after="100"/>
      <w:ind w:left="1320"/>
    </w:pPr>
  </w:style>
  <w:style w:type="paragraph" w:styleId="995">
    <w:name w:val="toc 8"/>
    <w:basedOn w:val="999"/>
    <w:next w:val="999"/>
    <w:uiPriority w:val="39"/>
    <w:unhideWhenUsed/>
    <w:pPr>
      <w:pBdr/>
      <w:spacing w:after="100"/>
      <w:ind w:left="1540"/>
    </w:pPr>
  </w:style>
  <w:style w:type="paragraph" w:styleId="996">
    <w:name w:val="toc 9"/>
    <w:basedOn w:val="999"/>
    <w:next w:val="999"/>
    <w:uiPriority w:val="39"/>
    <w:unhideWhenUsed/>
    <w:pPr>
      <w:pBdr/>
      <w:spacing w:after="100"/>
      <w:ind w:left="1760"/>
    </w:pPr>
  </w:style>
  <w:style w:type="character" w:styleId="997">
    <w:name w:val="Placeholder Text"/>
    <w:basedOn w:val="1009"/>
    <w:uiPriority w:val="99"/>
    <w:semiHidden/>
    <w:pPr>
      <w:pBdr/>
      <w:spacing/>
      <w:ind/>
    </w:pPr>
    <w:rPr>
      <w:color w:val="666666"/>
    </w:rPr>
  </w:style>
  <w:style w:type="paragraph" w:styleId="998">
    <w:name w:val="table of figures"/>
    <w:basedOn w:val="999"/>
    <w:next w:val="999"/>
    <w:uiPriority w:val="99"/>
    <w:unhideWhenUsed/>
    <w:pPr>
      <w:pBdr/>
      <w:spacing w:after="0" w:afterAutospacing="0"/>
      <w:ind/>
    </w:pPr>
  </w:style>
  <w:style w:type="paragraph" w:styleId="999" w:default="1">
    <w:name w:val="Normal"/>
    <w:qFormat/>
    <w:pPr>
      <w:pBdr/>
      <w:spacing/>
      <w:ind/>
    </w:pPr>
  </w:style>
  <w:style w:type="paragraph" w:styleId="1000">
    <w:name w:val="Heading 1"/>
    <w:basedOn w:val="999"/>
    <w:next w:val="1012"/>
    <w:link w:val="1024"/>
    <w:uiPriority w:val="9"/>
    <w:qFormat/>
    <w:pPr>
      <w:keepNext w:val="true"/>
      <w:keepLines w:val="true"/>
      <w:numPr>
        <w:numId w:val="1"/>
      </w:numPr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01">
    <w:name w:val="Heading 2"/>
    <w:basedOn w:val="999"/>
    <w:next w:val="1012"/>
    <w:link w:val="1025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02">
    <w:name w:val="Heading 3"/>
    <w:basedOn w:val="999"/>
    <w:next w:val="1012"/>
    <w:link w:val="1026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1003">
    <w:name w:val="Heading 4"/>
    <w:basedOn w:val="999"/>
    <w:next w:val="1012"/>
    <w:link w:val="1027"/>
    <w:uiPriority w:val="9"/>
    <w:semiHidden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1004">
    <w:name w:val="Heading 5"/>
    <w:basedOn w:val="999"/>
    <w:next w:val="1012"/>
    <w:link w:val="1028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1005">
    <w:name w:val="Heading 6"/>
    <w:basedOn w:val="999"/>
    <w:next w:val="1012"/>
    <w:link w:val="1029"/>
    <w:uiPriority w:val="9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1006">
    <w:name w:val="Heading 7"/>
    <w:basedOn w:val="999"/>
    <w:next w:val="1012"/>
    <w:link w:val="1030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1007">
    <w:name w:val="Heading 8"/>
    <w:basedOn w:val="999"/>
    <w:next w:val="1012"/>
    <w:link w:val="1031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1008">
    <w:name w:val="Heading 9"/>
    <w:basedOn w:val="999"/>
    <w:next w:val="1012"/>
    <w:link w:val="1032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1009" w:default="1">
    <w:name w:val="Default Paragraph Font"/>
    <w:uiPriority w:val="1"/>
    <w:unhideWhenUsed/>
    <w:pPr>
      <w:pBdr/>
      <w:spacing/>
      <w:ind/>
    </w:pPr>
  </w:style>
  <w:style w:type="table" w:styleId="10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1" w:default="1">
    <w:name w:val="No List"/>
    <w:uiPriority w:val="99"/>
    <w:semiHidden/>
    <w:unhideWhenUsed/>
    <w:pPr>
      <w:pBdr/>
      <w:spacing/>
      <w:ind/>
    </w:pPr>
  </w:style>
  <w:style w:type="paragraph" w:styleId="1012">
    <w:name w:val="Body Text"/>
    <w:basedOn w:val="999"/>
    <w:link w:val="1092"/>
    <w:qFormat/>
    <w:pPr>
      <w:pBdr/>
      <w:spacing w:after="180" w:before="180"/>
      <w:ind/>
    </w:pPr>
  </w:style>
  <w:style w:type="paragraph" w:styleId="1013" w:customStyle="1">
    <w:name w:val="First Paragraph"/>
    <w:basedOn w:val="1012"/>
    <w:next w:val="1012"/>
    <w:qFormat/>
    <w:pPr>
      <w:pBdr/>
      <w:spacing/>
      <w:ind/>
    </w:pPr>
  </w:style>
  <w:style w:type="paragraph" w:styleId="1014" w:customStyle="1">
    <w:name w:val="Compact"/>
    <w:basedOn w:val="1012"/>
    <w:qFormat/>
    <w:pPr>
      <w:pBdr/>
      <w:spacing w:after="36" w:before="36"/>
      <w:ind/>
    </w:pPr>
  </w:style>
  <w:style w:type="paragraph" w:styleId="1015">
    <w:name w:val="Title"/>
    <w:basedOn w:val="999"/>
    <w:next w:val="1012"/>
    <w:link w:val="1016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16" w:customStyle="1">
    <w:name w:val="Titolo Carattere"/>
    <w:basedOn w:val="1009"/>
    <w:link w:val="101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17">
    <w:name w:val="Subtitle"/>
    <w:basedOn w:val="1015"/>
    <w:next w:val="1012"/>
    <w:link w:val="1018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1018" w:customStyle="1">
    <w:name w:val="Sottotitolo Carattere"/>
    <w:basedOn w:val="1009"/>
    <w:link w:val="101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19" w:customStyle="1">
    <w:name w:val="Author"/>
    <w:next w:val="1012"/>
    <w:qFormat/>
    <w:pPr>
      <w:keepNext w:val="true"/>
      <w:keepLines w:val="true"/>
      <w:pBdr/>
      <w:spacing/>
      <w:ind/>
      <w:jc w:val="center"/>
    </w:pPr>
  </w:style>
  <w:style w:type="paragraph" w:styleId="1020">
    <w:name w:val="Date"/>
    <w:next w:val="1012"/>
    <w:qFormat/>
    <w:pPr>
      <w:keepNext w:val="true"/>
      <w:keepLines w:val="true"/>
      <w:pBdr/>
      <w:spacing/>
      <w:ind/>
      <w:jc w:val="center"/>
    </w:pPr>
  </w:style>
  <w:style w:type="paragraph" w:styleId="1021" w:customStyle="1">
    <w:name w:val="Abstract Title"/>
    <w:basedOn w:val="999"/>
    <w:next w:val="1022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1022" w:customStyle="1">
    <w:name w:val="Abstract"/>
    <w:basedOn w:val="999"/>
    <w:next w:val="1012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1023">
    <w:name w:val="Bibliography"/>
    <w:basedOn w:val="999"/>
    <w:qFormat/>
    <w:pPr>
      <w:pBdr/>
      <w:spacing/>
      <w:ind/>
    </w:pPr>
  </w:style>
  <w:style w:type="character" w:styleId="1024" w:customStyle="1">
    <w:name w:val="Titolo 1 Carattere"/>
    <w:basedOn w:val="1009"/>
    <w:link w:val="100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25" w:customStyle="1">
    <w:name w:val="Titolo 2 Carattere"/>
    <w:basedOn w:val="1009"/>
    <w:link w:val="100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26" w:customStyle="1">
    <w:name w:val="Titolo 3 Carattere"/>
    <w:basedOn w:val="1009"/>
    <w:link w:val="100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1027" w:customStyle="1">
    <w:name w:val="Titolo 4 Carattere"/>
    <w:basedOn w:val="1009"/>
    <w:link w:val="100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1028" w:customStyle="1">
    <w:name w:val="Titolo 5 Carattere"/>
    <w:basedOn w:val="1009"/>
    <w:link w:val="1004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1029" w:customStyle="1">
    <w:name w:val="Titolo 6 Carattere"/>
    <w:basedOn w:val="1009"/>
    <w:link w:val="100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30" w:customStyle="1">
    <w:name w:val="Titolo 7 Carattere"/>
    <w:basedOn w:val="1009"/>
    <w:link w:val="100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31" w:customStyle="1">
    <w:name w:val="Titolo 8 Carattere"/>
    <w:basedOn w:val="1009"/>
    <w:link w:val="100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32" w:customStyle="1">
    <w:name w:val="Titolo 9 Carattere"/>
    <w:basedOn w:val="1009"/>
    <w:link w:val="100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33">
    <w:name w:val="Block Text"/>
    <w:basedOn w:val="1012"/>
    <w:next w:val="1012"/>
    <w:uiPriority w:val="9"/>
    <w:unhideWhenUsed/>
    <w:qFormat/>
    <w:pPr>
      <w:pBdr/>
      <w:spacing w:after="100" w:before="100"/>
      <w:ind w:right="480" w:left="480"/>
    </w:pPr>
  </w:style>
  <w:style w:type="paragraph" w:styleId="1034">
    <w:name w:val="footnote text"/>
    <w:basedOn w:val="999"/>
    <w:uiPriority w:val="9"/>
    <w:unhideWhenUsed/>
    <w:qFormat/>
    <w:pPr>
      <w:pBdr/>
      <w:spacing/>
      <w:ind/>
    </w:pPr>
  </w:style>
  <w:style w:type="paragraph" w:styleId="1035" w:customStyle="1">
    <w:name w:val="Footnote Block Text"/>
    <w:basedOn w:val="1034"/>
    <w:next w:val="1034"/>
    <w:uiPriority w:val="9"/>
    <w:unhideWhenUsed/>
    <w:qFormat/>
    <w:pPr>
      <w:pBdr/>
      <w:spacing w:after="100" w:before="100"/>
      <w:ind w:right="480" w:left="480"/>
    </w:pPr>
  </w:style>
  <w:style w:type="table" w:styleId="1036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37" w:customStyle="1">
    <w:name w:val="Definition Term"/>
    <w:basedOn w:val="999"/>
    <w:next w:val="1038"/>
    <w:pPr>
      <w:keepNext w:val="true"/>
      <w:keepLines w:val="true"/>
      <w:pBdr/>
      <w:spacing w:after="0"/>
      <w:ind/>
    </w:pPr>
    <w:rPr>
      <w:b/>
    </w:rPr>
  </w:style>
  <w:style w:type="paragraph" w:styleId="1038" w:customStyle="1">
    <w:name w:val="Definition"/>
    <w:basedOn w:val="999"/>
    <w:pPr>
      <w:pBdr/>
      <w:spacing/>
      <w:ind/>
    </w:pPr>
  </w:style>
  <w:style w:type="paragraph" w:styleId="1039">
    <w:name w:val="Caption"/>
    <w:basedOn w:val="999"/>
    <w:link w:val="1044"/>
    <w:pPr>
      <w:pBdr/>
      <w:spacing w:after="120"/>
      <w:ind/>
    </w:pPr>
    <w:rPr>
      <w:i/>
    </w:rPr>
  </w:style>
  <w:style w:type="paragraph" w:styleId="1040" w:customStyle="1">
    <w:name w:val="Table Caption"/>
    <w:basedOn w:val="1039"/>
    <w:pPr>
      <w:keepNext w:val="true"/>
      <w:pBdr/>
      <w:spacing/>
      <w:ind/>
    </w:pPr>
  </w:style>
  <w:style w:type="paragraph" w:styleId="1041" w:customStyle="1">
    <w:name w:val="Image Caption"/>
    <w:basedOn w:val="1039"/>
    <w:pPr>
      <w:pBdr/>
      <w:spacing/>
      <w:ind/>
    </w:pPr>
  </w:style>
  <w:style w:type="paragraph" w:styleId="1042" w:customStyle="1">
    <w:name w:val="Figure"/>
    <w:basedOn w:val="999"/>
    <w:pPr>
      <w:pBdr/>
      <w:spacing/>
      <w:ind/>
    </w:pPr>
  </w:style>
  <w:style w:type="paragraph" w:styleId="1043" w:customStyle="1">
    <w:name w:val="Captioned Figure"/>
    <w:basedOn w:val="1042"/>
    <w:pPr>
      <w:keepNext w:val="true"/>
      <w:pBdr/>
      <w:spacing/>
      <w:ind/>
    </w:pPr>
  </w:style>
  <w:style w:type="character" w:styleId="1044" w:customStyle="1">
    <w:name w:val="Didascalia Carattere"/>
    <w:basedOn w:val="1009"/>
    <w:link w:val="1039"/>
    <w:pPr>
      <w:pBdr/>
      <w:spacing/>
      <w:ind/>
    </w:pPr>
  </w:style>
  <w:style w:type="character" w:styleId="1045" w:customStyle="1">
    <w:name w:val="Verbatim Char"/>
    <w:basedOn w:val="1044"/>
    <w:link w:val="1050"/>
    <w:pPr>
      <w:pBdr/>
      <w:spacing/>
      <w:ind/>
    </w:pPr>
    <w:rPr>
      <w:rFonts w:ascii="Consolas" w:hAnsi="Consolas"/>
      <w:sz w:val="22"/>
    </w:rPr>
  </w:style>
  <w:style w:type="character" w:styleId="1046" w:customStyle="1">
    <w:name w:val="Section Number"/>
    <w:basedOn w:val="1044"/>
    <w:pPr>
      <w:pBdr/>
      <w:spacing/>
      <w:ind/>
    </w:pPr>
  </w:style>
  <w:style w:type="character" w:styleId="1047">
    <w:name w:val="footnote reference"/>
    <w:basedOn w:val="1044"/>
    <w:pPr>
      <w:pBdr/>
      <w:spacing/>
      <w:ind/>
    </w:pPr>
    <w:rPr>
      <w:vertAlign w:val="superscript"/>
    </w:rPr>
  </w:style>
  <w:style w:type="character" w:styleId="1048">
    <w:name w:val="Hyperlink"/>
    <w:basedOn w:val="1044"/>
    <w:pPr>
      <w:pBdr/>
      <w:spacing/>
      <w:ind/>
    </w:pPr>
    <w:rPr>
      <w:color w:val="156082" w:themeColor="accent1"/>
    </w:rPr>
  </w:style>
  <w:style w:type="paragraph" w:styleId="1049">
    <w:name w:val="TOC Heading"/>
    <w:basedOn w:val="1000"/>
    <w:next w:val="1012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1050" w:customStyle="1">
    <w:name w:val="Source Code"/>
    <w:basedOn w:val="999"/>
    <w:link w:val="1045"/>
    <w:pPr>
      <w:pBdr/>
      <w:spacing/>
      <w:ind/>
    </w:pPr>
  </w:style>
  <w:style w:type="character" w:styleId="1051" w:customStyle="1">
    <w:name w:val="KeywordTok"/>
    <w:basedOn w:val="1045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52" w:customStyle="1">
    <w:name w:val="DataTypeTok"/>
    <w:basedOn w:val="1045"/>
    <w:pPr>
      <w:pBdr/>
      <w:spacing/>
      <w:ind/>
    </w:pPr>
    <w:rPr>
      <w:rFonts w:ascii="Consolas" w:hAnsi="Consolas"/>
      <w:color w:val="902000"/>
      <w:sz w:val="22"/>
    </w:rPr>
  </w:style>
  <w:style w:type="character" w:styleId="1053" w:customStyle="1">
    <w:name w:val="DecValTok"/>
    <w:basedOn w:val="1045"/>
    <w:pPr>
      <w:pBdr/>
      <w:spacing/>
      <w:ind/>
    </w:pPr>
    <w:rPr>
      <w:rFonts w:ascii="Consolas" w:hAnsi="Consolas"/>
      <w:color w:val="40a070"/>
      <w:sz w:val="22"/>
    </w:rPr>
  </w:style>
  <w:style w:type="character" w:styleId="1054" w:customStyle="1">
    <w:name w:val="BaseNTok"/>
    <w:basedOn w:val="1045"/>
    <w:pPr>
      <w:pBdr/>
      <w:spacing/>
      <w:ind/>
    </w:pPr>
    <w:rPr>
      <w:rFonts w:ascii="Consolas" w:hAnsi="Consolas"/>
      <w:color w:val="40a070"/>
      <w:sz w:val="22"/>
    </w:rPr>
  </w:style>
  <w:style w:type="character" w:styleId="1055" w:customStyle="1">
    <w:name w:val="FloatTok"/>
    <w:basedOn w:val="1045"/>
    <w:pPr>
      <w:pBdr/>
      <w:spacing/>
      <w:ind/>
    </w:pPr>
    <w:rPr>
      <w:rFonts w:ascii="Consolas" w:hAnsi="Consolas"/>
      <w:color w:val="40a070"/>
      <w:sz w:val="22"/>
    </w:rPr>
  </w:style>
  <w:style w:type="character" w:styleId="1056" w:customStyle="1">
    <w:name w:val="ConstantTok"/>
    <w:basedOn w:val="1045"/>
    <w:pPr>
      <w:pBdr/>
      <w:spacing/>
      <w:ind/>
    </w:pPr>
    <w:rPr>
      <w:rFonts w:ascii="Consolas" w:hAnsi="Consolas"/>
      <w:color w:val="880000"/>
      <w:sz w:val="22"/>
    </w:rPr>
  </w:style>
  <w:style w:type="character" w:styleId="1057" w:customStyle="1">
    <w:name w:val="CharTok"/>
    <w:basedOn w:val="1045"/>
    <w:pPr>
      <w:pBdr/>
      <w:spacing/>
      <w:ind/>
    </w:pPr>
    <w:rPr>
      <w:rFonts w:ascii="Consolas" w:hAnsi="Consolas"/>
      <w:color w:val="4070a0"/>
      <w:sz w:val="22"/>
    </w:rPr>
  </w:style>
  <w:style w:type="character" w:styleId="1058" w:customStyle="1">
    <w:name w:val="SpecialCharTok"/>
    <w:basedOn w:val="1045"/>
    <w:pPr>
      <w:pBdr/>
      <w:spacing/>
      <w:ind/>
    </w:pPr>
    <w:rPr>
      <w:rFonts w:ascii="Consolas" w:hAnsi="Consolas"/>
      <w:color w:val="4070a0"/>
      <w:sz w:val="22"/>
    </w:rPr>
  </w:style>
  <w:style w:type="character" w:styleId="1059" w:customStyle="1">
    <w:name w:val="StringTok"/>
    <w:basedOn w:val="1045"/>
    <w:pPr>
      <w:pBdr/>
      <w:spacing/>
      <w:ind/>
    </w:pPr>
    <w:rPr>
      <w:rFonts w:ascii="Consolas" w:hAnsi="Consolas"/>
      <w:color w:val="4070a0"/>
      <w:sz w:val="22"/>
    </w:rPr>
  </w:style>
  <w:style w:type="character" w:styleId="1060" w:customStyle="1">
    <w:name w:val="VerbatimStringTok"/>
    <w:basedOn w:val="1045"/>
    <w:pPr>
      <w:pBdr/>
      <w:spacing/>
      <w:ind/>
    </w:pPr>
    <w:rPr>
      <w:rFonts w:ascii="Consolas" w:hAnsi="Consolas"/>
      <w:color w:val="4070a0"/>
      <w:sz w:val="22"/>
    </w:rPr>
  </w:style>
  <w:style w:type="character" w:styleId="1061" w:customStyle="1">
    <w:name w:val="SpecialStringTok"/>
    <w:basedOn w:val="1045"/>
    <w:pPr>
      <w:pBdr/>
      <w:spacing/>
      <w:ind/>
    </w:pPr>
    <w:rPr>
      <w:rFonts w:ascii="Consolas" w:hAnsi="Consolas"/>
      <w:color w:val="bb6688"/>
      <w:sz w:val="22"/>
    </w:rPr>
  </w:style>
  <w:style w:type="character" w:styleId="1062" w:customStyle="1">
    <w:name w:val="ImportTok"/>
    <w:basedOn w:val="1045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1063" w:customStyle="1">
    <w:name w:val="CommentTok"/>
    <w:basedOn w:val="1045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1064" w:customStyle="1">
    <w:name w:val="DocumentationTok"/>
    <w:basedOn w:val="1045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1065" w:customStyle="1">
    <w:name w:val="AnnotationTok"/>
    <w:basedOn w:val="104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66" w:customStyle="1">
    <w:name w:val="CommentVarTok"/>
    <w:basedOn w:val="104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67" w:customStyle="1">
    <w:name w:val="OtherTok"/>
    <w:basedOn w:val="1045"/>
    <w:pPr>
      <w:pBdr/>
      <w:spacing/>
      <w:ind/>
    </w:pPr>
    <w:rPr>
      <w:rFonts w:ascii="Consolas" w:hAnsi="Consolas"/>
      <w:color w:val="007020"/>
      <w:sz w:val="22"/>
    </w:rPr>
  </w:style>
  <w:style w:type="character" w:styleId="1068" w:customStyle="1">
    <w:name w:val="FunctionTok"/>
    <w:basedOn w:val="1045"/>
    <w:pPr>
      <w:pBdr/>
      <w:spacing/>
      <w:ind/>
    </w:pPr>
    <w:rPr>
      <w:rFonts w:ascii="Consolas" w:hAnsi="Consolas"/>
      <w:color w:val="06287e"/>
      <w:sz w:val="22"/>
    </w:rPr>
  </w:style>
  <w:style w:type="character" w:styleId="1069" w:customStyle="1">
    <w:name w:val="VariableTok"/>
    <w:basedOn w:val="1045"/>
    <w:pPr>
      <w:pBdr/>
      <w:spacing/>
      <w:ind/>
    </w:pPr>
    <w:rPr>
      <w:rFonts w:ascii="Consolas" w:hAnsi="Consolas"/>
      <w:color w:val="19177c"/>
      <w:sz w:val="22"/>
    </w:rPr>
  </w:style>
  <w:style w:type="character" w:styleId="1070" w:customStyle="1">
    <w:name w:val="ControlFlowTok"/>
    <w:basedOn w:val="1045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1071" w:customStyle="1">
    <w:name w:val="OperatorTok"/>
    <w:basedOn w:val="1045"/>
    <w:pPr>
      <w:pBdr/>
      <w:spacing/>
      <w:ind/>
    </w:pPr>
    <w:rPr>
      <w:rFonts w:ascii="Consolas" w:hAnsi="Consolas"/>
      <w:color w:val="666666"/>
      <w:sz w:val="22"/>
    </w:rPr>
  </w:style>
  <w:style w:type="character" w:styleId="1072" w:customStyle="1">
    <w:name w:val="BuiltInTok"/>
    <w:basedOn w:val="1045"/>
    <w:pPr>
      <w:pBdr/>
      <w:spacing/>
      <w:ind/>
    </w:pPr>
    <w:rPr>
      <w:rFonts w:ascii="Consolas" w:hAnsi="Consolas"/>
      <w:color w:val="008000"/>
      <w:sz w:val="22"/>
    </w:rPr>
  </w:style>
  <w:style w:type="character" w:styleId="1073" w:customStyle="1">
    <w:name w:val="ExtensionTok"/>
    <w:basedOn w:val="1045"/>
    <w:pPr>
      <w:pBdr/>
      <w:spacing/>
      <w:ind/>
    </w:pPr>
    <w:rPr>
      <w:rFonts w:ascii="Consolas" w:hAnsi="Consolas"/>
      <w:sz w:val="22"/>
    </w:rPr>
  </w:style>
  <w:style w:type="character" w:styleId="1074" w:customStyle="1">
    <w:name w:val="PreprocessorTok"/>
    <w:basedOn w:val="1045"/>
    <w:pPr>
      <w:pBdr/>
      <w:spacing/>
      <w:ind/>
    </w:pPr>
    <w:rPr>
      <w:rFonts w:ascii="Consolas" w:hAnsi="Consolas"/>
      <w:color w:val="bc7a00"/>
      <w:sz w:val="22"/>
    </w:rPr>
  </w:style>
  <w:style w:type="character" w:styleId="1075" w:customStyle="1">
    <w:name w:val="AttributeTok"/>
    <w:basedOn w:val="1045"/>
    <w:pPr>
      <w:pBdr/>
      <w:spacing/>
      <w:ind/>
    </w:pPr>
    <w:rPr>
      <w:rFonts w:ascii="Consolas" w:hAnsi="Consolas"/>
      <w:color w:val="7d9029"/>
      <w:sz w:val="22"/>
    </w:rPr>
  </w:style>
  <w:style w:type="character" w:styleId="1076" w:customStyle="1">
    <w:name w:val="RegionMarkerTok"/>
    <w:basedOn w:val="1045"/>
    <w:pPr>
      <w:pBdr/>
      <w:spacing/>
      <w:ind/>
    </w:pPr>
    <w:rPr>
      <w:rFonts w:ascii="Consolas" w:hAnsi="Consolas"/>
      <w:sz w:val="22"/>
    </w:rPr>
  </w:style>
  <w:style w:type="character" w:styleId="1077" w:customStyle="1">
    <w:name w:val="InformationTok"/>
    <w:basedOn w:val="104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78" w:customStyle="1">
    <w:name w:val="WarningTok"/>
    <w:basedOn w:val="104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1079" w:customStyle="1">
    <w:name w:val="AlertTok"/>
    <w:basedOn w:val="1045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80" w:customStyle="1">
    <w:name w:val="ErrorTok"/>
    <w:basedOn w:val="1045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1081" w:customStyle="1">
    <w:name w:val="NormalTok"/>
    <w:basedOn w:val="1045"/>
    <w:pPr>
      <w:pBdr/>
      <w:spacing/>
      <w:ind/>
    </w:pPr>
    <w:rPr>
      <w:rFonts w:ascii="Consolas" w:hAnsi="Consolas"/>
      <w:sz w:val="22"/>
    </w:rPr>
  </w:style>
  <w:style w:type="paragraph" w:styleId="1082">
    <w:name w:val="Header"/>
    <w:basedOn w:val="999"/>
    <w:link w:val="1083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83" w:customStyle="1">
    <w:name w:val="Intestazione Carattere"/>
    <w:basedOn w:val="1009"/>
    <w:link w:val="1082"/>
    <w:uiPriority w:val="99"/>
    <w:pPr>
      <w:pBdr/>
      <w:spacing/>
      <w:ind/>
    </w:pPr>
  </w:style>
  <w:style w:type="paragraph" w:styleId="1084">
    <w:name w:val="Footer"/>
    <w:basedOn w:val="999"/>
    <w:link w:val="1085"/>
    <w:uiPriority w:val="99"/>
    <w:pPr>
      <w:pBdr/>
      <w:tabs>
        <w:tab w:val="center" w:leader="none" w:pos="4819"/>
        <w:tab w:val="right" w:leader="none" w:pos="9638"/>
      </w:tabs>
      <w:spacing w:after="0"/>
      <w:ind/>
    </w:pPr>
  </w:style>
  <w:style w:type="character" w:styleId="1085" w:customStyle="1">
    <w:name w:val="Piè di pagina Carattere"/>
    <w:basedOn w:val="1009"/>
    <w:link w:val="1084"/>
    <w:uiPriority w:val="99"/>
    <w:pPr>
      <w:pBdr/>
      <w:spacing/>
      <w:ind/>
    </w:pPr>
  </w:style>
  <w:style w:type="table" w:styleId="1086">
    <w:name w:val="Table Grid"/>
    <w:basedOn w:val="1010"/>
    <w:pPr>
      <w:pBdr/>
      <w:spacing w:after="0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7">
    <w:name w:val="toc 1"/>
    <w:basedOn w:val="999"/>
    <w:next w:val="999"/>
    <w:uiPriority w:val="39"/>
    <w:pPr>
      <w:pBdr/>
      <w:spacing w:after="100"/>
      <w:ind/>
    </w:pPr>
  </w:style>
  <w:style w:type="paragraph" w:styleId="1088">
    <w:name w:val="toc 2"/>
    <w:basedOn w:val="999"/>
    <w:next w:val="999"/>
    <w:uiPriority w:val="39"/>
    <w:pPr>
      <w:pBdr/>
      <w:spacing w:after="100"/>
      <w:ind w:left="240"/>
    </w:pPr>
  </w:style>
  <w:style w:type="paragraph" w:styleId="1089">
    <w:name w:val="toc 3"/>
    <w:basedOn w:val="999"/>
    <w:next w:val="999"/>
    <w:uiPriority w:val="39"/>
    <w:pPr>
      <w:pBdr/>
      <w:spacing w:after="100"/>
      <w:ind w:left="480"/>
    </w:pPr>
  </w:style>
  <w:style w:type="table" w:styleId="1090">
    <w:name w:val="Plain Table 1"/>
    <w:basedOn w:val="1010"/>
    <w:pPr>
      <w:pBdr/>
      <w:spacing w:after="0"/>
      <w:ind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themeShade="B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1">
    <w:name w:val="List Paragraph"/>
    <w:basedOn w:val="999"/>
    <w:pPr>
      <w:pBdr/>
      <w:spacing/>
      <w:ind w:left="720"/>
      <w:contextualSpacing w:val="true"/>
    </w:pPr>
  </w:style>
  <w:style w:type="character" w:styleId="1092" w:customStyle="1">
    <w:name w:val="Corpo testo Carattere"/>
    <w:basedOn w:val="1009"/>
    <w:link w:val="101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comments" Target="comments.xml" /><Relationship Id="rId18" Type="http://schemas.microsoft.com/office/2011/relationships/commentsExtended" Target="commentsExtended.xml" /><Relationship Id="rId19" Type="http://schemas.microsoft.com/office/2018/08/relationships/commentsExtensible" Target="commentsExtensible.xml" /><Relationship Id="rId20" Type="http://schemas.microsoft.com/office/2016/09/relationships/commentsIds" Target="commentsIds.xml" /><Relationship Id="rId21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dc:language>it</dc:language>
  <cp:lastModifiedBy>Francesco Scavello</cp:lastModifiedBy>
  <cp:revision>5</cp:revision>
  <dcterms:created xsi:type="dcterms:W3CDTF">2025-10-15T14:42:00Z</dcterms:created>
  <dcterms:modified xsi:type="dcterms:W3CDTF">2025-10-29T07:49:08Z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