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word/header3.xml" ContentType="application/vnd.openxmlformats-officedocument.wordprocessingml.header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55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55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55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55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IO-05: Istruzioni in Caso di Emergenza Incendio </w:t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e</w:t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 Evacuazione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128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55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55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55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55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55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55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55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55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55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55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Bdr/>
        <w:spacing/>
        <w:ind/>
        <w:rPr/>
      </w:pPr>
      <w:r/>
      <w:bookmarkStart w:id="2" w:name="citations"/>
      <w:r/>
      <w:bookmarkEnd w:id="0"/>
      <w:r/>
      <w:bookmarkEnd w:id="1"/>
      <w:r>
        <w:br w:type="page" w:clear="all"/>
      </w:r>
      <w:r/>
    </w:p>
    <w:p>
      <w:pPr>
        <w:pStyle w:val="1046"/>
        <w:numPr>
          <w:ilvl w:val="0"/>
          <w:numId w:val="0"/>
        </w:numPr>
        <w:pBdr/>
        <w:spacing/>
        <w:ind w:hanging="1008" w:left="1008"/>
        <w:rPr/>
      </w:pPr>
      <w:r/>
      <w:bookmarkStart w:id="3" w:name="X414389dae9248ec8cd47ddc8e869cd031f1250f"/>
      <w:r>
        <w:t xml:space="preserve">Versione per affissione (sintesi) – </w:t>
      </w:r>
      <w:r>
        <w:rPr>
          <w:b/>
          <w:bCs/>
        </w:rPr>
        <w:t xml:space="preserve">COSA FARE IN CASO DI INCENDIO</w:t>
      </w:r>
      <w:r/>
    </w:p>
    <w:p>
      <w:pPr>
        <w:pStyle w:val="105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Allarme Immediato:</w:t>
      </w:r>
      <w:r>
        <w:t xml:space="preserve"> Se vedi fumo o fiamme, </w:t>
      </w:r>
      <w:r>
        <w:rPr>
          <w:i/>
          <w:iCs/>
        </w:rPr>
        <w:t xml:space="preserve">grida “AL FUOCO!”</w:t>
      </w:r>
      <w:r>
        <w:t xml:space="preserve"> e attiva l’allarme antincendio (pulsante a muro o interruttore sirena se presente). Avvisa un Addetto Antincendio del reparto.</w:t>
      </w:r>
      <w:r/>
    </w:p>
    <w:p>
      <w:pPr>
        <w:pStyle w:val="105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Chiamata Soccorsi:</w:t>
      </w:r>
      <w:r>
        <w:t xml:space="preserve"> Telefona al centralino/port</w:t>
      </w:r>
      <w:r>
        <w:t xml:space="preserve">ineria </w:t>
      </w:r>
      <w:r>
        <w:t xml:space="preserve">(090 9707330) indicando dove è l’incendio. La portineria chiamerà il 115 (Vigili del Fuoco) se l’incendio è oltre capacità di spegnimento interno. Se sei isolato e hai telefono cellulare, chiama direttamente il 115 (o 112) indicando: “Incendio presso </w:t>
      </w:r>
      <w:r>
        <w:t xml:space="preserve">Agrumigel</w:t>
      </w:r>
      <w:r>
        <w:t xml:space="preserve"> </w:t>
      </w:r>
      <w:r>
        <w:t xml:space="preserve">srl</w:t>
      </w:r>
      <w:r>
        <w:t xml:space="preserve">, [C.da Girotta – Barcellona P.G (ME)], stabilimento lavorazione agrumi, zona [specifica]”.</w:t>
      </w:r>
      <w:r/>
    </w:p>
    <w:p>
      <w:pPr>
        <w:pStyle w:val="105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Spegnimento Iniziale (solo se sicuro):</w:t>
      </w:r>
      <w:r>
        <w:t xml:space="preserve"> Gli Addetti Antincendio provano a spegnere un principio d’incendio </w:t>
      </w:r>
      <w:r>
        <w:rPr>
          <w:b/>
          <w:bCs/>
        </w:rPr>
        <w:t xml:space="preserve">solo se di piccole dimensioni e se non c’è rischio immediato</w:t>
      </w:r>
      <w:r>
        <w:t xml:space="preserve">. Usa l’estintore adatto: CO₂ per fuochi elettrici/quadro, polvere per liquidi o fuochi generali. Mantieni distanza 2-3 m, punta alla base delle fiamme, scarica in modo continuo. </w:t>
      </w:r>
      <w:r>
        <w:rPr>
          <w:b/>
          <w:bCs/>
        </w:rPr>
        <w:t xml:space="preserve">Non</w:t>
      </w:r>
      <w:r>
        <w:t xml:space="preserve"> tentare di spegnere se il fuoco è già grande, se c’è molto fumo denso o se non sei addestrato: in questi casi, chiudi la porta della zona in fiamme se possibile ed </w:t>
      </w:r>
      <w:r>
        <w:rPr>
          <w:i/>
          <w:iCs/>
        </w:rPr>
        <w:t xml:space="preserve">evacua</w:t>
      </w:r>
      <w:r>
        <w:t xml:space="preserve">.</w:t>
      </w:r>
      <w:r/>
    </w:p>
    <w:p>
      <w:pPr>
        <w:pStyle w:val="105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Evacuazione Ordinata:</w:t>
      </w:r>
      <w:r>
        <w:t xml:space="preserve"> Quando </w:t>
      </w:r>
      <w:r>
        <w:t xml:space="preserve">suona l’allarme evacuazione (sirena intermittente) o su ordine di un responsabile: interrompi immediatamente il lavoro, lascia tutto dov’è, togli corrente se facile (es. spegni fornello, stacca macchina con pulsante emergenza) e dirigiti con calma verso l’</w:t>
      </w:r>
      <w:r>
        <w:rPr>
          <w:b/>
          <w:bCs/>
        </w:rPr>
        <w:t xml:space="preserve">Uscita di Emergenza</w:t>
      </w:r>
      <w:r>
        <w:t xml:space="preserve"> più vicina. Non correre, ma muoviti speditamente. Aiuta eventuali colleghi con mobilità ridotta. Non usare ascensori (se presenti).</w:t>
      </w:r>
      <w:r/>
    </w:p>
    <w:p>
      <w:pPr>
        <w:pStyle w:val="105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Punto di Raccolta:</w:t>
      </w:r>
      <w:r>
        <w:t xml:space="preserve"> Raggiungi l’area di raccolta designata </w:t>
      </w:r>
      <w:r>
        <w:rPr>
          <w:highlight w:val="none"/>
        </w:rPr>
        <w:t xml:space="preserve">(cartello verde “Punto di Raccolta” nel piazzale centrale)</w:t>
      </w:r>
      <w:r>
        <w:rPr>
          <w:highlight w:val="none"/>
        </w:rPr>
        <w:t xml:space="preserve">.</w:t>
      </w:r>
      <w:r>
        <w:t xml:space="preserve"> Rimani lì con il tuo gruppo di reparto. I preposti faranno l’appello, </w:t>
      </w:r>
      <w:r>
        <w:rPr>
          <w:i/>
          <w:iCs/>
        </w:rPr>
        <w:t xml:space="preserve">non</w:t>
      </w:r>
      <w:r>
        <w:t xml:space="preserve"> andartene finché non viene dato il permesso. Segnala se mancasse qualcuno che sai era in stabilimento.</w:t>
      </w:r>
      <w:r/>
    </w:p>
    <w:p>
      <w:pPr>
        <w:pStyle w:val="105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Divieti durante emergenza:</w:t>
      </w:r>
      <w:r>
        <w:t xml:space="preserve"> Non tornare indietro a prendere oggetti personali o per nessun motivo. Non aprire porte calde (potrebbe esserci fuoco dietro). Non gettare acqua su olio in fiamme (usa estintore a polvere). Non bloccare le vie di fuga con veicoli o altro.</w:t>
      </w:r>
      <w:r/>
    </w:p>
    <w:p>
      <w:pPr>
        <w:pStyle w:val="105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Se intrappolato dal fumo:</w:t>
      </w:r>
      <w:r>
        <w:t xml:space="preserve"> St</w:t>
      </w:r>
      <w:r>
        <w:t xml:space="preserve">riscia sul pavimento dove l’aria è più respirabile. Copri naso e bocca con un panno umido se possibile. Chiama aiuto al telefono e segnala la tua posizione. Se in una stanza, sigilla fessure sotto porta con panni bagnati e attira attenzione dalla finestra.</w:t>
      </w:r>
      <w:r/>
    </w:p>
    <w:p>
      <w:pPr>
        <w:pStyle w:val="105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Dopo l’evacuazione:</w:t>
      </w:r>
      <w:r>
        <w:t xml:space="preserve"> Rimani al punto di raccolta finché i Vigili del Fuoco</w:t>
      </w:r>
      <w:r>
        <w:t xml:space="preserve"> o il Coordinatore Emergenza dichiarano “tutto sicuro”. Non rientrare in edificio finché autorizzato. Se sei a conoscenza di particolari materiali pericolosi nella zona incendio, informa i soccorritori (es. “c’è ammoniaca nel container dietro quell’area”).</w:t>
      </w:r>
      <w:bookmarkEnd w:id="3"/>
      <w:r/>
      <w:r/>
    </w:p>
    <w:p>
      <w:pPr>
        <w:pBdr/>
        <w:spacing/>
        <w:ind/>
        <w:rPr>
          <w:rFonts w:eastAsiaTheme="majorEastAsia" w:cstheme="majorBidi"/>
          <w:color w:val="0f4761" w:themeColor="accent1" w:themeShade="BF"/>
        </w:rPr>
      </w:pPr>
      <w:r>
        <w:br w:type="page" w:clear="all"/>
      </w:r>
      <w:r>
        <w:rPr>
          <w:rFonts w:eastAsiaTheme="majorEastAsia" w:cstheme="majorBidi"/>
          <w:color w:val="0f4761" w:themeColor="accent1" w:themeShade="BF"/>
        </w:rPr>
      </w:r>
      <w:r>
        <w:rPr>
          <w:rFonts w:eastAsiaTheme="majorEastAsia" w:cstheme="majorBidi"/>
          <w:color w:val="0f4761" w:themeColor="accent1" w:themeShade="BF"/>
        </w:rPr>
      </w:r>
    </w:p>
    <w:p>
      <w:pPr>
        <w:pStyle w:val="1046"/>
        <w:numPr>
          <w:ilvl w:val="0"/>
          <w:numId w:val="0"/>
        </w:numPr>
        <w:pBdr/>
        <w:spacing/>
        <w:ind w:hanging="1008" w:left="1008"/>
        <w:rPr/>
      </w:pPr>
      <w:r>
        <w:t xml:space="preserve">Versione estesa – </w:t>
      </w:r>
      <w:r>
        <w:rPr>
          <w:b/>
          <w:bCs/>
        </w:rPr>
        <w:t xml:space="preserve">Istruzioni Operative per Gestione Emergenza Incendio ed Evacuazione</w:t>
      </w:r>
      <w:r/>
    </w:p>
    <w:p>
      <w:pPr>
        <w:pStyle w:val="1055"/>
        <w:pBdr/>
        <w:spacing/>
        <w:ind/>
        <w:rPr/>
      </w:pPr>
      <w:r>
        <w:rPr>
          <w:b/>
          <w:bCs/>
        </w:rPr>
        <w:t xml:space="preserve">Premessa:</w:t>
      </w:r>
      <w:r>
        <w:t xml:space="preserve"> Queste istruzioni integrano la PROC-01 (Gestione Emergenze), focalizzandosi sullo scenario incendio </w:t>
      </w:r>
      <w:r>
        <w:t xml:space="preserve">e</w:t>
      </w:r>
      <w:r>
        <w:t xml:space="preserve"> evacuazione. Ogni lavoratore deve conoscerle a memoria, poiché la reazione rapida e appropriata a un principio d’incendio può salvare vite e ridurre i danni. La presente IO dettaglia i comportamenti attesi prima, durante e dopo un incendio.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Prevenzione e preparazione (prima dell’emergenza):</w:t>
      </w:r>
      <w:r>
        <w:t xml:space="preserve"> - Conosci il tuo ambiente: </w:t>
      </w:r>
      <w:r>
        <w:rPr>
          <w:i/>
          <w:iCs/>
        </w:rPr>
        <w:t xml:space="preserve">Individua sempre almeno due vie di uscita</w:t>
      </w:r>
      <w:r>
        <w:t xml:space="preserve"> dall’area in cui lavori (porta principale e uscita di emergenza secondaria). Nota dov’è il punto di raccolta per la tua zona (nel Piano di Emergenza ci sono mappe affisse). - </w:t>
      </w:r>
      <w:r>
        <w:rPr>
          <w:i/>
          <w:iCs/>
        </w:rPr>
        <w:t xml:space="preserve">Estintori e Idranti:</w:t>
      </w:r>
      <w:r>
        <w:t xml:space="preserve"> Sappi dove sono gli estintori più vicini al tuo posto e di che tipo sono (a CO₂ – bombola senza mano</w:t>
      </w:r>
      <w:r>
        <w:t xml:space="preserve">metro, a polvere – serbatoio rosso con manometro, etc.). In azienda di solito: CO₂ in sala quadri elettrici, polvere 6kg e 9kg nei reparti generali, idranti a cassetta nei corridoi principali. Solo gli addetti formati dovrebbero usarli, ma in emergenza se </w:t>
      </w:r>
      <w:r>
        <w:t xml:space="preserve">sei isolato</w:t>
      </w:r>
      <w:r>
        <w:t xml:space="preserve"> potresti averne bisogno – quindi guardali in anticipo. - </w:t>
      </w:r>
      <w:r>
        <w:rPr>
          <w:i/>
          <w:iCs/>
        </w:rPr>
        <w:t xml:space="preserve">Allarmi:</w:t>
      </w:r>
      <w:r>
        <w:t xml:space="preserve"> Il suono di allarme evacuazione è una sirena intermittente</w:t>
      </w:r>
      <w:r>
        <w:rPr>
          <w:highlight w:val="none"/>
        </w:rPr>
        <w:t xml:space="preserve"> (prove di solito eseguite </w:t>
      </w:r>
      <w:r>
        <w:rPr>
          <w:highlight w:val="none"/>
        </w:rPr>
        <w:t xml:space="preserve">2</w:t>
      </w:r>
      <w:r>
        <w:rPr>
          <w:highlight w:val="none"/>
        </w:rPr>
        <w:t xml:space="preserve"> volte/anno).</w:t>
      </w:r>
      <w:r>
        <w:t xml:space="preserve"> Familiarizza con quel suono.</w:t>
      </w:r>
      <w:r>
        <w:t xml:space="preserve"> - </w:t>
      </w:r>
      <w:r>
        <w:rPr>
          <w:i/>
          <w:iCs/>
        </w:rPr>
        <w:t xml:space="preserve">Addetti Emergenza:</w:t>
      </w:r>
      <w:r>
        <w:t xml:space="preserve"> Sai chi è l’Addetto Antincendio del tuo reparto? (Nomi esposti in bacheca sicurezza). In caso vedi fuoco, oltre ad attivare sirena, cerca se possibile quell’addetto per informarlo, poiché ha formazione specifica. - </w:t>
      </w:r>
      <w:r>
        <w:rPr>
          <w:i/>
          <w:iCs/>
        </w:rPr>
        <w:t xml:space="preserve">Evita i rischi:</w:t>
      </w:r>
      <w:r>
        <w:t xml:space="preserve"> In generale, prevenire incendi: rispetta i divieti di fumare (fumare solo in area fumatori esterna con posacen</w:t>
      </w:r>
      <w:r>
        <w:t xml:space="preserve">ere); non ostruire apparecchiature elettriche con materiali combustibili; segnalare cavi sfilacciati o odore di bruciato da macchine; non accumulare polvere o rifiuti infiammabili; conserva le sostanze infiammabili nei loro armadi (es. solventi lab QC). - </w:t>
      </w:r>
      <w:r>
        <w:rPr>
          <w:i/>
          <w:iCs/>
        </w:rPr>
        <w:t xml:space="preserve">Formazione:</w:t>
      </w:r>
      <w:r>
        <w:t xml:space="preserve"> Partecipa alle esercitazioni di evacuazione e prendi sul serio le istruzioni date. Durante le prove, simula come se fosse reale (es. chiudi porte, fai appello, ecc.) – serve ad essere pronti.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Rilevazione incendio:</w:t>
      </w:r>
      <w:r>
        <w:t xml:space="preserve"> Chiunque noti un principio di incendio (fiamme, scintille, fumo, odore forte di bruciato) deve reagire immediatamente. Non pensare che “lo farà qualcun altro”: </w:t>
      </w:r>
      <w:r>
        <w:rPr>
          <w:i/>
          <w:iCs/>
        </w:rPr>
        <w:t xml:space="preserve">il primo che vede allerta</w:t>
      </w:r>
      <w:r>
        <w:t xml:space="preserve">. - Se l’incendio è evidente e pericoloso (es. fiamme alte oltre 1 me</w:t>
      </w:r>
      <w:r>
        <w:t xml:space="preserve">tro, fuoco già diffuso su più materiali): la priorità è EVACUARE e chiamare soccorsi, non provare a spegnere da soli. - Se è piccolo (es. cestino che brucia, macchina che inizia a fumare) e hai un estintore a portata, valutando di non mettere a rischio la </w:t>
      </w:r>
      <w:r>
        <w:t xml:space="preserve">tua incolumità, puoi tentare un rapido spegnimento. Procedi comunque dopo aver gridato allarme (così altri vengono a supporto ed eventualmente chiamano aiuto se peggiora). Importante: prima di aprire una porta di un locale chiuso da cui sospetti incendio, </w:t>
      </w:r>
      <w:r>
        <w:rPr>
          <w:i/>
          <w:iCs/>
        </w:rPr>
        <w:t xml:space="preserve">tocca la maniglia/dorso porta</w:t>
      </w:r>
      <w:r>
        <w:t xml:space="preserve">: se è calda, non aprire (presenza di fuoco dietro: aprire alimenterebbe con ossigeno e potrebbe investire con vampata).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Attivazione Allarme e chiamata:</w:t>
      </w:r>
      <w:r>
        <w:t xml:space="preserve"> - </w:t>
      </w:r>
      <w:r>
        <w:t xml:space="preserve">Agrumigel</w:t>
      </w:r>
      <w:r>
        <w:t xml:space="preserve"> ha allarm</w:t>
      </w:r>
      <w:r>
        <w:t xml:space="preserve">i manuali (non sistema automatico). Quindi spetta a noi dare l’allarme. I pulsanti rossi di allarme (tipo “rompi vetro”) sono situati presso le uscite principali. Premendoli suona la sirena generale. Se non c’è pulsante vicino, urlare e utilizzare un telef</w:t>
      </w:r>
      <w:r>
        <w:t xml:space="preserve">ono. - Sequenza chiamata tipica: addetto antincendio X chiama centralino: “Incendio in sala evaporatori, stiamo evacuando, c’è fuoco a macchinario Y”. La portineria chiama i VVF fornendo indirizzo e dettagli.</w:t>
      </w:r>
      <w:r>
        <w:t xml:space="preserve"> - Dare informazioni chiare: </w:t>
      </w:r>
      <w:r>
        <w:rPr>
          <w:i/>
          <w:iCs/>
        </w:rPr>
        <w:t xml:space="preserve">cosa brucia</w:t>
      </w:r>
      <w:r>
        <w:t xml:space="preserve"> (olio? impianto elettrico? imballaggi?), </w:t>
      </w:r>
      <w:r>
        <w:rPr>
          <w:i/>
          <w:iCs/>
        </w:rPr>
        <w:t xml:space="preserve">c’è qualcuno dentro?</w:t>
      </w:r>
      <w:r>
        <w:t xml:space="preserve"> (persona intrappolata se nota), </w:t>
      </w:r>
      <w:r>
        <w:rPr>
          <w:i/>
          <w:iCs/>
        </w:rPr>
        <w:t xml:space="preserve">difficoltà accesso?</w:t>
      </w:r>
      <w:r>
        <w:t xml:space="preserve"> (es. portone chiuso?). Questo aiuta i VVF a prepararsi. - Nota</w:t>
      </w:r>
      <w:r>
        <w:t xml:space="preserve">: segnalazione incendi all’ente pubblico deve essere fatta rapidamente: un ritardo potrebbe far allargare troppo il fuoco. Non aver paura di “disturbare” i VVF, preferiscono intervenire e magari trovare fuoco già spento piuttosto che essere chiamati tardi.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Spegnimento iniziale – linee guida per addetti:</w:t>
      </w:r>
      <w:r>
        <w:t xml:space="preserve"> Gli Addetti Antincendio sono formati e sanno come scegliere estintore e attaccare il fuoco. Questa IO serve come ripasso: - Approccio: mai da soli – se po</w:t>
      </w:r>
      <w:r>
        <w:t xml:space="preserve">ssibile in due (uno estingue, l’altro supporta col secondo estintore o pronto a chiamare stop). - Tenere via di fuga alle spalle (non chiudersi in angolo rispetto fuoco). - Non gettare acqua su liquidi infiammabili o su impianti elettrici sotto tensione: r</w:t>
      </w:r>
      <w:r>
        <w:t xml:space="preserve">ischio flash o estensione fuoco. Per liquidi, usare polvere o schiuma; per elettrico CO₂. - Un estintore portatile dura pochi secondi (10-20s di getto continuo), quindi colpire in modo efficace. - Se il fuoco non si estingue dopo aver usato 1-2 estintori, </w:t>
      </w:r>
      <w:r>
        <w:rPr>
          <w:i/>
          <w:iCs/>
        </w:rPr>
        <w:t xml:space="preserve">non insistere</w:t>
      </w:r>
      <w:r>
        <w:t xml:space="preserve">, significa che è troppo grande: evacuare. - Idranti: l’uso richiede almeno </w:t>
      </w:r>
      <w:r>
        <w:t xml:space="preserve">2</w:t>
      </w:r>
      <w:r>
        <w:t xml:space="preserve"> persone (una manovra lancia, l’altra apre valvola e regge la manichetta). Attenzione: la pr</w:t>
      </w:r>
      <w:r>
        <w:t xml:space="preserve">essione può fare sbandare la lancia – buon ancoraggio. Non allagare troppo, l’acqua in eccesso può danneggiare impianti elettrici e reagire con sostanze; usarla con giudizio. - Quando decidi di abbandonare: chiudi le porte se ultimo ad uscire da quell’area</w:t>
      </w:r>
      <w:r>
        <w:t xml:space="preserve"> per soffocare fuoco (ma sblocca se c’è persona ancora dentro). I non addetti dovrebbero collaborare liberando vie e portando eventuali estintori supplementari se richiesto dall’addetto. Se un addetto chiede di allontanarsi, farlo subito (non intralciare).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Evacuazione generale:</w:t>
      </w:r>
      <w:r>
        <w:t xml:space="preserve"> All’ordine di evacuazione (sirena o voce preposto), tutti i reparti eseguono il deflusso: - Addetti designati (preposti) recuperano il registro presenze (se applicabi</w:t>
      </w:r>
      <w:r>
        <w:t xml:space="preserve">le) e controllano rapidamente il proprio settore per assicurarsi che nessuno rimane (es. bagni, stanze secondarie). Esempio: Preposto confezionamento urla “Evacuare!” e controlla </w:t>
      </w:r>
      <w:r>
        <w:rPr>
          <w:highlight w:val="none"/>
        </w:rPr>
        <w:t xml:space="preserve">spogliatoio </w:t>
      </w:r>
      <w:r>
        <w:rPr>
          <w:highlight w:val="none"/>
        </w:rPr>
        <w:t xml:space="preserve">apren</w:t>
      </w:r>
      <w:r>
        <w:t xml:space="preserve">do e gridando, poi esce. Non perdere più di </w:t>
      </w:r>
      <w:r>
        <w:t xml:space="preserve">10</w:t>
      </w:r>
      <w:r>
        <w:t xml:space="preserve"> secondi – se q</w:t>
      </w:r>
      <w:r>
        <w:t xml:space="preserve">ualcuno incosciente, segnalarlo e se possibile aiutarlo se condizioni permettono, altrimenti riferire ai soccorsi. - I lavoratori si mettono in fila ordinata, senza spingere. Se c’è fumo nel percorso, procedere bassi. - Usare sempre le scale per scendere, </w:t>
      </w:r>
      <w:r>
        <w:rPr>
          <w:i/>
          <w:iCs/>
        </w:rPr>
        <w:t xml:space="preserve">mai ascensore</w:t>
      </w:r>
      <w:r>
        <w:t xml:space="preserve">. Per salire (es. se uscite a livello superiore sono uniche disponibili, come a volte succede), fare attenzione che l’incendio non sia sopra. In genere, muoversi in </w:t>
      </w:r>
      <w:r>
        <w:rPr>
          <w:highlight w:val="none"/>
        </w:rPr>
        <w:t xml:space="preserve">direzione </w:t>
      </w:r>
      <w:r>
        <w:t xml:space="preserve">op</w:t>
      </w:r>
      <w:r>
        <w:t xml:space="preserve">posta a fumo/calore. - Una volta fuori, recarsi al punto di raccolta presente (piazzale centrale, cartello e segnaletica verde). </w:t>
      </w:r>
      <w:r>
        <w:t xml:space="preserve">- Al punto di raccolta, il Responsabile o Pr</w:t>
      </w:r>
      <w:r>
        <w:t xml:space="preserve">eposto fa l’appello con l’elenco lavoratori, visitatori e appaltatori (il registro visitatori dal front office dev’essere portato all’esterno anche). Consegna il risultato dell’appello al Coordinatore Emergenza (di solito il Datore di Lavoro o delegato pre</w:t>
      </w:r>
      <w:r>
        <w:t xml:space="preserve">sente) per informare i VVF se qualcuno risulta disperso. - Non allontanarsi: i VVF potrebbero voler fare domande testimoni o assicurarsi di numero evacuati. Inoltre, se ti allontani e nessuno ti vede, potresti essere erroneamente cercato come intrappolato.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Ruoli nella gestione sul campo:</w:t>
      </w:r>
      <w:r>
        <w:t xml:space="preserve"> - Coordinatore Emergenza: identifica sé stesso con giubbotto (se disponibile) e dirige l</w:t>
      </w:r>
      <w:r>
        <w:t xml:space="preserve">e operazioni, in attesa VVF. Colleziona info da preposti (chi manca, dove fuoco, che rischi). Decide se sezionare gas/metano generali e corrente (ha planimetria di comandi centralizzati). Interfaccia con VVF all’arrivo, consegnando il DVR (dovrebbe averlo </w:t>
      </w:r>
      <w:r>
        <w:t xml:space="preserve">in copia cartacea predisposta) e specifica eventuali aree con sostanze chimiche (es. “c’è un serbatoio di ammoniaca a 30m dal focolaio, per ora intatto”). - Addetti antincendio: come detto, eseguono primo intervento se possibile e poi assistono i VVF (es. </w:t>
      </w:r>
      <w:r>
        <w:t xml:space="preserve">indicando dove attacchi idranti, valvole taglia fluidi). - Addetti primo soccorso: preparano area pronto soccorso esterna (kit, eventuale punto raccolta feriti). Se c’è un ferito (ustione, intossicazione fumo), intervengono con priorità (coprire ustioni co</w:t>
      </w:r>
      <w:r>
        <w:t xml:space="preserve">n panni puliti umidi, praticare respirazione se arresto, ecc.). - RLS: tipicamente evacuato come altri, può aiutare nell’appello e nel mantenere la calma tra i lavoratori al punto raccolta. - Tutti gli altri: ascoltano e seguono istruzioni di chi coordina.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Casistiche particolari durante evacuazione:</w:t>
      </w:r>
      <w:r>
        <w:t xml:space="preserve"> - Persona che prende fuoco agli abiti: “roll stop and roll” – la persona deve buttarsi a terra e rotolare per soffocare fiamme; altri possono coprirla con giaccone o usare estintor</w:t>
      </w:r>
      <w:r>
        <w:t xml:space="preserve">e a CO₂ (non polvere su persona per quanto possibile). Dopo, infortunato con ustioni andrà trattato come da PS. - Gas pericolosi: se l’incendio coinvolge ammoniaca (refrigerazione) o altre sostanze chimiche tossiche, potrebbe esser dato ordine di evacuare </w:t>
      </w:r>
      <w:r>
        <w:rPr>
          <w:i/>
          <w:iCs/>
        </w:rPr>
        <w:t xml:space="preserve">anche al di fuori</w:t>
      </w:r>
      <w:r>
        <w:t xml:space="preserve"> e radunarsi in un luogo sopravento. Dipende dalla direzione vento</w:t>
      </w:r>
      <w:r>
        <w:t xml:space="preserve">; Coordinatore verificherà con VVF. In generale, se senti odori acri o irritazione mentre evacui, proteggi vie respiratorie con tessuto e segnala una possibile nube chimica. - Incendio notturno con pochi presenti: i</w:t>
      </w:r>
      <w:r>
        <w:t xml:space="preserve"> 2-3 operai di turno notturno evacuano subito e vanno al punto di raccolta.</w:t>
      </w:r>
      <w:r>
        <w:t xml:space="preserve"> - Post-evacuazione gestione: se l’incendio è spento, prima di rientrare i VVF controllano la sicurezza (es. monossido, eventuali braci). Il Coordinatore dichiarerà fine emergenza solo dopo loro OK. Poi inizia fase di verifica danni e inchiesta interna.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Dopo l’emergenza:</w:t>
      </w:r>
      <w:r>
        <w:t xml:space="preserve"> - Assist infortunati: assicurarsi che chi ha inalato fumo venga visitato (anche se sta bene, monitorare). - Informare autorità competenti oltre VVF se incidenti: a</w:t>
      </w:r>
      <w:r>
        <w:t xml:space="preserve">d esempio, se c’è stato infortunio grave, ASL; se danni ambientali (sversamento) ARPA; legale se danni ingenti. - Ripristino: rimettere in funzione impianti solo dopo ispezione di sicurezza (elettricità controllata, nessun rischio riaccensione focolai). - </w:t>
      </w:r>
      <w:r>
        <w:t xml:space="preserve">Debrief</w:t>
      </w:r>
      <w:r>
        <w:t xml:space="preserve">: fare una riunione con tutti per spiegare cosa è successo e come si è reagito, cos’è andato bene, cosa migliorare. Aggiornare il Piano di Emergenza se evidenziate lacune (ad es. sirena non udita in reparto X, serve ripetitore acustico).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Controlli e misure post-incendio:</w:t>
      </w:r>
      <w:r>
        <w:t xml:space="preserve"> - Registro antincendio: l’Addetto Antincendio leader compila un rapporto dettagliato. - Attrezzature usate: ricaricare estintori usati, sostituire bombole CO₂ scariche, pulire idr</w:t>
      </w:r>
      <w:r>
        <w:t xml:space="preserve">anti e tubazioni se usate e farle asciugare, rifare scorta DPI emergenza (ad es. maschere fumo). - Indagine cause: RSPP e tecnici individuano l’origine dell’incendio (guasto elettrico? negligenza?) e propongono misure preventive (manutenzioni, formazione).</w:t>
      </w:r>
      <w:r/>
    </w:p>
    <w:p>
      <w:pPr>
        <w:pStyle w:val="1054"/>
        <w:pBdr/>
        <w:spacing/>
        <w:ind/>
        <w:rPr/>
      </w:pPr>
      <w:r>
        <w:rPr>
          <w:b/>
          <w:bCs/>
        </w:rPr>
        <w:t xml:space="preserve">In sintesi:</w:t>
      </w:r>
      <w:r>
        <w:t xml:space="preserve"> in caso di incend</w:t>
      </w:r>
      <w:r>
        <w:t xml:space="preserve">io ogni secondo conta, ma la sicurezza personale è prioritaria. “Prima la vita, poi i beni materiali.” Le procedure vanno seguite senza farsi prendere dal panico: allarme – soccorsi – spegnimento iniziale (se possibile) – evacuazione ordinata – conteggio. </w:t>
      </w:r>
      <w:r>
        <w:rPr>
          <w:highlight w:val="none"/>
        </w:rPr>
        <w:t xml:space="preserve">Agrumigel</w:t>
      </w:r>
      <w:r>
        <w:rPr>
          <w:highlight w:val="none"/>
        </w:rPr>
        <w:t xml:space="preserve"> si impegna a fare esercitazioni regolari (minimo </w:t>
      </w:r>
      <w:r>
        <w:rPr>
          <w:highlight w:val="none"/>
        </w:rPr>
        <w:t xml:space="preserve">2</w:t>
      </w:r>
      <w:r>
        <w:rPr>
          <w:highlight w:val="none"/>
        </w:rPr>
        <w:t xml:space="preserve"> all’anno) e a tenere tutti preparati.</w:t>
      </w:r>
      <w:r>
        <w:rPr>
          <w:highlight w:val="none"/>
        </w:rPr>
        <w:t xml:space="preserve"> L</w:t>
      </w:r>
      <w:r>
        <w:t xml:space="preserve">a collaborazione di ciascuno è fondamentale: un’emergenza gestita bene è frutto della preparazione e dell’attenzione di tutti.</w:t>
      </w:r>
      <w:r/>
    </w:p>
    <w:p>
      <w:pPr>
        <w:pBdr/>
        <w:spacing/>
        <w:ind/>
        <w:rPr>
          <w:rFonts w:eastAsiaTheme="majorEastAsia" w:cstheme="majorBidi"/>
          <w:color w:val="0f4761" w:themeColor="accent1" w:themeShade="BF"/>
        </w:rPr>
      </w:pPr>
      <w:r>
        <w:rPr>
          <w:rFonts w:eastAsiaTheme="majorEastAsia" w:cstheme="majorBidi"/>
          <w:color w:val="0f4761" w:themeColor="accent1" w:themeShade="BF"/>
        </w:rPr>
      </w:r>
      <w:bookmarkEnd w:id="2"/>
      <w:r>
        <w:rPr>
          <w:rFonts w:eastAsiaTheme="majorEastAsia" w:cstheme="majorBidi"/>
          <w:color w:val="0f4761" w:themeColor="accent1" w:themeShade="BF"/>
        </w:rPr>
      </w:r>
      <w:r>
        <w:rPr>
          <w:rFonts w:eastAsiaTheme="majorEastAsia" w:cstheme="majorBidi"/>
          <w:color w:val="0f4761" w:themeColor="accent1" w:themeShade="BF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126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12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128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124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124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IO-05: Istruzioni in Caso di Emergenza Incendio </w:t>
          </w:r>
          <w:r>
            <w:rPr>
              <w:b/>
              <w:bCs/>
            </w:rPr>
            <w:t xml:space="preserve">e</w:t>
          </w:r>
          <w:r>
            <w:rPr>
              <w:b/>
              <w:bCs/>
            </w:rPr>
            <w:t xml:space="preserve"> Evacuazione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124"/>
            <w:pBdr/>
            <w:spacing/>
            <w:ind/>
            <w:rPr/>
          </w:pPr>
          <w:r>
            <w:t xml:space="preserve">IO-0</w:t>
          </w:r>
          <w:r>
            <w:t xml:space="preserve">5</w:t>
          </w:r>
          <w:r/>
        </w:p>
        <w:p>
          <w:pPr>
            <w:pStyle w:val="1124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124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52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97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669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741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813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885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957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1029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11017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42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43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44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45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46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47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48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49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50"/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4"/>
  </w:num>
  <w:num w:numId="5">
    <w:abstractNumId w:val="20"/>
  </w:num>
  <w:num w:numId="6">
    <w:abstractNumId w:val="19"/>
  </w:num>
  <w:num w:numId="7">
    <w:abstractNumId w:val="1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13"/>
  </w:num>
  <w:num w:numId="11">
    <w:abstractNumId w:val="5"/>
  </w:num>
  <w:num w:numId="12">
    <w:abstractNumId w:val="18"/>
  </w:num>
  <w:num w:numId="13">
    <w:abstractNumId w:val="9"/>
  </w:num>
  <w:num w:numId="14">
    <w:abstractNumId w:val="16"/>
  </w:num>
  <w:num w:numId="15">
    <w:abstractNumId w:val="7"/>
  </w:num>
  <w:num w:numId="16">
    <w:abstractNumId w:val="3"/>
  </w:num>
  <w:num w:numId="17">
    <w:abstractNumId w:val="12"/>
  </w:num>
  <w:num w:numId="18">
    <w:abstractNumId w:val="6"/>
  </w:num>
  <w:num w:numId="19">
    <w:abstractNumId w:val="17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79">
    <w:name w:val="Table Grid Light"/>
    <w:basedOn w:val="10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Plain Table 2"/>
    <w:basedOn w:val="10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Plain Table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Plain Table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1 Light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1 Light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1 Light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1 Light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1 Light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1 Light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2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2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2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2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2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2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3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3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3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3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3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3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4"/>
    <w:basedOn w:val="10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4 - Accent 1"/>
    <w:basedOn w:val="10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4 - Accent 2"/>
    <w:basedOn w:val="10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4 - Accent 3"/>
    <w:basedOn w:val="10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4 - Accent 4"/>
    <w:basedOn w:val="10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4 - Accent 5"/>
    <w:basedOn w:val="10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4 - Accent 6"/>
    <w:basedOn w:val="10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5 Dark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5 Dark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5 Dark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5 Dark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5 Dark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5 Dark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5 Dark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6 Colorful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6 Colorful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6 Colorful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6 Colorful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6 Colorful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6 Colorful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6 Colorful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7 Colorful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7 Colorful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7 Colorful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7 Colorful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7 Colorful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7 Colorful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7 Colorful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1 Light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1 Light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1 Light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1 Light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1 Light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1 Light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1 Light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2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2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2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2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2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2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3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3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3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3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3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3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4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4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4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4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4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4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5 Dark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5 Dark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5 Dark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5 Dark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5 Dark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5 Dark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5 Dark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6 Colorful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6 Colorful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6 Colorful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6 Colorful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6 Colorful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6 Colorful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6 Colorful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7 Colorful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7 Colorful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7 Colorful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7 Colorful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7 Colorful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7 Colorful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7 Colorful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ned - Accent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ned - Accent 1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ned - Accent 2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ned - Accent 3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ned - Accent 4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ned - Accent 5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ned - Accent 6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&amp; Lined - Accent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&amp; Lined - Accent 1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&amp; Lined - Accent 2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Bordered &amp; Lined - Accent 3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Bordered &amp; Lined - Accent 4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Bordered &amp; Lined - Accent 5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Bordered &amp; Lined - Accent 6"/>
    <w:basedOn w:val="10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Bordered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Bordered - Accent 1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Bordered - Accent 2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- Accent 3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- Accent 4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- Accent 5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- Accent 6"/>
    <w:basedOn w:val="10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3">
    <w:name w:val="Heading 1 Char"/>
    <w:basedOn w:val="1051"/>
    <w:link w:val="10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04">
    <w:name w:val="Heading 2 Char"/>
    <w:basedOn w:val="1051"/>
    <w:link w:val="10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05">
    <w:name w:val="Heading 3 Char"/>
    <w:basedOn w:val="1051"/>
    <w:link w:val="10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06">
    <w:name w:val="Heading 4 Char"/>
    <w:basedOn w:val="1051"/>
    <w:link w:val="10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07">
    <w:name w:val="Heading 5 Char"/>
    <w:basedOn w:val="1051"/>
    <w:link w:val="10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08">
    <w:name w:val="Heading 6 Char"/>
    <w:basedOn w:val="1051"/>
    <w:link w:val="10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09">
    <w:name w:val="Heading 7 Char"/>
    <w:basedOn w:val="1051"/>
    <w:link w:val="10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0">
    <w:name w:val="Heading 8 Char"/>
    <w:basedOn w:val="1051"/>
    <w:link w:val="10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1">
    <w:name w:val="Heading 9 Char"/>
    <w:basedOn w:val="1051"/>
    <w:link w:val="10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2">
    <w:name w:val="Title Char"/>
    <w:basedOn w:val="1051"/>
    <w:link w:val="10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13">
    <w:name w:val="Subtitle Char"/>
    <w:basedOn w:val="1051"/>
    <w:link w:val="105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14">
    <w:name w:val="Quote"/>
    <w:basedOn w:val="1041"/>
    <w:next w:val="1041"/>
    <w:link w:val="10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15">
    <w:name w:val="Quote Char"/>
    <w:basedOn w:val="1051"/>
    <w:link w:val="10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16">
    <w:name w:val="Intense Emphasis"/>
    <w:basedOn w:val="10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17">
    <w:name w:val="Intense Quote"/>
    <w:basedOn w:val="1041"/>
    <w:next w:val="1041"/>
    <w:link w:val="10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18">
    <w:name w:val="Intense Quote Char"/>
    <w:basedOn w:val="1051"/>
    <w:link w:val="10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19">
    <w:name w:val="Intense Reference"/>
    <w:basedOn w:val="10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20">
    <w:name w:val="No Spacing"/>
    <w:basedOn w:val="1041"/>
    <w:uiPriority w:val="1"/>
    <w:qFormat/>
    <w:pPr>
      <w:pBdr/>
      <w:spacing w:after="0" w:line="240" w:lineRule="auto"/>
      <w:ind/>
    </w:pPr>
  </w:style>
  <w:style w:type="character" w:styleId="1021">
    <w:name w:val="Subtle Emphasis"/>
    <w:basedOn w:val="10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22">
    <w:name w:val="Emphasis"/>
    <w:basedOn w:val="1051"/>
    <w:uiPriority w:val="20"/>
    <w:qFormat/>
    <w:pPr>
      <w:pBdr/>
      <w:spacing/>
      <w:ind/>
    </w:pPr>
    <w:rPr>
      <w:i/>
      <w:iCs/>
    </w:rPr>
  </w:style>
  <w:style w:type="character" w:styleId="1023">
    <w:name w:val="Strong"/>
    <w:basedOn w:val="1051"/>
    <w:uiPriority w:val="22"/>
    <w:qFormat/>
    <w:pPr>
      <w:pBdr/>
      <w:spacing/>
      <w:ind/>
    </w:pPr>
    <w:rPr>
      <w:b/>
      <w:bCs/>
    </w:rPr>
  </w:style>
  <w:style w:type="character" w:styleId="1024">
    <w:name w:val="Subtle Reference"/>
    <w:basedOn w:val="10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25">
    <w:name w:val="Book Title"/>
    <w:basedOn w:val="105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26">
    <w:name w:val="Header Char"/>
    <w:basedOn w:val="1051"/>
    <w:link w:val="1124"/>
    <w:uiPriority w:val="99"/>
    <w:pPr>
      <w:pBdr/>
      <w:spacing/>
      <w:ind/>
    </w:pPr>
  </w:style>
  <w:style w:type="character" w:styleId="1027">
    <w:name w:val="Footer Char"/>
    <w:basedOn w:val="1051"/>
    <w:link w:val="1126"/>
    <w:uiPriority w:val="99"/>
    <w:pPr>
      <w:pBdr/>
      <w:spacing/>
      <w:ind/>
    </w:pPr>
  </w:style>
  <w:style w:type="character" w:styleId="1028">
    <w:name w:val="Footnote Text Char"/>
    <w:basedOn w:val="1051"/>
    <w:link w:val="1076"/>
    <w:uiPriority w:val="99"/>
    <w:semiHidden/>
    <w:pPr>
      <w:pBdr/>
      <w:spacing/>
      <w:ind/>
    </w:pPr>
    <w:rPr>
      <w:sz w:val="20"/>
      <w:szCs w:val="20"/>
    </w:rPr>
  </w:style>
  <w:style w:type="paragraph" w:styleId="1029">
    <w:name w:val="endnote text"/>
    <w:basedOn w:val="1041"/>
    <w:link w:val="10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30">
    <w:name w:val="Endnote Text Char"/>
    <w:basedOn w:val="1051"/>
    <w:link w:val="1029"/>
    <w:uiPriority w:val="99"/>
    <w:semiHidden/>
    <w:pPr>
      <w:pBdr/>
      <w:spacing/>
      <w:ind/>
    </w:pPr>
    <w:rPr>
      <w:sz w:val="20"/>
      <w:szCs w:val="20"/>
    </w:rPr>
  </w:style>
  <w:style w:type="character" w:styleId="1031">
    <w:name w:val="endnote reference"/>
    <w:basedOn w:val="1051"/>
    <w:uiPriority w:val="99"/>
    <w:semiHidden/>
    <w:unhideWhenUsed/>
    <w:pPr>
      <w:pBdr/>
      <w:spacing/>
      <w:ind/>
    </w:pPr>
    <w:rPr>
      <w:vertAlign w:val="superscript"/>
    </w:rPr>
  </w:style>
  <w:style w:type="character" w:styleId="1032">
    <w:name w:val="FollowedHyperlink"/>
    <w:basedOn w:val="10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33">
    <w:name w:val="toc 4"/>
    <w:basedOn w:val="1041"/>
    <w:next w:val="1041"/>
    <w:uiPriority w:val="39"/>
    <w:unhideWhenUsed/>
    <w:pPr>
      <w:pBdr/>
      <w:spacing w:after="100"/>
      <w:ind w:left="660"/>
    </w:pPr>
  </w:style>
  <w:style w:type="paragraph" w:styleId="1034">
    <w:name w:val="toc 5"/>
    <w:basedOn w:val="1041"/>
    <w:next w:val="1041"/>
    <w:uiPriority w:val="39"/>
    <w:unhideWhenUsed/>
    <w:pPr>
      <w:pBdr/>
      <w:spacing w:after="100"/>
      <w:ind w:left="880"/>
    </w:pPr>
  </w:style>
  <w:style w:type="paragraph" w:styleId="1035">
    <w:name w:val="toc 6"/>
    <w:basedOn w:val="1041"/>
    <w:next w:val="1041"/>
    <w:uiPriority w:val="39"/>
    <w:unhideWhenUsed/>
    <w:pPr>
      <w:pBdr/>
      <w:spacing w:after="100"/>
      <w:ind w:left="1100"/>
    </w:pPr>
  </w:style>
  <w:style w:type="paragraph" w:styleId="1036">
    <w:name w:val="toc 7"/>
    <w:basedOn w:val="1041"/>
    <w:next w:val="1041"/>
    <w:uiPriority w:val="39"/>
    <w:unhideWhenUsed/>
    <w:pPr>
      <w:pBdr/>
      <w:spacing w:after="100"/>
      <w:ind w:left="1320"/>
    </w:pPr>
  </w:style>
  <w:style w:type="paragraph" w:styleId="1037">
    <w:name w:val="toc 8"/>
    <w:basedOn w:val="1041"/>
    <w:next w:val="1041"/>
    <w:uiPriority w:val="39"/>
    <w:unhideWhenUsed/>
    <w:pPr>
      <w:pBdr/>
      <w:spacing w:after="100"/>
      <w:ind w:left="1540"/>
    </w:pPr>
  </w:style>
  <w:style w:type="paragraph" w:styleId="1038">
    <w:name w:val="toc 9"/>
    <w:basedOn w:val="1041"/>
    <w:next w:val="1041"/>
    <w:uiPriority w:val="39"/>
    <w:unhideWhenUsed/>
    <w:pPr>
      <w:pBdr/>
      <w:spacing w:after="100"/>
      <w:ind w:left="1760"/>
    </w:pPr>
  </w:style>
  <w:style w:type="character" w:styleId="1039">
    <w:name w:val="Placeholder Text"/>
    <w:basedOn w:val="1051"/>
    <w:uiPriority w:val="99"/>
    <w:semiHidden/>
    <w:pPr>
      <w:pBdr/>
      <w:spacing/>
      <w:ind/>
    </w:pPr>
    <w:rPr>
      <w:color w:val="666666"/>
    </w:rPr>
  </w:style>
  <w:style w:type="paragraph" w:styleId="1040">
    <w:name w:val="table of figures"/>
    <w:basedOn w:val="1041"/>
    <w:next w:val="1041"/>
    <w:uiPriority w:val="99"/>
    <w:unhideWhenUsed/>
    <w:pPr>
      <w:pBdr/>
      <w:spacing w:after="0" w:afterAutospacing="0"/>
      <w:ind/>
    </w:pPr>
  </w:style>
  <w:style w:type="paragraph" w:styleId="1041" w:default="1">
    <w:name w:val="Normal"/>
    <w:qFormat/>
    <w:pPr>
      <w:pBdr/>
      <w:spacing/>
      <w:ind/>
    </w:pPr>
  </w:style>
  <w:style w:type="paragraph" w:styleId="1042">
    <w:name w:val="Heading 1"/>
    <w:basedOn w:val="1041"/>
    <w:next w:val="1054"/>
    <w:link w:val="1066"/>
    <w:uiPriority w:val="9"/>
    <w:qFormat/>
    <w:pPr>
      <w:keepNext w:val="true"/>
      <w:keepLines w:val="true"/>
      <w:numPr>
        <w:numId w:val="1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43">
    <w:name w:val="Heading 2"/>
    <w:basedOn w:val="1041"/>
    <w:next w:val="1054"/>
    <w:link w:val="1067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44">
    <w:name w:val="Heading 3"/>
    <w:basedOn w:val="1041"/>
    <w:next w:val="1054"/>
    <w:link w:val="1068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45">
    <w:name w:val="Heading 4"/>
    <w:basedOn w:val="1041"/>
    <w:next w:val="1054"/>
    <w:link w:val="1069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46">
    <w:name w:val="Heading 5"/>
    <w:basedOn w:val="1041"/>
    <w:next w:val="1054"/>
    <w:link w:val="1070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47">
    <w:name w:val="Heading 6"/>
    <w:basedOn w:val="1041"/>
    <w:next w:val="1054"/>
    <w:link w:val="1071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48">
    <w:name w:val="Heading 7"/>
    <w:basedOn w:val="1041"/>
    <w:next w:val="1054"/>
    <w:link w:val="1072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49">
    <w:name w:val="Heading 8"/>
    <w:basedOn w:val="1041"/>
    <w:next w:val="1054"/>
    <w:link w:val="1073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50">
    <w:name w:val="Heading 9"/>
    <w:basedOn w:val="1041"/>
    <w:next w:val="1054"/>
    <w:link w:val="1074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51" w:default="1">
    <w:name w:val="Default Paragraph Font"/>
    <w:uiPriority w:val="1"/>
    <w:unhideWhenUsed/>
    <w:pPr>
      <w:pBdr/>
      <w:spacing/>
      <w:ind/>
    </w:pPr>
  </w:style>
  <w:style w:type="table" w:styleId="10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53" w:default="1">
    <w:name w:val="No List"/>
    <w:uiPriority w:val="99"/>
    <w:semiHidden/>
    <w:unhideWhenUsed/>
    <w:pPr>
      <w:pBdr/>
      <w:spacing/>
      <w:ind/>
    </w:pPr>
  </w:style>
  <w:style w:type="paragraph" w:styleId="1054">
    <w:name w:val="Body Text"/>
    <w:basedOn w:val="1041"/>
    <w:link w:val="1134"/>
    <w:qFormat/>
    <w:pPr>
      <w:pBdr/>
      <w:spacing w:after="180" w:before="180"/>
      <w:ind/>
    </w:pPr>
  </w:style>
  <w:style w:type="paragraph" w:styleId="1055" w:customStyle="1">
    <w:name w:val="First Paragraph"/>
    <w:basedOn w:val="1054"/>
    <w:next w:val="1054"/>
    <w:qFormat/>
    <w:pPr>
      <w:pBdr/>
      <w:spacing/>
      <w:ind/>
    </w:pPr>
  </w:style>
  <w:style w:type="paragraph" w:styleId="1056" w:customStyle="1">
    <w:name w:val="Compact"/>
    <w:basedOn w:val="1054"/>
    <w:qFormat/>
    <w:pPr>
      <w:pBdr/>
      <w:spacing w:after="36" w:before="36"/>
      <w:ind/>
    </w:pPr>
  </w:style>
  <w:style w:type="paragraph" w:styleId="1057">
    <w:name w:val="Title"/>
    <w:basedOn w:val="1041"/>
    <w:next w:val="1054"/>
    <w:link w:val="1058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58" w:customStyle="1">
    <w:name w:val="Titolo Carattere"/>
    <w:basedOn w:val="1051"/>
    <w:link w:val="105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59">
    <w:name w:val="Subtitle"/>
    <w:basedOn w:val="1057"/>
    <w:next w:val="1054"/>
    <w:link w:val="1060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60" w:customStyle="1">
    <w:name w:val="Sottotitolo Carattere"/>
    <w:basedOn w:val="1051"/>
    <w:link w:val="105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61" w:customStyle="1">
    <w:name w:val="Author"/>
    <w:next w:val="1054"/>
    <w:qFormat/>
    <w:pPr>
      <w:keepNext w:val="true"/>
      <w:keepLines w:val="true"/>
      <w:pBdr/>
      <w:spacing/>
      <w:ind/>
      <w:jc w:val="center"/>
    </w:pPr>
  </w:style>
  <w:style w:type="paragraph" w:styleId="1062">
    <w:name w:val="Date"/>
    <w:next w:val="1054"/>
    <w:qFormat/>
    <w:pPr>
      <w:keepNext w:val="true"/>
      <w:keepLines w:val="true"/>
      <w:pBdr/>
      <w:spacing/>
      <w:ind/>
      <w:jc w:val="center"/>
    </w:pPr>
  </w:style>
  <w:style w:type="paragraph" w:styleId="1063" w:customStyle="1">
    <w:name w:val="Abstract Title"/>
    <w:basedOn w:val="1041"/>
    <w:next w:val="1064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64" w:customStyle="1">
    <w:name w:val="Abstract"/>
    <w:basedOn w:val="1041"/>
    <w:next w:val="105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65">
    <w:name w:val="Bibliography"/>
    <w:basedOn w:val="1041"/>
    <w:qFormat/>
    <w:pPr>
      <w:pBdr/>
      <w:spacing/>
      <w:ind/>
    </w:pPr>
  </w:style>
  <w:style w:type="character" w:styleId="1066" w:customStyle="1">
    <w:name w:val="Titolo 1 Carattere"/>
    <w:basedOn w:val="1051"/>
    <w:link w:val="104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67" w:customStyle="1">
    <w:name w:val="Titolo 2 Carattere"/>
    <w:basedOn w:val="1051"/>
    <w:link w:val="104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68" w:customStyle="1">
    <w:name w:val="Titolo 3 Carattere"/>
    <w:basedOn w:val="1051"/>
    <w:link w:val="1044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69" w:customStyle="1">
    <w:name w:val="Titolo 4 Carattere"/>
    <w:basedOn w:val="1051"/>
    <w:link w:val="104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70" w:customStyle="1">
    <w:name w:val="Titolo 5 Carattere"/>
    <w:basedOn w:val="1051"/>
    <w:link w:val="104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71" w:customStyle="1">
    <w:name w:val="Titolo 6 Carattere"/>
    <w:basedOn w:val="1051"/>
    <w:link w:val="104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72" w:customStyle="1">
    <w:name w:val="Titolo 7 Carattere"/>
    <w:basedOn w:val="1051"/>
    <w:link w:val="104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73" w:customStyle="1">
    <w:name w:val="Titolo 8 Carattere"/>
    <w:basedOn w:val="1051"/>
    <w:link w:val="104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74" w:customStyle="1">
    <w:name w:val="Titolo 9 Carattere"/>
    <w:basedOn w:val="1051"/>
    <w:link w:val="105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75">
    <w:name w:val="Block Text"/>
    <w:basedOn w:val="1054"/>
    <w:next w:val="1054"/>
    <w:uiPriority w:val="9"/>
    <w:unhideWhenUsed/>
    <w:qFormat/>
    <w:pPr>
      <w:pBdr/>
      <w:spacing w:after="100" w:before="100"/>
      <w:ind w:right="480" w:left="480"/>
    </w:pPr>
  </w:style>
  <w:style w:type="paragraph" w:styleId="1076">
    <w:name w:val="footnote text"/>
    <w:basedOn w:val="1041"/>
    <w:uiPriority w:val="9"/>
    <w:unhideWhenUsed/>
    <w:qFormat/>
    <w:pPr>
      <w:pBdr/>
      <w:spacing/>
      <w:ind/>
    </w:pPr>
  </w:style>
  <w:style w:type="paragraph" w:styleId="1077" w:customStyle="1">
    <w:name w:val="Footnote Block Text"/>
    <w:basedOn w:val="1076"/>
    <w:next w:val="1076"/>
    <w:uiPriority w:val="9"/>
    <w:unhideWhenUsed/>
    <w:qFormat/>
    <w:pPr>
      <w:pBdr/>
      <w:spacing w:after="100" w:before="100"/>
      <w:ind w:right="480" w:left="480"/>
    </w:pPr>
  </w:style>
  <w:style w:type="table" w:styleId="1078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9" w:customStyle="1">
    <w:name w:val="Definition Term"/>
    <w:basedOn w:val="1041"/>
    <w:next w:val="1080"/>
    <w:pPr>
      <w:keepNext w:val="true"/>
      <w:keepLines w:val="true"/>
      <w:pBdr/>
      <w:spacing w:after="0"/>
      <w:ind/>
    </w:pPr>
    <w:rPr>
      <w:b/>
    </w:rPr>
  </w:style>
  <w:style w:type="paragraph" w:styleId="1080" w:customStyle="1">
    <w:name w:val="Definition"/>
    <w:basedOn w:val="1041"/>
    <w:pPr>
      <w:pBdr/>
      <w:spacing/>
      <w:ind/>
    </w:pPr>
  </w:style>
  <w:style w:type="paragraph" w:styleId="1081">
    <w:name w:val="Caption"/>
    <w:basedOn w:val="1041"/>
    <w:link w:val="1086"/>
    <w:pPr>
      <w:pBdr/>
      <w:spacing w:after="120"/>
      <w:ind/>
    </w:pPr>
    <w:rPr>
      <w:i/>
    </w:rPr>
  </w:style>
  <w:style w:type="paragraph" w:styleId="1082" w:customStyle="1">
    <w:name w:val="Table Caption"/>
    <w:basedOn w:val="1081"/>
    <w:pPr>
      <w:keepNext w:val="true"/>
      <w:pBdr/>
      <w:spacing/>
      <w:ind/>
    </w:pPr>
  </w:style>
  <w:style w:type="paragraph" w:styleId="1083" w:customStyle="1">
    <w:name w:val="Image Caption"/>
    <w:basedOn w:val="1081"/>
    <w:pPr>
      <w:pBdr/>
      <w:spacing/>
      <w:ind/>
    </w:pPr>
  </w:style>
  <w:style w:type="paragraph" w:styleId="1084" w:customStyle="1">
    <w:name w:val="Figure"/>
    <w:basedOn w:val="1041"/>
    <w:pPr>
      <w:pBdr/>
      <w:spacing/>
      <w:ind/>
    </w:pPr>
  </w:style>
  <w:style w:type="paragraph" w:styleId="1085" w:customStyle="1">
    <w:name w:val="Captioned Figure"/>
    <w:basedOn w:val="1084"/>
    <w:pPr>
      <w:keepNext w:val="true"/>
      <w:pBdr/>
      <w:spacing/>
      <w:ind/>
    </w:pPr>
  </w:style>
  <w:style w:type="character" w:styleId="1086" w:customStyle="1">
    <w:name w:val="Didascalia Carattere"/>
    <w:basedOn w:val="1051"/>
    <w:link w:val="1081"/>
    <w:pPr>
      <w:pBdr/>
      <w:spacing/>
      <w:ind/>
    </w:pPr>
  </w:style>
  <w:style w:type="character" w:styleId="1087" w:customStyle="1">
    <w:name w:val="Verbatim Char"/>
    <w:basedOn w:val="1086"/>
    <w:link w:val="1092"/>
    <w:pPr>
      <w:pBdr/>
      <w:spacing/>
      <w:ind/>
    </w:pPr>
    <w:rPr>
      <w:rFonts w:ascii="Consolas" w:hAnsi="Consolas"/>
      <w:sz w:val="22"/>
    </w:rPr>
  </w:style>
  <w:style w:type="character" w:styleId="1088" w:customStyle="1">
    <w:name w:val="Section Number"/>
    <w:basedOn w:val="1086"/>
    <w:pPr>
      <w:pBdr/>
      <w:spacing/>
      <w:ind/>
    </w:pPr>
  </w:style>
  <w:style w:type="character" w:styleId="1089">
    <w:name w:val="footnote reference"/>
    <w:basedOn w:val="1086"/>
    <w:pPr>
      <w:pBdr/>
      <w:spacing/>
      <w:ind/>
    </w:pPr>
    <w:rPr>
      <w:vertAlign w:val="superscript"/>
    </w:rPr>
  </w:style>
  <w:style w:type="character" w:styleId="1090">
    <w:name w:val="Hyperlink"/>
    <w:basedOn w:val="1086"/>
    <w:pPr>
      <w:pBdr/>
      <w:spacing/>
      <w:ind/>
    </w:pPr>
    <w:rPr>
      <w:color w:val="156082" w:themeColor="accent1"/>
    </w:rPr>
  </w:style>
  <w:style w:type="paragraph" w:styleId="1091">
    <w:name w:val="TOC Heading"/>
    <w:basedOn w:val="1042"/>
    <w:next w:val="1054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92" w:customStyle="1">
    <w:name w:val="Source Code"/>
    <w:basedOn w:val="1041"/>
    <w:link w:val="1087"/>
    <w:pPr>
      <w:pBdr/>
      <w:spacing/>
      <w:ind/>
    </w:pPr>
  </w:style>
  <w:style w:type="character" w:styleId="1093" w:customStyle="1">
    <w:name w:val="KeywordTok"/>
    <w:basedOn w:val="1087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94" w:customStyle="1">
    <w:name w:val="DataTypeTok"/>
    <w:basedOn w:val="1087"/>
    <w:pPr>
      <w:pBdr/>
      <w:spacing/>
      <w:ind/>
    </w:pPr>
    <w:rPr>
      <w:rFonts w:ascii="Consolas" w:hAnsi="Consolas"/>
      <w:color w:val="902000"/>
      <w:sz w:val="22"/>
    </w:rPr>
  </w:style>
  <w:style w:type="character" w:styleId="1095" w:customStyle="1">
    <w:name w:val="DecValTok"/>
    <w:basedOn w:val="1087"/>
    <w:pPr>
      <w:pBdr/>
      <w:spacing/>
      <w:ind/>
    </w:pPr>
    <w:rPr>
      <w:rFonts w:ascii="Consolas" w:hAnsi="Consolas"/>
      <w:color w:val="40a070"/>
      <w:sz w:val="22"/>
    </w:rPr>
  </w:style>
  <w:style w:type="character" w:styleId="1096" w:customStyle="1">
    <w:name w:val="BaseNTok"/>
    <w:basedOn w:val="1087"/>
    <w:pPr>
      <w:pBdr/>
      <w:spacing/>
      <w:ind/>
    </w:pPr>
    <w:rPr>
      <w:rFonts w:ascii="Consolas" w:hAnsi="Consolas"/>
      <w:color w:val="40a070"/>
      <w:sz w:val="22"/>
    </w:rPr>
  </w:style>
  <w:style w:type="character" w:styleId="1097" w:customStyle="1">
    <w:name w:val="FloatTok"/>
    <w:basedOn w:val="1087"/>
    <w:pPr>
      <w:pBdr/>
      <w:spacing/>
      <w:ind/>
    </w:pPr>
    <w:rPr>
      <w:rFonts w:ascii="Consolas" w:hAnsi="Consolas"/>
      <w:color w:val="40a070"/>
      <w:sz w:val="22"/>
    </w:rPr>
  </w:style>
  <w:style w:type="character" w:styleId="1098" w:customStyle="1">
    <w:name w:val="ConstantTok"/>
    <w:basedOn w:val="1087"/>
    <w:pPr>
      <w:pBdr/>
      <w:spacing/>
      <w:ind/>
    </w:pPr>
    <w:rPr>
      <w:rFonts w:ascii="Consolas" w:hAnsi="Consolas"/>
      <w:color w:val="880000"/>
      <w:sz w:val="22"/>
    </w:rPr>
  </w:style>
  <w:style w:type="character" w:styleId="1099" w:customStyle="1">
    <w:name w:val="CharTok"/>
    <w:basedOn w:val="1087"/>
    <w:pPr>
      <w:pBdr/>
      <w:spacing/>
      <w:ind/>
    </w:pPr>
    <w:rPr>
      <w:rFonts w:ascii="Consolas" w:hAnsi="Consolas"/>
      <w:color w:val="4070a0"/>
      <w:sz w:val="22"/>
    </w:rPr>
  </w:style>
  <w:style w:type="character" w:styleId="1100" w:customStyle="1">
    <w:name w:val="SpecialCharTok"/>
    <w:basedOn w:val="1087"/>
    <w:pPr>
      <w:pBdr/>
      <w:spacing/>
      <w:ind/>
    </w:pPr>
    <w:rPr>
      <w:rFonts w:ascii="Consolas" w:hAnsi="Consolas"/>
      <w:color w:val="4070a0"/>
      <w:sz w:val="22"/>
    </w:rPr>
  </w:style>
  <w:style w:type="character" w:styleId="1101" w:customStyle="1">
    <w:name w:val="StringTok"/>
    <w:basedOn w:val="1087"/>
    <w:pPr>
      <w:pBdr/>
      <w:spacing/>
      <w:ind/>
    </w:pPr>
    <w:rPr>
      <w:rFonts w:ascii="Consolas" w:hAnsi="Consolas"/>
      <w:color w:val="4070a0"/>
      <w:sz w:val="22"/>
    </w:rPr>
  </w:style>
  <w:style w:type="character" w:styleId="1102" w:customStyle="1">
    <w:name w:val="VerbatimStringTok"/>
    <w:basedOn w:val="1087"/>
    <w:pPr>
      <w:pBdr/>
      <w:spacing/>
      <w:ind/>
    </w:pPr>
    <w:rPr>
      <w:rFonts w:ascii="Consolas" w:hAnsi="Consolas"/>
      <w:color w:val="4070a0"/>
      <w:sz w:val="22"/>
    </w:rPr>
  </w:style>
  <w:style w:type="character" w:styleId="1103" w:customStyle="1">
    <w:name w:val="SpecialStringTok"/>
    <w:basedOn w:val="1087"/>
    <w:pPr>
      <w:pBdr/>
      <w:spacing/>
      <w:ind/>
    </w:pPr>
    <w:rPr>
      <w:rFonts w:ascii="Consolas" w:hAnsi="Consolas"/>
      <w:color w:val="bb6688"/>
      <w:sz w:val="22"/>
    </w:rPr>
  </w:style>
  <w:style w:type="character" w:styleId="1104" w:customStyle="1">
    <w:name w:val="ImportTok"/>
    <w:basedOn w:val="1087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105" w:customStyle="1">
    <w:name w:val="CommentTok"/>
    <w:basedOn w:val="1087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106" w:customStyle="1">
    <w:name w:val="DocumentationTok"/>
    <w:basedOn w:val="1087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107" w:customStyle="1">
    <w:name w:val="AnnotationTok"/>
    <w:basedOn w:val="108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108" w:customStyle="1">
    <w:name w:val="CommentVarTok"/>
    <w:basedOn w:val="108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109" w:customStyle="1">
    <w:name w:val="OtherTok"/>
    <w:basedOn w:val="1087"/>
    <w:pPr>
      <w:pBdr/>
      <w:spacing/>
      <w:ind/>
    </w:pPr>
    <w:rPr>
      <w:rFonts w:ascii="Consolas" w:hAnsi="Consolas"/>
      <w:color w:val="007020"/>
      <w:sz w:val="22"/>
    </w:rPr>
  </w:style>
  <w:style w:type="character" w:styleId="1110" w:customStyle="1">
    <w:name w:val="FunctionTok"/>
    <w:basedOn w:val="1087"/>
    <w:pPr>
      <w:pBdr/>
      <w:spacing/>
      <w:ind/>
    </w:pPr>
    <w:rPr>
      <w:rFonts w:ascii="Consolas" w:hAnsi="Consolas"/>
      <w:color w:val="06287e"/>
      <w:sz w:val="22"/>
    </w:rPr>
  </w:style>
  <w:style w:type="character" w:styleId="1111" w:customStyle="1">
    <w:name w:val="VariableTok"/>
    <w:basedOn w:val="1087"/>
    <w:pPr>
      <w:pBdr/>
      <w:spacing/>
      <w:ind/>
    </w:pPr>
    <w:rPr>
      <w:rFonts w:ascii="Consolas" w:hAnsi="Consolas"/>
      <w:color w:val="19177c"/>
      <w:sz w:val="22"/>
    </w:rPr>
  </w:style>
  <w:style w:type="character" w:styleId="1112" w:customStyle="1">
    <w:name w:val="ControlFlowTok"/>
    <w:basedOn w:val="1087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113" w:customStyle="1">
    <w:name w:val="OperatorTok"/>
    <w:basedOn w:val="1087"/>
    <w:pPr>
      <w:pBdr/>
      <w:spacing/>
      <w:ind/>
    </w:pPr>
    <w:rPr>
      <w:rFonts w:ascii="Consolas" w:hAnsi="Consolas"/>
      <w:color w:val="666666"/>
      <w:sz w:val="22"/>
    </w:rPr>
  </w:style>
  <w:style w:type="character" w:styleId="1114" w:customStyle="1">
    <w:name w:val="BuiltInTok"/>
    <w:basedOn w:val="1087"/>
    <w:pPr>
      <w:pBdr/>
      <w:spacing/>
      <w:ind/>
    </w:pPr>
    <w:rPr>
      <w:rFonts w:ascii="Consolas" w:hAnsi="Consolas"/>
      <w:color w:val="008000"/>
      <w:sz w:val="22"/>
    </w:rPr>
  </w:style>
  <w:style w:type="character" w:styleId="1115" w:customStyle="1">
    <w:name w:val="ExtensionTok"/>
    <w:basedOn w:val="1087"/>
    <w:pPr>
      <w:pBdr/>
      <w:spacing/>
      <w:ind/>
    </w:pPr>
    <w:rPr>
      <w:rFonts w:ascii="Consolas" w:hAnsi="Consolas"/>
      <w:sz w:val="22"/>
    </w:rPr>
  </w:style>
  <w:style w:type="character" w:styleId="1116" w:customStyle="1">
    <w:name w:val="PreprocessorTok"/>
    <w:basedOn w:val="1087"/>
    <w:pPr>
      <w:pBdr/>
      <w:spacing/>
      <w:ind/>
    </w:pPr>
    <w:rPr>
      <w:rFonts w:ascii="Consolas" w:hAnsi="Consolas"/>
      <w:color w:val="bc7a00"/>
      <w:sz w:val="22"/>
    </w:rPr>
  </w:style>
  <w:style w:type="character" w:styleId="1117" w:customStyle="1">
    <w:name w:val="AttributeTok"/>
    <w:basedOn w:val="1087"/>
    <w:pPr>
      <w:pBdr/>
      <w:spacing/>
      <w:ind/>
    </w:pPr>
    <w:rPr>
      <w:rFonts w:ascii="Consolas" w:hAnsi="Consolas"/>
      <w:color w:val="7d9029"/>
      <w:sz w:val="22"/>
    </w:rPr>
  </w:style>
  <w:style w:type="character" w:styleId="1118" w:customStyle="1">
    <w:name w:val="RegionMarkerTok"/>
    <w:basedOn w:val="1087"/>
    <w:pPr>
      <w:pBdr/>
      <w:spacing/>
      <w:ind/>
    </w:pPr>
    <w:rPr>
      <w:rFonts w:ascii="Consolas" w:hAnsi="Consolas"/>
      <w:sz w:val="22"/>
    </w:rPr>
  </w:style>
  <w:style w:type="character" w:styleId="1119" w:customStyle="1">
    <w:name w:val="InformationTok"/>
    <w:basedOn w:val="108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120" w:customStyle="1">
    <w:name w:val="WarningTok"/>
    <w:basedOn w:val="1087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121" w:customStyle="1">
    <w:name w:val="AlertTok"/>
    <w:basedOn w:val="1087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122" w:customStyle="1">
    <w:name w:val="ErrorTok"/>
    <w:basedOn w:val="1087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123" w:customStyle="1">
    <w:name w:val="NormalTok"/>
    <w:basedOn w:val="1087"/>
    <w:pPr>
      <w:pBdr/>
      <w:spacing/>
      <w:ind/>
    </w:pPr>
    <w:rPr>
      <w:rFonts w:ascii="Consolas" w:hAnsi="Consolas"/>
      <w:sz w:val="22"/>
    </w:rPr>
  </w:style>
  <w:style w:type="paragraph" w:styleId="1124">
    <w:name w:val="Header"/>
    <w:basedOn w:val="1041"/>
    <w:link w:val="1125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25" w:customStyle="1">
    <w:name w:val="Intestazione Carattere"/>
    <w:basedOn w:val="1051"/>
    <w:link w:val="1124"/>
    <w:uiPriority w:val="99"/>
    <w:pPr>
      <w:pBdr/>
      <w:spacing/>
      <w:ind/>
    </w:pPr>
  </w:style>
  <w:style w:type="paragraph" w:styleId="1126">
    <w:name w:val="Footer"/>
    <w:basedOn w:val="1041"/>
    <w:link w:val="1127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127" w:customStyle="1">
    <w:name w:val="Piè di pagina Carattere"/>
    <w:basedOn w:val="1051"/>
    <w:link w:val="1126"/>
    <w:uiPriority w:val="99"/>
    <w:pPr>
      <w:pBdr/>
      <w:spacing/>
      <w:ind/>
    </w:pPr>
  </w:style>
  <w:style w:type="table" w:styleId="1128">
    <w:name w:val="Table Grid"/>
    <w:basedOn w:val="1052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9">
    <w:name w:val="toc 1"/>
    <w:basedOn w:val="1041"/>
    <w:next w:val="1041"/>
    <w:uiPriority w:val="39"/>
    <w:pPr>
      <w:pBdr/>
      <w:spacing w:after="100"/>
      <w:ind/>
    </w:pPr>
  </w:style>
  <w:style w:type="paragraph" w:styleId="1130">
    <w:name w:val="toc 2"/>
    <w:basedOn w:val="1041"/>
    <w:next w:val="1041"/>
    <w:uiPriority w:val="39"/>
    <w:pPr>
      <w:pBdr/>
      <w:spacing w:after="100"/>
      <w:ind w:left="240"/>
    </w:pPr>
  </w:style>
  <w:style w:type="paragraph" w:styleId="1131">
    <w:name w:val="toc 3"/>
    <w:basedOn w:val="1041"/>
    <w:next w:val="1041"/>
    <w:uiPriority w:val="39"/>
    <w:pPr>
      <w:pBdr/>
      <w:spacing w:after="100"/>
      <w:ind w:left="480"/>
    </w:pPr>
  </w:style>
  <w:style w:type="table" w:styleId="1132">
    <w:name w:val="Plain Table 1"/>
    <w:basedOn w:val="1052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3">
    <w:name w:val="List Paragraph"/>
    <w:basedOn w:val="1041"/>
    <w:pPr>
      <w:pBdr/>
      <w:spacing/>
      <w:ind w:left="720"/>
      <w:contextualSpacing w:val="true"/>
    </w:pPr>
  </w:style>
  <w:style w:type="character" w:styleId="1134" w:customStyle="1">
    <w:name w:val="Corpo testo Carattere"/>
    <w:basedOn w:val="1051"/>
    <w:link w:val="105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Relationship Id="rId19" Type="http://schemas.openxmlformats.org/officeDocument/2006/relationships/image" Target="media/image2.png"/><Relationship Id="rId2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5</cp:revision>
  <dcterms:created xsi:type="dcterms:W3CDTF">2025-10-15T14:44:00Z</dcterms:created>
  <dcterms:modified xsi:type="dcterms:W3CDTF">2025-10-29T08:21:57Z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