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  <w:tblStyle w:val="1060"/>
      </w:tblPr>
      <w:tblGrid>
        <w:gridCol w:w="10605"/>
      </w:tblGrid>
      <w:tr>
        <w:trPr/>
        <w:tc>
          <w:tcPr>
            <w:tcBorders/>
            <w:tcW w:w="1060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 data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31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ottobre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2025, dalle ore 9:00 alle ore 1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3: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00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, presso gli uffici dello stabilimento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AGRUMI-GEL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, sito in </w:t>
            </w:r>
            <w:hyperlink r:id="rId11" w:tooltip="https://www.google.com/maps/place/data=!4m2!3m1!1s0x1314253e0d5d6731:0xd51359dd30951757?sa=X&amp;ved=1t:8290&amp;ictx=111" w:history="1">
              <w:r>
                <w:rPr>
                  <w:rFonts w:ascii="Calibri" w:hAnsi="Calibri" w:eastAsia="Calibri" w:cs="Calibri"/>
                  <w:sz w:val="22"/>
                  <w:szCs w:val="22"/>
                </w:rPr>
                <w:t xml:space="preserve">C.da Girotta, 98051 Barcellona Pozzo di Gotto ME</w:t>
              </w:r>
            </w:hyperlink>
            <w:r>
              <w:rPr>
                <w:rFonts w:ascii="Calibri" w:hAnsi="Calibri" w:eastAsia="Calibri" w:cs="Calibri"/>
                <w:sz w:val="22"/>
                <w:szCs w:val="22"/>
              </w:rPr>
              <w:t xml:space="preserve">, si sono riunite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le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figure chiave dello stabilimento per effettuare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una integrazione del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Riesame del sistema di gestione della sicurezza alimentare, secondo quanto previsto negli standard di riferimento IFS versione 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8 e BRC versione 9; nel presente documento viene eseguito anche il Riesame HACCP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 nel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 punto 22 (dal 22.1 al 22.9). </w:t>
            </w:r>
            <w:r>
              <w:rPr>
                <w:rFonts w:ascii="Calibri" w:hAnsi="Calibri" w:cs="Calibri"/>
                <w:sz w:val="22"/>
                <w:szCs w:val="22"/>
                <w:highlight w:val="yellow"/>
              </w:rPr>
            </w:r>
            <w:r>
              <w:rPr>
                <w:rFonts w:ascii="Calibri" w:hAnsi="Calibri" w:cs="Calibri"/>
                <w:sz w:val="22"/>
                <w:szCs w:val="22"/>
                <w:highlight w:val="yellow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L’obiettivo è quello di analizzare tutti i processi, i risultati ottenuti nel corso dell’anno per poi elaborare delle azioni di miglioramento, ai fini di risolvere le anomalie operative e di migliorare, ove possibile, lo svolgersi delle attività.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Questo incontro tra la Direzione e gli altri principali attori della buona applicazione della Sicurezza Alimentare in azienda dovrebbe basarsi su un'analisi e sulla revisione della </w:t>
            </w:r>
            <w:hyperlink r:id="rId12" w:tooltip="https://qualitiamo.com/articoli/politica%20per%20la%20qualita.html" w:history="1">
              <w:r>
                <w:rPr>
                  <w:rFonts w:ascii="Calibri" w:hAnsi="Calibri" w:eastAsia="Calibri" w:cs="Calibri"/>
                  <w:sz w:val="22"/>
                  <w:szCs w:val="22"/>
                </w:rPr>
                <w:t xml:space="preserve">Politica della Sicurezza</w:t>
              </w:r>
            </w:hyperlink>
            <w:r>
              <w:rPr>
                <w:rFonts w:ascii="Calibri" w:hAnsi="Calibri" w:eastAsia="Calibri" w:cs="Calibri"/>
                <w:sz w:val="22"/>
                <w:szCs w:val="22"/>
              </w:rPr>
              <w:t xml:space="preserve"> Alimentare, degli obiettivi della Sicurezza Alimentare e delle prestazioni erogate dal sistema e generare eventuali azioni correttive, azioni preventive o opportunità di miglioramento.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Sono presenti al Riesame i seguenti: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Salvatore Imbesi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– O.S.A. 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RSA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Roberta Micalizzi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–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assistente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RSA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Francesco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Scavello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–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assistente RSA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Massimo Parisi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CSA Consulent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per la Sicurezza Alimentare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Di seguito i dati di input e di output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venuti fuori dall’elaborazione dei dati finora in possesso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.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Ind w:w="-17" w:type="dxa"/>
        <w:tblW w:w="10577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513"/>
        <w:gridCol w:w="6662"/>
        <w:gridCol w:w="2126"/>
        <w:gridCol w:w="1276"/>
      </w:tblGrid>
      <w:tr>
        <w:trPr>
          <w:tblHeader/>
        </w:trPr>
        <w:tc>
          <w:tcPr>
            <w:gridSpan w:val="4"/>
            <w:shd w:val="clear" w:color="auto" w:fill="daeef3" w:themeFill="accent5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DATI DI INPUT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Politica della qualità e della sicurezza alimentare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E’ stata revisionata il 29/04/2025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 aggiornamento dell’amministratore unico (adesso Francesco Marullo); le altre informazioni sono rimaste uguali e sono state riconfermate alla data di revisione e nel presente riesame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Visite di clienti, enti di controlli,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etc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ISPE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TTORATO DEL LAVORO: 13/12/2024, esito conforme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NAS: ultimo nel 2021,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esito conforme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ASP: 27/05/2025 e 20/06/2025 per riconoscimento dello stabilimento per la produzione di oli essenziali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CLIENTI: ANDROS 04/03/2025 (rilascio rilievi già risolti); diverse visite SC FOOD SUMMITOMO, ultime date 1204/04/2025, /06/2025,   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ENTI DI CERTIFICAZIONE: 9001 07 e 08/05/2025, SA8000 10/01/2025, SGF 06/03/2025, 14001 25 e 26/02/2025, SMETA 4-PILLAR 03 e 04/06/2025 – rilascio rilievi da parte degli enti, tutti già risolti e disponibili in archivi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Reclami del cliente: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N. 7 reclami del cliente: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03/2025 Italcanditi acidità fuori standard succo concentrato arancia bionda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͢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restituito il prodotto e smaltito come alimento per digestione anaerobica; fatta formazione agli addetti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25/03/2025 TCCC (Coca Cola) n.2 pedane danneggiate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formazione del personale sulla spedizione delle merce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27/05/2025 HIPP n.8 sacchi asettici gonfi succo limpido di limone a temperatura refrigerata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alienato dal cliente e fatta nota di credito, rivisto il processo di confezionamento asettico, la ditta non ci fornisce ulteriori 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29/05/2025 SUMITOMO corpo estraneo nell’intercapedine tra i due sacchi succo limpido di limone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 formazione al personale e inserimento di cassette con elenco e foto materiali da utilizzare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01/07/2025 MASSERIA FRUTTI ROSSI etichette errate (-18°C invece di +4/10°C) in tutto il lotto di succo di clementina naturale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 fatta formazione al laboratorio sulla corretta modalità di emissione e controllo delle etichette, primo caso avvenuto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  <w:p>
            <w:pPr>
              <w:pStyle w:val="1059"/>
              <w:numPr>
                <w:ilvl w:val="0"/>
                <w:numId w:val="33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04/07/2025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MASSERIA FRUTTI ROSSI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arrivo di fusti di succo di clementina asettico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NFC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pervenuti congelati anziché a temperatura positiva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errore di stoccaggio aziendale, riviste le tempistiche per il raffreddamento con prove sperimentali, con pratiche formalizzate,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comunicazione al personale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sulle linee operative</w:t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14:ligatures w14:val="none"/>
              </w:rPr>
            </w:r>
          </w:p>
        </w:tc>
      </w:tr>
      <w:tr>
        <w:trPr>
          <w:trHeight w:val="699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Rapporto di non conformità interni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.1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Rapporto di non conformità interni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 emessi durante lo svolgimento delle attività 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N.2 rapporti di non conformità interni messi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21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Cestello per sigilli fusti e sacchi in cattive condizioni, 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rotte e scoperto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  <w:highlight w:val="none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sostituito con cestello in acciaio con coperchio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21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Bidoni di soda per le pulizie in pedana esterna non compartimentalizzata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  <w:highlight w:val="none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eliminata e riposti zona depuratore in vasca di contenimento, i bidoni in uso sono chiusi in armadietto chiuso a chiave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  <w:t xml:space="preserve">4.2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  <w:t xml:space="preserve">Rapporto di non conformità interni da audit interni del CSA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Le an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omalie riscontrate, indicate nei rapporti di non conformità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del documento M. 17.02, sono state tutte risolte. 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Ritiro / richiamo prodotto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Nessuno nel periodo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Analisi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Nessuna analisi, né eseguita dal laboratorio interno, né effettuata dai nostri 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aboratori esterni, hanno dato 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siti non conformi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Qualifica dei fornitor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Abbiamo la qualifica completa della campagna anno 2024/25, mentre è in corso di valutazione quella per il 2025/26. Il sistema utilizzato è la qualifica per materia prima e materiali di imballaggio e fornitori associati, oltre quella per i servizi offerti.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Sono stati inviati tutti i questionari ai fornitori ma non tutti sono stati restituiti e si provvederà al sollecito entro pochi giorni.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Non si riscontrano non conformità al ricevimento merci per nessun fornitore.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Formazioni e piano della cultura della sicurezza alimentare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formazioni pianificate per il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/26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sono state tutte eseguite, con valutazione dell’efficacia soddisfacente.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formazioni hanno riguardato anche gli aspetti della cultura della sicurezza alimentare, promossa dalla direzione per tutti i dipendenti. Presente la cassetta per eventuali segnalazioni anonime riguardanti legalità, sicurezza e qualità.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Eseguito a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ottobre 2025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un test per la valutazione del grado di conoscenza dei processi relativi alla sicurezza alimentare, politica della sicurezza, etc., con valori accett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abili. Si sottoporrà per il 2025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, stesso periodo.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Monitoraggio infestanti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La ditta RIFRA è stata acquisita dalla multinazionale RENTOKIL. Il passaggio di consegne verrà formalizzato a gennaio 20226, con l’avvio di un nuovo contratto con la ditta RENTOKIL, mentre al momento gli operatori (gli stessi di RIFRA) effettuano i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 controlli documentando il tutto su report cartacei; a partire dal 24/10/2025 (ultimo monitoraggio infestanti eseguito mensile) un report con format provvisorio è stato inserito nel portale, ma solo a gennaio si avrà il report di monitoraggio dettagliato. 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La rivalidazione non è stata ancora eseguita in quanto il sistema di impianto ed il numero di controlli con le sue modalità sono quelle stabilite con RIFRA fino a dicembre 2025.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Non si riscontrano, comunque, al momento episodi di infestazione di aree ed ambienti o valori al disopra dei limiti di accettabilità stabiliti, né dai report della Rentokil, né dai controlli eseguiti internamente.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Relazione tecnica andamento infestazioni e azioni di miglioramento emessa da RENTOKIL con i dati operati da RIFRA a maggio 2025 (periodo campagna novembre 2024 a maggio 2025).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11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Fatturato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7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2022: Italia 3.448.844 € - UE 4.283.339 € - Extra UE 3.714.418 €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Tot.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11.446.601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€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270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7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2023: Italia 2.623.944 € - UE 3.203.751 € - Extra UE 5.124.280 €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Tot.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10.951.975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€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-4,3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214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7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2024: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Italia 3.790.873 € - UE 2.550.027€ – Extra UE 6.061.027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Tot. 12.401.928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+13.2%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214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ins w:id="0" w:author="Massimo Parisi" w:date="2025-10-31T13:20:56Z" oouserid="ocxcoxtpen8o_Parisi">
              <w:r>
                <w:rPr>
                  <w:rFonts w:asciiTheme="minorHAnsi" w:hAnsiTheme="minorHAnsi" w:cstheme="minorHAnsi"/>
                  <w:sz w:val="22"/>
                  <w:szCs w:val="22"/>
                  <w:highlight w:val="white"/>
                </w:rPr>
                <w:t xml:space="preserve">Previsionale 202</w:t>
              </w:r>
            </w:ins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Tot.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15.000.00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€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+20,9 %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12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Partecipazioni a fiere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ANUGA ottobre 2025 con Ortogel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Test di tracciabilità e test di richiamo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ono stati effettuati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alcuni test di tracciabilità nel corso dell’anno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con risultati soddisfacenti, ad esempio Succo di arancia rossa L. 1824PF eseguito il 04/03/2025. – documenti disponibili in sede CQ.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 di richiamo/ritiro eseguito il 14/01/2025 con esito soddisfacente, disponibile in sede CQ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Eseguita in data odierna il modulo D06.04 elenco email/contatti di emergenza 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14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Food defense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Viene effettuata la rivalutazione della food defence sulla procedura P.08.04 riconfermando quanto già indicato in precedenza, in quanto non ci sono stati cambiamenti significativi nell’azienda per strutture, macchinari, layout e personale 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prova annuale è stata eseguita il 04/04/2025 nel verbale di prova Food Defence M09.05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ingresso sconosciuto nelle arre dell’azienda prontamente fermato dagli addetti perché senza accompagnatore. 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Check list di controllo M.09.04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Stato delle azioni derivanti da precedenti riesami della Direzione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Rispetto 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precedente riesame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processo 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produzione 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Estratti di Flavonoidi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è stato avviato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 al momento risulta non essere attivo.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L’Azienda sta implementando un sistema ISO 45001 Salute e Sicurezza sui luoghi di lavoro.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Cambiamenti nei fattori esterni e interni che sono rilevanti per il SGQ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L’individuazione e formalizzazione dei fattori interni ed esterni aventi influenza sul SGQ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sul SGA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è stata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rivalutata e sono stati riconfermati i fattori chiave già precedentemente individuati,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fattori chiave indi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viduati sono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quattro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Capacità economico-finanziaria,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II.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Strutture aziendali,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III.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Salubrità degli ambienti di lavoro,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Normativa cogente in campo sicurezza alimentare, ambientale,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fiscale e sicurezza sul lavoro.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Dal punto di vista strutturale, nel corso dell’ultimo anno, non sono intervenuti cambiamenti sostanziali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che riguardino l’attività di trasformazione agrumaria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del melograno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personale aziendale,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è costituito da personale dipendente di Agrumi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s.r.l.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personale dipende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 di una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ooperativa, quest’ultima è costituita 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persone già note all’azienda e quindi già dotate di una adeguata formazione ed esperienza.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Il collaboratore diretto del RSA, facente parte del TEAM QUALITÀ, ha già acquisito un anno di esperienza nel settore del controllo qualità; prosegue l’affiancamento da parte di una risorsa interna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con ottime conoscenze pregresse del sistema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entrambe le risorse sono state formate dai Consulenti per la sicurezza alimentare sugli standard IFS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versione 8 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BRC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versione 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Anche quest’anno 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’andamento dell’attività aziendale è stato caratterizzato 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cambiamenti microclimatici che hanno avuto un impatto significativo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campagna agrumaria e hanno influenzato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ianificazione delle produzioni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delle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conseguenti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vendite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17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Prestazioni ed efficacia del SGQ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17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.1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Soddisfazione del Cliente, informazioni di ritorno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 dalle parti interessate rilevanti</w:t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soddisfazione dei clienti viene regolarmente monitorata attraverso l’invio di questionari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volti ad acquisire conoscenza del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qualità percepita attraverso l’attribuzione di un punteggio ai seguenti requisiti: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Qualità organolettica del prodotto,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Qualità chimico-fisica-microbiologica del prodotto,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Qualità del confezionamento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Rispetto dei termini di consegna,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white"/>
              </w:rPr>
              <w:t xml:space="preserve">Aspetti organizzativi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white"/>
              </w:rPr>
              <w:t xml:space="preserve">.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Nel 2025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l’analisi derivata dai questionari di soddisfazione ricevuti, riferiti alla campagna 2024/25, ha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evidenziato un buon livello di soddisfazione da parte dei Clienti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(vedi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13.04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)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, co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n punteggi da soddisfatti a molto soddisfatti, senza alcuna valutazione negativa.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 corso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sono stati registrati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N°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 reclami da parte dei clienti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che sono stati gestiti e utilizzati come incentivo per il miglioramento aziendale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verifiche di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seconda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terza parte hanno avuto esito positivo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parco fornitori,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seguito delle attività di qualifica e sorveglianza, mantiene il livello 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affid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abil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personale aziendale sia dipendente, che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appartenente alla cooperativa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risulta adeguatamente formato e motivato.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18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Grado di raggiungimento degli obiettivi per la Qualità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direzione ha rivalutato la Politica della 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(Rev.15 del 29/04/2025) al fine di individuare gli eventuali impatti che la tipologia di processo erogato può avere sul cambiamento climatico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9001:2015: 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per quanto riguarda il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grado di raggiungimento degli obiettivi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previsti su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01.03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si evidenzia quanto segue.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Style w:val="1059"/>
              <w:numPr>
                <w:ilvl w:val="0"/>
                <w:numId w:val="36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di affidabilità del parco fornitori agrumi dato dal rapporto tra numero totale di lo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tti NC ricevuti e numero di lotti ricevuto fissato in un max del 2%, è stato ampiamente raggiunto in quanto non sono stati respinti lotti in entrata e conseguentemente ciò significa che il prodotto NC riscontrato su ogni carico è stato sempre inferiore al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 quanto riguarda il raggiungimento degli obiettivi associati ai fattori chiave riportati su D 01.03A,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 seguito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riportiamo i risultati degli indici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(per anno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7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 fatturat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è pari a 0.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raggiunto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Style w:val="1059"/>
              <w:numPr>
                <w:ilvl w:val="0"/>
                <w:numId w:val="37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Indice di Infortuni è pari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7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Indice di Malattia è pari a -0.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28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7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Indice di Reclami è pari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IFS Food 8 / BRC 9: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 quanto riguarda il raggiungimento degli obiettivi riportati sul riesame anno 2024,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 seguito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riportiamo i risultati degli indici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(da ultimo riesame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periodo indicato sono stati ricevuti segnalazioni di non conformità da parte di clienti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(n.2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reclami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Inoltre i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controlli di laboratorio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testimoniano la salubrità e sicurezza 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prodott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Agrumi-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s.r.l.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test di ritiro/richiamo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condotti hanno mostrato una grande capacità di azione, considerando la tempistica standard di conclusione della prova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così come previsto dagli standard BRC e IFS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L’andamento del piano di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lotta contro gli animali infestanti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mostra un buon livello di controllo sugli stessi con una presenza di esche mangiate nella cintura perimetrale che non desta preoccupazioni e una presenza minima di insetti alati e striscianti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analisi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routine sulle acque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sui prodotti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sono effettuate internamente, mentre ci rivolgiamo al laboratorio esterno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accreditato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solo per le analisi complete annuali che servono anche per la validazione delle analisi effettuate internamente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i risultati sono tutti conformi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riferimento alle procedure di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Food Defence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 controllo mensile dei varchi ha mostrato che gli stessi sono sempre tenuti in sicurezza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il test di simulazione effettuato ha avuto esito positivo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Sono state effettuate tutte le 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formazioni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previste durante l’anno con esito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verifica efficacia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positivo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Numero di non conformità interne (previste 5, ottenute 2)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Obiettivo raggiunto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Numero di Reclami del cliente (previsti 3, ottenuti 7)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Obiettivo non raggiunto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 </w:t>
            </w:r>
            <w:r>
              <w:rPr>
                <w:rFonts w:hint="default" w:ascii="Abyssinica SIL" w:hAnsi="Abyssinica SIL" w:eastAsia="Abyssinica SIL" w:cs="Abyssinica SIL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 analisi delle cause: l’aumento del numero di clienti ed il considerevole aumento di fatturato (+20,9%) hanno comportato un aumento di reclami per un fattore statistico; i dati ottenuti sono tuttora sotto esame.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  <w:u w:val="none"/>
              </w:rPr>
              <w:t xml:space="preserve">Informatizzazione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: il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sw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di cui era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 prevista l’attivazione nel 2025 non è ancora stato attivato </w:t>
            </w:r>
            <w:r>
              <w:rPr>
                <w:rFonts w:hint="default" w:ascii="Calibri" w:hAnsi="Calibri" w:eastAsia="Calibri" w:cs="Calibri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 Obiettivo non raggiunto </w:t>
            </w:r>
            <w:r>
              <w:rPr>
                <w:rFonts w:hint="default" w:ascii="Calibri" w:hAnsi="Calibri" w:eastAsia="Calibri" w:cs="Calibri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hint="default" w:ascii="Calibri" w:hAnsi="Calibri" w:eastAsia="Calibri" w:cs="Calibri"/>
                <w:sz w:val="22"/>
                <w:szCs w:val="22"/>
                <w:highlight w:val="none"/>
              </w:rPr>
              <w:t xml:space="preserve"> l’aumento non previsto così alto del fatturato ha comportato un rallentamento nel processo di informatizzazione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  <w:p>
            <w:pPr>
              <w:pStyle w:val="1059"/>
              <w:numPr>
                <w:ilvl w:val="0"/>
                <w:numId w:val="34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highlight w:val="none"/>
              </w:rPr>
              <w:t xml:space="preserve">Lavorazione pilota su impianto di estrazione delle pectine </w:t>
            </w:r>
            <w:r>
              <w:rPr>
                <w:rFonts w:hint="default" w:ascii="Calibri" w:hAnsi="Calibri" w:eastAsia="Calibri" w:cs="Calibri"/>
                <w:sz w:val="22"/>
                <w:szCs w:val="22"/>
                <w:highlight w:val="white"/>
              </w:rPr>
              <w:t xml:space="preserve">▷</w:t>
            </w:r>
            <w:r>
              <w:rPr>
                <w:rFonts w:ascii="Calibri" w:hAnsi="Calibri" w:eastAsia="Calibri" w:cs="Calibri"/>
                <w:sz w:val="22"/>
                <w:szCs w:val="22"/>
                <w:highlight w:val="white"/>
              </w:rPr>
              <w:t xml:space="preserve"> Obiettivo raggiunto (il progetto iniziale è concluso, si attende una ulteriore fase di sperimentazione) </w:t>
            </w:r>
            <w:r>
              <w:rPr>
                <w:rFonts w:hint="default" w:ascii="Calibri" w:hAnsi="Calibri" w:eastAsia="Calibri" w:cs="Calibri"/>
                <w:sz w:val="22"/>
                <w:szCs w:val="22"/>
                <w:highlight w:val="none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18.1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Prestazioni di processo e conformità dei prodotti e servizi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Vedi analisi indici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così come ripo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rtato nei moduli 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01.01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A/B/D/E/F/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G, che mostrano il pieno raggiungimento di tutti gli obiettivi aziendali.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nche i tempi previsti per l’esecuzione dei test di ritiro sono stati ottimali e le verifiche interne dei diversi Sistemi hanno mostrato il rispetto della normativa cogente in campo ambientale, sicurezza alimentare, salubrità dei luoghi di lavoro e fiscale.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fornitori di servizi hanno mostrato buone risposte e sono tutti riqualificati per l’anno a venire.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18.2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Non Conformità,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Azioni Correttive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, Risultati di audit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Piano delle Verifiche ispettive interne 20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4/25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è stato rispettato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le non conformità emerse sono state regolarmente gestite e risolte.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’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4/25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l’Azienda ha ricevuto diverse verifiche da parte dei maggiori clienti, concluse con esito positivo.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Sono state gestite 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on esito positivo 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anomalie rilevate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DNV in sede di verifica dei sistemi BRC e IFS.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18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.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3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Risultati del monitoraggio e della misurazione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– validazione Piano HACCP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– verifica dei CCP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laboratorio esegue le misurazioni 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analisi previste nel Piano dei controlli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i relativi risultati mostrano il rispetto dei limiti stabiliti sia internamente che di legge.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Il laboratorio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come di consueto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 verificare che i risultati delle analisi eseguite internamente siano corretti,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 inviato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ad un laboratorio esterno dei campioni per convalidare i metodi interni.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 corso dei primi mesi del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l’azienda ha effettuato dei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monitoraggi relativi alle produzioni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relativi costi sono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 linea con gli obiettivi di budget.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CCP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previsti dal piano di Autocontrollo (HACCP)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sono regolarment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monitorati e registrati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(visto M 10.30)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data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20/05/2024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è stata eseguita la verifica annuale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CCP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(pastorizzazione)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del CCP2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(filtrazion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e, eseguita il 10/04/2025)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ed ha dato esito positivo.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Il CCP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Blending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PH&lt;4, implementato per le produzioni di succo non pastorizzato,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è stato validato con la produzione di succo di melograno non pastorizzato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(SMGN 7/25 PF)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validazione del 17/04/2025.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validazion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del pastorizzatore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piastre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è stata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eseguit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in data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29/04/2025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mentre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validazione del pastorizzatore tubolare è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stata eseguita in data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22/05/2025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entrambe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hanno avuto esito positivo.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gruppo HACCP ha verificato alcune flow-chart, nuova revisione, di produzione dei prodotti Agrumigel e sta per verificare gli altri appena inizieranno le produzioni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Il melograno è stato già verificato in data 16/09/2025, il 11/11/2025 sarò validato per l’estrazione degli agrumi.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utti gli obiettivi stabiliti nel piano annuale, come già detto sopra, sono monitorati, ma anche i parametri di controllo del processo e dei prodotti identificati nel Piano 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10.02, sono regolarmente monitorati.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18.4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Prestazioni dei fornitori esterni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– qualifica e food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fraud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Come si evince dai risultati sintetizzati e riportati nella Lista dei fornitori valutati, il parco fornitori è in linea con la Politica Aziendale di qualità dei prodotti e servizi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conforme secondo la valutazione “Food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Fraud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”.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Adeguatezza delle risorse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Style w:val="1052"/>
              <w:pBdr/>
              <w:tabs>
                <w:tab w:val="clear" w:leader="none" w:pos="4819"/>
                <w:tab w:val="clear" w:leader="none" w:pos="9638"/>
              </w:tabs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strutture, continuamente verificate nella loro conformità rispetto alla normativa vigente, sono adeguate rispetto alle esigenze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ziendali ed in linea con gli obiettivi programmati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Efficacia delle azioni intraprese per affrontare i rischi e le opportunità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Style w:val="1052"/>
              <w:pBdr/>
              <w:tabs>
                <w:tab w:val="clear" w:leader="none" w:pos="4819"/>
                <w:tab w:val="clear" w:leader="none" w:pos="9638"/>
              </w:tabs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 Direzione ha rivalutato l’analisi dei rischi e l’efficacia delle azioni intraprese per ridurre o eliminare il rischio.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Normativa cogente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e Standard Qualità e Sicurezza alimentare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L’elenco della normativa applicabile è stato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aggiornato alla data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odierna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risulta adeguato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relativamente a ciò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riguarda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lo specifico settore produttivo e l’ambiente.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Il Sistema di autocontrollo igienico-san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Sistema di autocontrollo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(manuale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+procedure+documenti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viene sottoposto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 fine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approfondire e implementare le procedure aziendali.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punti trattati sono i seguenti: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22.1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Pulizia e disinfezione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Le pulizie eseguite in azienda vengono correttamente documentate ed i risultati delle verifiche interne eseguite dal laboratorio sono risultati sempre soddisfacenti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  <w:t xml:space="preserve">22.2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  <w:t xml:space="preserve">Pest management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Alla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ditta esterna RIF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RA è subentrata la ditta RENTOKIL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, il contratt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o con Rifra sarà valido fino a dicembre 2024, dopidiché si deciderà se mantere i rapporti con la nuova compagine societarià o cambaire il fornitore del servizio di pest control; in seguito al passaggio di consegna, comunque, la ditta Rentokil  ha eseguito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regolarmente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le verifiche periodiche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con risultati del monitoraggio sempre inferiori ai limiti di accettabilità del monitoraggio.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La relazione dell’andamento infestazioni conferma tale dato (periodo campagna agrumaria da ottobre 2024 a giugno  2025) così come la relazione tecnica redatta dall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a ditta incaricata.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I risultati dei controlli eseguiti internamente sono anch’essi soddisfacenti e non si rileva nessuna linea di tendenza che faccia pensare a possibili casi di infestazioni future. Sono riconfermati per il 2026 i controlli finora eseguiti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22.3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Programmi di manutenzione per attrezzature ed edifici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piani di manute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zione sono aggiornati e correttamente registrati.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Non si segnalano acqu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siti ed installazione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movimentazione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 nuovi macchin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 nel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Si riconferma il piano di manutenzione in corso anche per il 2026.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22.4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Requisiti di igiene del personale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attività di igiene vengono ribadite al personale nelle formazioni eseguite. Le verifiche sugli operatori (mani, indumenti di lavoro)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eseguite dal laboratorio interno, hanno dato sempre esiti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soddisfacenti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Si riconferma l’analisi del rischio per lavaggio mani, cambio guant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lavaggio divise o uso monouso per il 2026.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22.5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Formazione del personale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formazioni sono state eseguite per il personale correttamente, con esiti di valutazione dell’efficacia sempre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positivi per tutto il personale, con accrescimento della cultura della sicurezza alimentare in azienda, come confermato dagli esiti dei test somministrati periodicamente. Si riconferma il piano di formazione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osì come redatto per il 2025 anche per l’anno 2026.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  <w:t xml:space="preserve">22.6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  <w:t xml:space="preserve">Approvazione dei fornitori e procedure di acquisto 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  <w:highlight w:val="white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I fornitori sono stati tutti approvati e riqualificati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per la campagna agrumaria 2024/25, mentre è ancora in corso la qualifica per la campagna agrumaria 2025/26. Il sistema di qualifica è stato migliorato splittando l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richieste per la qualifica dei fornitori (microbiologia, chimica, allergeni, requisiti legali, etc.) che prima erano raggruppati in una sola voce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,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 mentre da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  <w:t xml:space="preserve">adesso in poi saranno indicate in modo più chiaro per ogni punto sottoposto a valutazione.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Non si segnalano, al momento, attività non conformi da parte dei fornitori per sicurezza alimentare, qualità, legalità e autenticità delle materie prime consegnate. </w:t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7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Accordi di trasporto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trasporto delle merci non è mai a carico della Agrumi-Gel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 sono sempre i clienti che inviano i propri trasportatori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8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Processi per prevenire la contaminazione crociata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Il flusso di lavoro non viene cambiato quindi non sussistono variazioni che possono creare fenomeni di contaminazione crociata più di quanto già validato in passato. Non sono stati se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gnalati, a supporto di tale affermazione, reclami dal cliente o non conformità interne inerenti problematiche relativa a contaminazioni crociate e le analisi eseguite, da laboratori esterni e dal laboratorio interno, hanno dato sempre esiti soddisfacenti. 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Le planimetrie dei flussi sono state riviste e sono stati confermati i flussi descritti in precedenza, in quanto nessuna variazione è accorsa.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22.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9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Gestione degli allergeni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</w:r>
          </w:p>
        </w:tc>
      </w:tr>
      <w:tr>
        <w:trPr/>
        <w:tc>
          <w:tcPr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azienda, fino qualche tempo fa, si usava SO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solo per un cliente per l’aggiunta ad una base per succo, ma tale prodotto non viene più richiesto da 2 anni e mezzo. L’SO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viene conservata in luogo dedicato, chiuso e isolato e ben segnalato.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Ind w:w="-17" w:type="dxa"/>
        <w:tblW w:w="10577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637"/>
        <w:gridCol w:w="9940"/>
      </w:tblGrid>
      <w:tr>
        <w:trPr/>
        <w:tc>
          <w:tcPr>
            <w:gridSpan w:val="2"/>
            <w:shd w:val="clear" w:color="auto" w:fill="eaf1dd" w:themeFill="accent3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color w:val="215968" w:themeColor="accent5" w:themeShade="8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215968" w:themeColor="accent5" w:themeShade="80"/>
                <w:sz w:val="22"/>
                <w:szCs w:val="22"/>
              </w:rPr>
              <w:t xml:space="preserve">DATI DI </w:t>
            </w:r>
            <w:r>
              <w:rPr>
                <w:rFonts w:asciiTheme="minorHAnsi" w:hAnsiTheme="minorHAnsi" w:cstheme="minorHAnsi"/>
                <w:b/>
                <w:bCs/>
                <w:color w:val="215968" w:themeColor="accent5" w:themeShade="80"/>
                <w:sz w:val="22"/>
                <w:szCs w:val="22"/>
              </w:rPr>
              <w:t xml:space="preserve">OUTPUT</w:t>
            </w:r>
            <w:r>
              <w:rPr>
                <w:rFonts w:asciiTheme="minorHAnsi" w:hAnsiTheme="minorHAnsi" w:cstheme="minorHAnsi"/>
                <w:b/>
                <w:bCs/>
                <w:color w:val="215968" w:themeColor="accent5" w:themeShade="8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color w:val="215968" w:themeColor="accent5" w:themeShade="80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Opportunità di miglioramento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00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 confermano gli obiettivi relativi agli indicatori di 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 da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Obiettivi 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Più i seguenti target per l’anno 2025/26: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Reclami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max 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Non conformità interne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max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Non conformità interne da audit interno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max 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Analisi non conformi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nessuna con patogeni o limiti oltre quelli di legge, max 3 per le altre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Infestanti: nessun valore oltre i limiti di accettabilità del monitoraggio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Food defence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valutazione conforme e test efficaci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Test tracciabilità, bilanci di massa e ritiri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tutti conformi per velocità ed efficacia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u w:val="single"/>
              </w:rPr>
              <w:t xml:space="preserve">Informatizzazione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: il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u w:val="none"/>
              </w:rPr>
              <w:t xml:space="preserve">sw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u w:val="none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previsto già nel 2025 e non ancora attivato verrà attivato nel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corso del 2026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u w:val="single"/>
              </w:rPr>
              <w:t xml:space="preserve">Fatturato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: previsto per la campagna 2025/26 un aumento del fatturato di circa il 10%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Esigenze di modifica al SGQ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 corso del 2026 si cercherà di elaborare una nuova edizione del piano di autocontrollo aziendale, rinnovando alcuni punti del sistema: già sono stati revisionati 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diagrammi di flusso, a seguire verrà eseguita la revisione del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 processo di analisi dei rischi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elaborazione dei Piani HACCP, provando a razionalizzare tali documenti e a compattarli in modo da renderli maggiormente visibili in caso di consultazione.</w:t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none"/>
              </w:rPr>
              <w:t xml:space="preserve">Si opterà, inoltre per una migliore compattazione di alcuni documenti, ad esempio i piani di campionamento ed analisi.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Piano di formazione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formazioni pianificate per il 20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 sono state tutte eseguite, con valutazione dell’efficacia soddisfacente.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 formazioni hanno riguardato anche gli aspetti della cultura della sicurezza alimentare, promossa dalla direzione per tutti i dipendenti. Presente la cassetta per eventuali segnalazioni anonime riguardanti legalità, sicurezza e qualità.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Il piano di formazione e di accrescimento della cultura della sicurezza alimentare viene riproposto per il 2026.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Risorse necessarie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Digitalizzazione del processo di lavorazione mediante acquisizione di un nuovo software.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alizzazione impianto pilota per estrazione delle pectine dalla scorza del limone tramite processo di cavitazione.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Non si prevede acquisizione di nuovo personale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Partecipazione a fiere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 prevede, come ogni anno la partecipazione come espositore ad una delle due fiere, SIAL o ANUGA; in una delle due si parteciperà come osservatore in un’altra come espositore. 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Fatturato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 prevede nel 2025 un aumento del fatturato di circa il 10% rispetto al 2024, come indicato nei dati di input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È ancora presto per fare una valutazione per l’anno 2026 in quanto la campagna agrumaria non è ancora iniziata.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Food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Defence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Non si prevedono ulteriori fattori di rischio per l’anno 2026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si riconfermano, quindi, le attività fino ad adesso svolte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6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9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Politica della Qualità, ambiente e Sicurezza Alimentare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trHeight w:val="188"/>
        </w:trPr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05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Non si prevede una revisione del documento per il 2026.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29210</wp:posOffset>
                </wp:positionV>
                <wp:extent cx="2011152" cy="778510"/>
                <wp:effectExtent l="0" t="0" r="8255" b="2540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786663" name="Immagine 111778666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011152" cy="778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7216;o:allowoverlap:true;o:allowincell:true;mso-position-horizontal-relative:text;margin-left:58.40pt;mso-position-horizontal:absolute;mso-position-vertical-relative:text;margin-top:2.30pt;mso-position-vertical:absolute;width:158.36pt;height:61.30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b/>
        </w:rPr>
        <w:br/>
      </w:r>
      <w:r>
        <w:rPr>
          <w:rFonts w:asciiTheme="minorHAnsi" w:hAnsiTheme="minorHAnsi" w:cstheme="minorHAnsi"/>
          <w:b/>
          <w:sz w:val="22"/>
          <w:szCs w:val="22"/>
        </w:rPr>
        <w:t xml:space="preserve">DATA</w:t>
      </w:r>
      <w:r>
        <w:rPr>
          <w:rFonts w:asciiTheme="minorHAnsi" w:hAnsiTheme="minorHAnsi" w:cstheme="minorHAnsi"/>
          <w:b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sz w:val="22"/>
          <w:szCs w:val="22"/>
        </w:rPr>
        <w:t xml:space="preserve">30/10/2025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Eseguito da: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__________________________________________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righ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sectPr>
      <w:headerReference w:type="default" r:id="rId9"/>
      <w:footnotePr>
        <w:pos w:val="beneathText"/>
      </w:footnotePr>
      <w:endnotePr/>
      <w:type w:val="nextPage"/>
      <w:pgSz w:h="16837" w:orient="portrait" w:w="11905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byssinica SIL">
    <w:panose1 w:val="02000603020000020004"/>
  </w:font>
  <w:font w:name="Calibri">
    <w:panose1 w:val="020F0502020204030204"/>
  </w:font>
  <w:font w:name="Times New Roman">
    <w:panose1 w:val="02020603050405020304"/>
  </w:font>
  <w:font w:name="Noto Sans Symbols">
    <w:panose1 w:val="020B0603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ndara">
    <w:panose1 w:val="020F0502020204030204"/>
  </w:font>
  <w:font w:name="Lucida Sans Unicode">
    <w:panose1 w:val="020B06030308040202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7" w:type="dxa"/>
      <w:tblW w:w="10577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2214"/>
      <w:gridCol w:w="6378"/>
      <w:gridCol w:w="1985"/>
    </w:tblGrid>
    <w:tr>
      <w:trPr/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214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  <w:t xml:space="preserve">Agrumi-Gel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  <w:t xml:space="preserve">S.r.l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  <w:t xml:space="preserve">.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6378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Verbale di </w:t>
          </w:r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R</w:t>
          </w:r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iesame</w:t>
          </w:r>
          <w:r>
            <w:rPr>
              <w:rFonts w:asciiTheme="minorHAnsi" w:hAnsiTheme="minorHAnsi" w:cstheme="minorHAnsi"/>
              <w:b/>
              <w:sz w:val="24"/>
              <w:szCs w:val="24"/>
            </w:rPr>
          </w:r>
          <w:r>
            <w:rPr>
              <w:rFonts w:asciiTheme="minorHAnsi" w:hAnsiTheme="minorHAnsi" w:cstheme="minorHAnsi"/>
              <w:b/>
              <w:sz w:val="24"/>
              <w:szCs w:val="24"/>
            </w:rPr>
          </w:r>
        </w:p>
        <w:p>
          <w:pPr>
            <w:pBdr/>
            <w:spacing/>
            <w:ind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4"/>
              <w:szCs w:val="24"/>
            </w:rPr>
            <w:t xml:space="preserve">del Sistema di Gestione Qualità e Sicurezza alimentare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</w:r>
          <w:r>
            <w:rPr>
              <w:rFonts w:asciiTheme="minorHAnsi" w:hAnsiTheme="minorHAnsi" w:cstheme="minorHAnsi"/>
              <w:b/>
              <w:sz w:val="22"/>
              <w:szCs w:val="22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985" w:type="dxa"/>
          <w:vAlign w:val="center"/>
          <w:textDirection w:val="lrTb"/>
          <w:noWrap w:val="false"/>
        </w:tcPr>
        <w:p>
          <w:pPr>
            <w:pStyle w:val="1039"/>
            <w:pBdr/>
            <w:spacing/>
            <w:ind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M 01.02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</w:r>
        </w:p>
        <w:p>
          <w:pPr>
            <w:pBdr/>
            <w:spacing/>
            <w:ind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Rev. 09 </w:t>
          </w:r>
          <w:r>
            <w:rPr>
              <w:rFonts w:asciiTheme="minorHAnsi" w:hAnsiTheme="minorHAnsi" w:cstheme="minorHAnsi"/>
              <w:sz w:val="22"/>
              <w:szCs w:val="22"/>
            </w:rPr>
          </w:r>
          <w:r>
            <w:rPr>
              <w:rFonts w:asciiTheme="minorHAnsi" w:hAnsiTheme="minorHAnsi" w:cstheme="minorHAnsi"/>
              <w:sz w:val="22"/>
              <w:szCs w:val="22"/>
            </w:rPr>
          </w:r>
        </w:p>
        <w:p>
          <w:pPr>
            <w:pBdr/>
            <w:spacing/>
            <w:ind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del 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16/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0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1/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2023</w:t>
          </w:r>
          <w:r>
            <w:rPr>
              <w:rFonts w:asciiTheme="minorHAnsi" w:hAnsiTheme="minorHAnsi" w:cstheme="minorHAnsi"/>
              <w:sz w:val="22"/>
              <w:szCs w:val="22"/>
            </w:rPr>
          </w:r>
          <w:r>
            <w:rPr>
              <w:rFonts w:asciiTheme="minorHAnsi" w:hAnsiTheme="minorHAnsi" w:cstheme="minorHAnsi"/>
              <w:sz w:val="22"/>
              <w:szCs w:val="22"/>
            </w:rPr>
          </w:r>
        </w:p>
      </w:tc>
    </w:tr>
  </w:tbl>
  <w:p>
    <w:pPr>
      <w:pStyle w:val="105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37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9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1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3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5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7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9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1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37"/>
      </w:pPr>
      <w:rPr/>
      <w:start w:val="1"/>
      <w:suff w:val="tab"/>
    </w:lvl>
  </w:abstractNum>
  <w:abstractNum w:abstractNumId="1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16"/>
        <w:szCs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"/>
      <w:numFmt w:val="bullet"/>
      <w:pPr>
        <w:pBdr/>
        <w:spacing/>
        <w:ind w:hanging="360" w:left="7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7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§"/>
      <w:numFmt w:val="bullet"/>
      <w:pPr>
        <w:pBdr/>
        <w:spacing/>
        <w:ind w:hanging="360" w:left="7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§"/>
      <w:numFmt w:val="bullet"/>
      <w:pPr>
        <w:pBdr/>
        <w:spacing/>
        <w:ind w:hanging="360" w:left="7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§"/>
      <w:numFmt w:val="bullet"/>
      <w:pPr>
        <w:pBdr/>
        <w:spacing/>
        <w:ind w:hanging="360" w:left="7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§"/>
      <w:numFmt w:val="bullet"/>
      <w:pPr>
        <w:pBdr/>
        <w:spacing/>
        <w:ind w:hanging="360" w:left="7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9">
    <w:name w:val="Table Grid Light"/>
    <w:basedOn w:val="10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1"/>
    <w:basedOn w:val="10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2"/>
    <w:basedOn w:val="10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1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2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3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4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5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6"/>
    <w:basedOn w:val="10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1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2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3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4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5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6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1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2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3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4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5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6"/>
    <w:basedOn w:val="10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1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2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3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4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5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6"/>
    <w:basedOn w:val="10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>
    <w:name w:val="Heading 3"/>
    <w:basedOn w:val="1038"/>
    <w:next w:val="1038"/>
    <w:link w:val="9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5">
    <w:name w:val="Heading 4"/>
    <w:basedOn w:val="1038"/>
    <w:next w:val="1038"/>
    <w:link w:val="9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6">
    <w:name w:val="Heading 5"/>
    <w:basedOn w:val="1038"/>
    <w:next w:val="1038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7">
    <w:name w:val="Heading 6"/>
    <w:basedOn w:val="1038"/>
    <w:next w:val="1038"/>
    <w:link w:val="9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8">
    <w:name w:val="Heading 7"/>
    <w:basedOn w:val="1038"/>
    <w:next w:val="1038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9">
    <w:name w:val="Heading 8"/>
    <w:basedOn w:val="1038"/>
    <w:next w:val="1038"/>
    <w:link w:val="9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0">
    <w:name w:val="Heading 9"/>
    <w:basedOn w:val="1038"/>
    <w:next w:val="1038"/>
    <w:link w:val="9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1">
    <w:name w:val="Heading 1 Char"/>
    <w:basedOn w:val="1041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1041"/>
    <w:link w:val="10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1041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1041"/>
    <w:link w:val="9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1041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1041"/>
    <w:link w:val="9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1041"/>
    <w:link w:val="9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1041"/>
    <w:link w:val="9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1041"/>
    <w:link w:val="9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0">
    <w:name w:val="Title"/>
    <w:basedOn w:val="1038"/>
    <w:next w:val="1038"/>
    <w:link w:val="10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Title Char"/>
    <w:basedOn w:val="1041"/>
    <w:link w:val="10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2">
    <w:name w:val="Subtitle"/>
    <w:basedOn w:val="1038"/>
    <w:next w:val="1038"/>
    <w:link w:val="10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3">
    <w:name w:val="Subtitle Char"/>
    <w:basedOn w:val="1041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4">
    <w:name w:val="Quote"/>
    <w:basedOn w:val="1038"/>
    <w:next w:val="1038"/>
    <w:link w:val="10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5">
    <w:name w:val="Quote Char"/>
    <w:basedOn w:val="1041"/>
    <w:link w:val="10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Intense Emphasis"/>
    <w:basedOn w:val="10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7">
    <w:name w:val="Intense Quote"/>
    <w:basedOn w:val="1038"/>
    <w:next w:val="1038"/>
    <w:link w:val="10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8">
    <w:name w:val="Intense Quote Char"/>
    <w:basedOn w:val="1041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9">
    <w:name w:val="Intense Reference"/>
    <w:basedOn w:val="10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0">
    <w:name w:val="No Spacing"/>
    <w:basedOn w:val="1038"/>
    <w:uiPriority w:val="1"/>
    <w:qFormat/>
    <w:pPr>
      <w:pBdr/>
      <w:spacing w:after="0" w:line="240" w:lineRule="auto"/>
      <w:ind/>
    </w:pPr>
  </w:style>
  <w:style w:type="character" w:styleId="1011">
    <w:name w:val="Subtle Emphasis"/>
    <w:basedOn w:val="10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2">
    <w:name w:val="Emphasis"/>
    <w:basedOn w:val="1041"/>
    <w:uiPriority w:val="20"/>
    <w:qFormat/>
    <w:pPr>
      <w:pBdr/>
      <w:spacing/>
      <w:ind/>
    </w:pPr>
    <w:rPr>
      <w:i/>
      <w:iCs/>
    </w:rPr>
  </w:style>
  <w:style w:type="character" w:styleId="1013">
    <w:name w:val="Strong"/>
    <w:basedOn w:val="1041"/>
    <w:uiPriority w:val="22"/>
    <w:qFormat/>
    <w:pPr>
      <w:pBdr/>
      <w:spacing/>
      <w:ind/>
    </w:pPr>
    <w:rPr>
      <w:b/>
      <w:bCs/>
    </w:rPr>
  </w:style>
  <w:style w:type="character" w:styleId="1014">
    <w:name w:val="Subtle Reference"/>
    <w:basedOn w:val="10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5">
    <w:name w:val="Book Title"/>
    <w:basedOn w:val="10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6">
    <w:name w:val="Header Char"/>
    <w:basedOn w:val="1041"/>
    <w:link w:val="1052"/>
    <w:uiPriority w:val="99"/>
    <w:pPr>
      <w:pBdr/>
      <w:spacing/>
      <w:ind/>
    </w:pPr>
  </w:style>
  <w:style w:type="character" w:styleId="1017">
    <w:name w:val="Footer Char"/>
    <w:basedOn w:val="1041"/>
    <w:link w:val="1053"/>
    <w:uiPriority w:val="99"/>
    <w:pPr>
      <w:pBdr/>
      <w:spacing/>
      <w:ind/>
    </w:pPr>
  </w:style>
  <w:style w:type="paragraph" w:styleId="1018">
    <w:name w:val="Caption"/>
    <w:basedOn w:val="1038"/>
    <w:next w:val="10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9">
    <w:name w:val="footnote text"/>
    <w:basedOn w:val="1038"/>
    <w:link w:val="10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0">
    <w:name w:val="Footnote Text Char"/>
    <w:basedOn w:val="1041"/>
    <w:link w:val="1019"/>
    <w:uiPriority w:val="99"/>
    <w:semiHidden/>
    <w:pPr>
      <w:pBdr/>
      <w:spacing/>
      <w:ind/>
    </w:pPr>
    <w:rPr>
      <w:sz w:val="20"/>
      <w:szCs w:val="20"/>
    </w:rPr>
  </w:style>
  <w:style w:type="character" w:styleId="1021">
    <w:name w:val="footnote reference"/>
    <w:basedOn w:val="1041"/>
    <w:uiPriority w:val="99"/>
    <w:semiHidden/>
    <w:unhideWhenUsed/>
    <w:pPr>
      <w:pBdr/>
      <w:spacing/>
      <w:ind/>
    </w:pPr>
    <w:rPr>
      <w:vertAlign w:val="superscript"/>
    </w:rPr>
  </w:style>
  <w:style w:type="paragraph" w:styleId="1022">
    <w:name w:val="endnote text"/>
    <w:basedOn w:val="1038"/>
    <w:link w:val="10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3">
    <w:name w:val="Endnote Text Char"/>
    <w:basedOn w:val="1041"/>
    <w:link w:val="1022"/>
    <w:uiPriority w:val="99"/>
    <w:semiHidden/>
    <w:pPr>
      <w:pBdr/>
      <w:spacing/>
      <w:ind/>
    </w:pPr>
    <w:rPr>
      <w:sz w:val="20"/>
      <w:szCs w:val="20"/>
    </w:rPr>
  </w:style>
  <w:style w:type="character" w:styleId="1024">
    <w:name w:val="endnote reference"/>
    <w:basedOn w:val="1041"/>
    <w:uiPriority w:val="99"/>
    <w:semiHidden/>
    <w:unhideWhenUsed/>
    <w:pPr>
      <w:pBdr/>
      <w:spacing/>
      <w:ind/>
    </w:pPr>
    <w:rPr>
      <w:vertAlign w:val="superscript"/>
    </w:rPr>
  </w:style>
  <w:style w:type="character" w:styleId="1025">
    <w:name w:val="FollowedHyperlink"/>
    <w:basedOn w:val="10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6">
    <w:name w:val="toc 1"/>
    <w:basedOn w:val="1038"/>
    <w:next w:val="1038"/>
    <w:uiPriority w:val="39"/>
    <w:unhideWhenUsed/>
    <w:pPr>
      <w:pBdr/>
      <w:spacing w:after="100"/>
      <w:ind/>
    </w:pPr>
  </w:style>
  <w:style w:type="paragraph" w:styleId="1027">
    <w:name w:val="toc 2"/>
    <w:basedOn w:val="1038"/>
    <w:next w:val="1038"/>
    <w:uiPriority w:val="39"/>
    <w:unhideWhenUsed/>
    <w:pPr>
      <w:pBdr/>
      <w:spacing w:after="100"/>
      <w:ind w:left="220"/>
    </w:pPr>
  </w:style>
  <w:style w:type="paragraph" w:styleId="1028">
    <w:name w:val="toc 3"/>
    <w:basedOn w:val="1038"/>
    <w:next w:val="1038"/>
    <w:uiPriority w:val="39"/>
    <w:unhideWhenUsed/>
    <w:pPr>
      <w:pBdr/>
      <w:spacing w:after="100"/>
      <w:ind w:left="440"/>
    </w:pPr>
  </w:style>
  <w:style w:type="paragraph" w:styleId="1029">
    <w:name w:val="toc 4"/>
    <w:basedOn w:val="1038"/>
    <w:next w:val="1038"/>
    <w:uiPriority w:val="39"/>
    <w:unhideWhenUsed/>
    <w:pPr>
      <w:pBdr/>
      <w:spacing w:after="100"/>
      <w:ind w:left="660"/>
    </w:pPr>
  </w:style>
  <w:style w:type="paragraph" w:styleId="1030">
    <w:name w:val="toc 5"/>
    <w:basedOn w:val="1038"/>
    <w:next w:val="1038"/>
    <w:uiPriority w:val="39"/>
    <w:unhideWhenUsed/>
    <w:pPr>
      <w:pBdr/>
      <w:spacing w:after="100"/>
      <w:ind w:left="880"/>
    </w:pPr>
  </w:style>
  <w:style w:type="paragraph" w:styleId="1031">
    <w:name w:val="toc 6"/>
    <w:basedOn w:val="1038"/>
    <w:next w:val="1038"/>
    <w:uiPriority w:val="39"/>
    <w:unhideWhenUsed/>
    <w:pPr>
      <w:pBdr/>
      <w:spacing w:after="100"/>
      <w:ind w:left="1100"/>
    </w:pPr>
  </w:style>
  <w:style w:type="paragraph" w:styleId="1032">
    <w:name w:val="toc 7"/>
    <w:basedOn w:val="1038"/>
    <w:next w:val="1038"/>
    <w:uiPriority w:val="39"/>
    <w:unhideWhenUsed/>
    <w:pPr>
      <w:pBdr/>
      <w:spacing w:after="100"/>
      <w:ind w:left="1320"/>
    </w:pPr>
  </w:style>
  <w:style w:type="paragraph" w:styleId="1033">
    <w:name w:val="toc 8"/>
    <w:basedOn w:val="1038"/>
    <w:next w:val="1038"/>
    <w:uiPriority w:val="39"/>
    <w:unhideWhenUsed/>
    <w:pPr>
      <w:pBdr/>
      <w:spacing w:after="100"/>
      <w:ind w:left="1540"/>
    </w:pPr>
  </w:style>
  <w:style w:type="paragraph" w:styleId="1034">
    <w:name w:val="toc 9"/>
    <w:basedOn w:val="1038"/>
    <w:next w:val="1038"/>
    <w:uiPriority w:val="39"/>
    <w:unhideWhenUsed/>
    <w:pPr>
      <w:pBdr/>
      <w:spacing w:after="100"/>
      <w:ind w:left="1760"/>
    </w:pPr>
  </w:style>
  <w:style w:type="character" w:styleId="1035">
    <w:name w:val="Placeholder Text"/>
    <w:basedOn w:val="1041"/>
    <w:uiPriority w:val="99"/>
    <w:semiHidden/>
    <w:pPr>
      <w:pBdr/>
      <w:spacing/>
      <w:ind/>
    </w:pPr>
    <w:rPr>
      <w:color w:val="666666"/>
    </w:rPr>
  </w:style>
  <w:style w:type="paragraph" w:styleId="1036">
    <w:name w:val="TOC Heading"/>
    <w:uiPriority w:val="39"/>
    <w:unhideWhenUsed/>
    <w:pPr>
      <w:pBdr/>
      <w:spacing/>
      <w:ind/>
    </w:pPr>
  </w:style>
  <w:style w:type="paragraph" w:styleId="1037">
    <w:name w:val="table of figures"/>
    <w:basedOn w:val="1038"/>
    <w:next w:val="1038"/>
    <w:uiPriority w:val="99"/>
    <w:unhideWhenUsed/>
    <w:pPr>
      <w:pBdr/>
      <w:spacing w:after="0" w:afterAutospacing="0"/>
      <w:ind/>
    </w:pPr>
  </w:style>
  <w:style w:type="paragraph" w:styleId="1038" w:default="1">
    <w:name w:val="Normal"/>
    <w:qFormat/>
    <w:pPr>
      <w:pBdr/>
      <w:spacing/>
      <w:ind/>
    </w:pPr>
    <w:rPr>
      <w:lang w:eastAsia="ar-SA"/>
    </w:rPr>
  </w:style>
  <w:style w:type="paragraph" w:styleId="1039">
    <w:name w:val="Heading 1"/>
    <w:basedOn w:val="1038"/>
    <w:next w:val="1038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1040">
    <w:name w:val="Heading 2"/>
    <w:basedOn w:val="1038"/>
    <w:next w:val="1038"/>
    <w:qFormat/>
    <w:pPr>
      <w:keepNext w:val="true"/>
      <w:pBdr/>
      <w:spacing/>
      <w:ind/>
      <w:outlineLvl w:val="1"/>
    </w:pPr>
    <w:rPr>
      <w:sz w:val="24"/>
    </w:rPr>
  </w:style>
  <w:style w:type="character" w:styleId="1041" w:default="1">
    <w:name w:val="Default Paragraph Font"/>
    <w:uiPriority w:val="1"/>
    <w:semiHidden/>
    <w:unhideWhenUsed/>
    <w:pPr>
      <w:pBdr/>
      <w:spacing/>
      <w:ind/>
    </w:pPr>
  </w:style>
  <w:style w:type="table" w:styleId="10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3" w:default="1">
    <w:name w:val="No List"/>
    <w:uiPriority w:val="99"/>
    <w:semiHidden/>
    <w:unhideWhenUsed/>
    <w:pPr>
      <w:pBdr/>
      <w:spacing/>
      <w:ind/>
    </w:pPr>
  </w:style>
  <w:style w:type="character" w:styleId="1044" w:customStyle="1">
    <w:name w:val="Absatz-Standardschriftart"/>
    <w:pPr>
      <w:pBdr/>
      <w:spacing/>
      <w:ind/>
    </w:pPr>
  </w:style>
  <w:style w:type="character" w:styleId="1045" w:customStyle="1">
    <w:name w:val="WW-Absatz-Standardschriftart"/>
    <w:pPr>
      <w:pBdr/>
      <w:spacing/>
      <w:ind/>
    </w:pPr>
  </w:style>
  <w:style w:type="character" w:styleId="1046" w:customStyle="1">
    <w:name w:val="Carattere predefinito paragrafo"/>
    <w:pPr>
      <w:pBdr/>
      <w:spacing/>
      <w:ind/>
    </w:pPr>
  </w:style>
  <w:style w:type="paragraph" w:styleId="1047">
    <w:name w:val="Body Text"/>
    <w:basedOn w:val="1038"/>
    <w:pPr>
      <w:pBdr/>
      <w:spacing w:after="120"/>
      <w:ind/>
    </w:pPr>
  </w:style>
  <w:style w:type="paragraph" w:styleId="1048">
    <w:name w:val="List"/>
    <w:basedOn w:val="1047"/>
    <w:pPr>
      <w:pBdr/>
      <w:spacing/>
      <w:ind/>
    </w:pPr>
    <w:rPr>
      <w:rFonts w:cs="Tahoma"/>
    </w:rPr>
  </w:style>
  <w:style w:type="paragraph" w:styleId="1049" w:customStyle="1">
    <w:name w:val="Dicitura"/>
    <w:basedOn w:val="1038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50" w:customStyle="1">
    <w:name w:val="Indice"/>
    <w:basedOn w:val="1038"/>
    <w:pPr>
      <w:suppressLineNumbers w:val="true"/>
      <w:pBdr/>
      <w:spacing/>
      <w:ind/>
    </w:pPr>
    <w:rPr>
      <w:rFonts w:cs="Tahoma"/>
    </w:rPr>
  </w:style>
  <w:style w:type="paragraph" w:styleId="1051" w:customStyle="1">
    <w:name w:val="Intestazione1"/>
    <w:basedOn w:val="1038"/>
    <w:next w:val="1047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52">
    <w:name w:val="Header"/>
    <w:basedOn w:val="103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53">
    <w:name w:val="Footer"/>
    <w:basedOn w:val="103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54" w:customStyle="1">
    <w:name w:val="Contenuto tabella"/>
    <w:basedOn w:val="1038"/>
    <w:pPr>
      <w:suppressLineNumbers w:val="true"/>
      <w:pBdr/>
      <w:spacing/>
      <w:ind/>
    </w:pPr>
  </w:style>
  <w:style w:type="paragraph" w:styleId="1055" w:customStyle="1">
    <w:name w:val="Intestazione tabella"/>
    <w:basedOn w:val="1054"/>
    <w:pPr>
      <w:pBdr/>
      <w:spacing/>
      <w:ind/>
      <w:jc w:val="center"/>
    </w:pPr>
    <w:rPr>
      <w:b/>
      <w:bCs/>
      <w:i/>
      <w:iCs/>
    </w:rPr>
  </w:style>
  <w:style w:type="paragraph" w:styleId="1056" w:customStyle="1">
    <w:name w:val="Default"/>
    <w:pPr>
      <w:pBdr/>
      <w:spacing/>
      <w:ind/>
    </w:pPr>
    <w:rPr>
      <w:rFonts w:ascii="Candara" w:hAnsi="Candara" w:cs="Candara"/>
      <w:color w:val="000000"/>
      <w:sz w:val="24"/>
      <w:szCs w:val="24"/>
    </w:rPr>
  </w:style>
  <w:style w:type="paragraph" w:styleId="1057">
    <w:name w:val="Balloon Text"/>
    <w:basedOn w:val="1038"/>
    <w:link w:val="1058"/>
    <w:pPr>
      <w:pBdr/>
      <w:spacing/>
      <w:ind/>
    </w:pPr>
    <w:rPr>
      <w:rFonts w:ascii="Tahoma" w:hAnsi="Tahoma" w:cs="Tahoma"/>
      <w:sz w:val="16"/>
      <w:szCs w:val="16"/>
    </w:rPr>
  </w:style>
  <w:style w:type="character" w:styleId="1058" w:customStyle="1">
    <w:name w:val="Testo fumetto Carattere"/>
    <w:basedOn w:val="1041"/>
    <w:link w:val="105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paragraph" w:styleId="1059">
    <w:name w:val="List Paragraph"/>
    <w:basedOn w:val="1038"/>
    <w:uiPriority w:val="34"/>
    <w:qFormat/>
    <w:pPr>
      <w:pBdr/>
      <w:spacing/>
      <w:ind w:left="720"/>
      <w:contextualSpacing w:val="true"/>
    </w:pPr>
  </w:style>
  <w:style w:type="table" w:styleId="1060">
    <w:name w:val="Table Grid"/>
    <w:basedOn w:val="1042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1">
    <w:name w:val="Hyperlink"/>
    <w:basedOn w:val="1041"/>
    <w:unhideWhenUsed/>
    <w:pPr>
      <w:pBdr/>
      <w:spacing/>
      <w:ind/>
    </w:pPr>
    <w:rPr>
      <w:color w:val="0000ff" w:themeColor="hyperlink"/>
      <w:u w:val="single"/>
    </w:rPr>
  </w:style>
  <w:style w:type="character" w:styleId="1062" w:customStyle="1">
    <w:name w:val="Menzione non risolta1"/>
    <w:basedOn w:val="104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63">
    <w:name w:val="Revision"/>
    <w:hidden/>
    <w:uiPriority w:val="99"/>
    <w:semiHidden/>
    <w:pPr>
      <w:pBdr/>
      <w:spacing/>
      <w:ind/>
    </w:pPr>
    <w:rPr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www.google.com/maps/place/data=!4m2!3m1!1s0x1314253e0d5d6731:0xd51359dd30951757?sa=X&amp;ved=1t:8290&amp;ictx=111" TargetMode="External"/><Relationship Id="rId12" Type="http://schemas.openxmlformats.org/officeDocument/2006/relationships/hyperlink" Target="https://qualitiamo.com/articoli/politica%20per%20la%20qualita.html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70468-A50E-4B10-811D-496621D6D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05.02 Verbale di riesame del sistema</dc:title>
  <dc:creator>Dr. Rosaria Pipitone</dc:creator>
  <cp:lastModifiedBy>Francesco Scavello</cp:lastModifiedBy>
  <cp:revision>319</cp:revision>
  <dcterms:created xsi:type="dcterms:W3CDTF">2019-04-04T09:58:00Z</dcterms:created>
  <dcterms:modified xsi:type="dcterms:W3CDTF">2025-11-21T16:39:10Z</dcterms:modified>
</cp:coreProperties>
</file>