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2907" w14:textId="542A758A" w:rsidR="0027416F" w:rsidRPr="00CF2CE7" w:rsidRDefault="0027416F" w:rsidP="0027416F">
      <w:pPr>
        <w:rPr>
          <w:rFonts w:asciiTheme="minorHAnsi" w:hAnsiTheme="minorHAnsi" w:cstheme="minorHAnsi"/>
          <w:szCs w:val="22"/>
        </w:rPr>
      </w:pPr>
      <w:r w:rsidRPr="00CF2CE7">
        <w:rPr>
          <w:rFonts w:asciiTheme="minorHAnsi" w:hAnsiTheme="minorHAnsi" w:cstheme="minorHAnsi"/>
          <w:szCs w:val="22"/>
        </w:rPr>
        <w:t>Predisposto sulla base dell’allegato 5 “Valutazione del Rischio SA8000:2014”</w:t>
      </w:r>
    </w:p>
    <w:tbl>
      <w:tblPr>
        <w:tblW w:w="150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943"/>
        <w:gridCol w:w="3949"/>
        <w:gridCol w:w="1120"/>
        <w:gridCol w:w="1134"/>
        <w:gridCol w:w="926"/>
        <w:gridCol w:w="1767"/>
        <w:gridCol w:w="905"/>
        <w:gridCol w:w="1113"/>
      </w:tblGrid>
      <w:tr w:rsidR="0027416F" w:rsidRPr="00CF2CE7" w14:paraId="08896BDC" w14:textId="77777777" w:rsidTr="00CF2CE7">
        <w:trPr>
          <w:cantSplit/>
          <w:trHeight w:val="323"/>
          <w:jc w:val="center"/>
        </w:trPr>
        <w:tc>
          <w:tcPr>
            <w:tcW w:w="2197" w:type="dxa"/>
            <w:vMerge w:val="restart"/>
            <w:vAlign w:val="center"/>
          </w:tcPr>
          <w:p w14:paraId="380A4421" w14:textId="77777777" w:rsidR="0027416F" w:rsidRPr="00CF2CE7" w:rsidRDefault="0027416F" w:rsidP="00CF2CE7">
            <w:pPr>
              <w:tabs>
                <w:tab w:val="left" w:pos="13183"/>
              </w:tabs>
              <w:ind w:right="-30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Obiettivo</w:t>
            </w:r>
          </w:p>
        </w:tc>
        <w:tc>
          <w:tcPr>
            <w:tcW w:w="1943" w:type="dxa"/>
            <w:vMerge w:val="restart"/>
            <w:vAlign w:val="center"/>
          </w:tcPr>
          <w:p w14:paraId="7CE4712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Traguardo</w:t>
            </w:r>
          </w:p>
        </w:tc>
        <w:tc>
          <w:tcPr>
            <w:tcW w:w="3949" w:type="dxa"/>
            <w:vMerge w:val="restart"/>
            <w:vAlign w:val="center"/>
          </w:tcPr>
          <w:p w14:paraId="62D55309" w14:textId="77777777" w:rsidR="0027416F" w:rsidRPr="00CF2CE7" w:rsidRDefault="0027416F" w:rsidP="00D750CD">
            <w:pPr>
              <w:tabs>
                <w:tab w:val="left" w:pos="13183"/>
              </w:tabs>
              <w:ind w:right="-30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Azione da intraprendere</w:t>
            </w:r>
          </w:p>
        </w:tc>
        <w:tc>
          <w:tcPr>
            <w:tcW w:w="1120" w:type="dxa"/>
            <w:vMerge w:val="restart"/>
            <w:vAlign w:val="center"/>
          </w:tcPr>
          <w:p w14:paraId="2CDF5BE9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Respons.</w:t>
            </w:r>
          </w:p>
          <w:p w14:paraId="0FD5B2BE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attuazione</w:t>
            </w:r>
          </w:p>
        </w:tc>
        <w:tc>
          <w:tcPr>
            <w:tcW w:w="1134" w:type="dxa"/>
            <w:vMerge w:val="restart"/>
            <w:vAlign w:val="center"/>
          </w:tcPr>
          <w:p w14:paraId="1436E63D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Indicatore</w:t>
            </w:r>
          </w:p>
        </w:tc>
        <w:tc>
          <w:tcPr>
            <w:tcW w:w="926" w:type="dxa"/>
            <w:vMerge w:val="restart"/>
            <w:vAlign w:val="center"/>
          </w:tcPr>
          <w:p w14:paraId="192B6304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Valore</w:t>
            </w:r>
          </w:p>
          <w:p w14:paraId="3082546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atteso</w:t>
            </w:r>
          </w:p>
        </w:tc>
        <w:tc>
          <w:tcPr>
            <w:tcW w:w="1767" w:type="dxa"/>
            <w:vMerge w:val="restart"/>
            <w:vAlign w:val="center"/>
          </w:tcPr>
          <w:p w14:paraId="12ED36AF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Entro il</w:t>
            </w:r>
          </w:p>
        </w:tc>
        <w:tc>
          <w:tcPr>
            <w:tcW w:w="2018" w:type="dxa"/>
            <w:gridSpan w:val="2"/>
            <w:vAlign w:val="center"/>
          </w:tcPr>
          <w:p w14:paraId="315798B0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ESITO</w:t>
            </w:r>
          </w:p>
        </w:tc>
      </w:tr>
      <w:tr w:rsidR="0027416F" w:rsidRPr="00CF2CE7" w14:paraId="0A5262FA" w14:textId="77777777" w:rsidTr="00CF2CE7">
        <w:trPr>
          <w:cantSplit/>
          <w:trHeight w:val="322"/>
          <w:jc w:val="center"/>
        </w:trPr>
        <w:tc>
          <w:tcPr>
            <w:tcW w:w="2197" w:type="dxa"/>
            <w:vMerge/>
            <w:vAlign w:val="center"/>
          </w:tcPr>
          <w:p w14:paraId="1AFB9B2F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1943" w:type="dxa"/>
            <w:vMerge/>
            <w:vAlign w:val="center"/>
          </w:tcPr>
          <w:p w14:paraId="417D1FC2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3949" w:type="dxa"/>
            <w:vMerge/>
            <w:tcBorders>
              <w:bottom w:val="single" w:sz="4" w:space="0" w:color="auto"/>
            </w:tcBorders>
            <w:vAlign w:val="center"/>
          </w:tcPr>
          <w:p w14:paraId="78382C77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1120" w:type="dxa"/>
            <w:vMerge/>
            <w:vAlign w:val="center"/>
          </w:tcPr>
          <w:p w14:paraId="1E0ECD04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8DBC8A1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926" w:type="dxa"/>
            <w:vMerge/>
            <w:vAlign w:val="center"/>
          </w:tcPr>
          <w:p w14:paraId="62AC887A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1767" w:type="dxa"/>
            <w:vMerge/>
            <w:vAlign w:val="center"/>
          </w:tcPr>
          <w:p w14:paraId="0FFC8ECF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905" w:type="dxa"/>
            <w:vAlign w:val="center"/>
          </w:tcPr>
          <w:p w14:paraId="66FF508C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Conseguito in data</w:t>
            </w:r>
          </w:p>
        </w:tc>
        <w:tc>
          <w:tcPr>
            <w:tcW w:w="1113" w:type="dxa"/>
            <w:vAlign w:val="center"/>
          </w:tcPr>
          <w:p w14:paraId="6BC1F149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Non Conseguito in data</w:t>
            </w:r>
          </w:p>
        </w:tc>
      </w:tr>
      <w:tr w:rsidR="0027416F" w:rsidRPr="00CF2CE7" w14:paraId="1C434CA7" w14:textId="77777777" w:rsidTr="00CF2CE7">
        <w:trPr>
          <w:cantSplit/>
          <w:trHeight w:val="3467"/>
          <w:jc w:val="center"/>
        </w:trPr>
        <w:tc>
          <w:tcPr>
            <w:tcW w:w="2197" w:type="dxa"/>
            <w:vAlign w:val="center"/>
          </w:tcPr>
          <w:p w14:paraId="15ABC233" w14:textId="5D19A12A" w:rsidR="0027416F" w:rsidRPr="00CF2CE7" w:rsidRDefault="00D25840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Migliorare le condizioni del personale esterno</w:t>
            </w:r>
          </w:p>
        </w:tc>
        <w:tc>
          <w:tcPr>
            <w:tcW w:w="1943" w:type="dxa"/>
            <w:vAlign w:val="center"/>
          </w:tcPr>
          <w:p w14:paraId="7F69EEB8" w14:textId="77777777" w:rsidR="0027416F" w:rsidRDefault="00D25840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Miglioramento delle condizioni contrattuali dei lavoratori della cooperativa</w:t>
            </w:r>
            <w:r w:rsidR="006437E6">
              <w:rPr>
                <w:rFonts w:asciiTheme="minorHAnsi" w:hAnsiTheme="minorHAnsi" w:cstheme="minorHAnsi"/>
                <w:szCs w:val="22"/>
              </w:rPr>
              <w:t xml:space="preserve"> che operano all’interno di Agrumigel</w:t>
            </w:r>
          </w:p>
          <w:p w14:paraId="4E2412D4" w14:textId="77777777" w:rsidR="004C6AC9" w:rsidRDefault="004C6AC9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7945ECE6" w14:textId="154E8D9B" w:rsidR="004C6AC9" w:rsidRPr="004C6AC9" w:rsidRDefault="004C6AC9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Raggiungimento di un valore di </w:t>
            </w:r>
            <w:r>
              <w:rPr>
                <w:rFonts w:asciiTheme="minorHAnsi" w:hAnsiTheme="minorHAnsi" w:cstheme="minorHAnsi"/>
                <w:i/>
                <w:iCs/>
                <w:szCs w:val="22"/>
              </w:rPr>
              <w:t xml:space="preserve">Living wage </w:t>
            </w:r>
            <w:r>
              <w:rPr>
                <w:rFonts w:asciiTheme="minorHAnsi" w:hAnsiTheme="minorHAnsi" w:cstheme="minorHAnsi"/>
                <w:szCs w:val="22"/>
              </w:rPr>
              <w:t>idoneo.</w:t>
            </w:r>
          </w:p>
        </w:tc>
        <w:tc>
          <w:tcPr>
            <w:tcW w:w="3949" w:type="dxa"/>
            <w:vAlign w:val="center"/>
          </w:tcPr>
          <w:p w14:paraId="39B2AD1B" w14:textId="77777777" w:rsidR="0027416F" w:rsidRDefault="00D25840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Sensibilizzazione del fornitore </w:t>
            </w:r>
            <w:r w:rsidR="006437E6">
              <w:rPr>
                <w:rFonts w:asciiTheme="minorHAnsi" w:hAnsiTheme="minorHAnsi" w:cstheme="minorHAnsi"/>
                <w:szCs w:val="22"/>
              </w:rPr>
              <w:t xml:space="preserve">sulla gestione del suo personale </w:t>
            </w:r>
          </w:p>
          <w:p w14:paraId="38B7AC91" w14:textId="77777777" w:rsidR="004C6AC9" w:rsidRDefault="004C6AC9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</w:p>
          <w:p w14:paraId="1D534B50" w14:textId="77777777" w:rsidR="004C6AC9" w:rsidRDefault="004C6AC9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</w:p>
          <w:p w14:paraId="197C7619" w14:textId="77777777" w:rsidR="004C6AC9" w:rsidRDefault="004C6AC9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</w:p>
          <w:p w14:paraId="0B24769A" w14:textId="77777777" w:rsidR="004C6AC9" w:rsidRDefault="004C6AC9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</w:p>
          <w:p w14:paraId="0E814DA3" w14:textId="77777777" w:rsidR="004C6AC9" w:rsidRDefault="004C6AC9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</w:p>
          <w:p w14:paraId="0A9E339C" w14:textId="71CA2B30" w:rsidR="004C6AC9" w:rsidRPr="00CF2CE7" w:rsidRDefault="004C6AC9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Valutazione del salario dignitoso da parte del Consulente del Lavoro in sinergia con SPT</w:t>
            </w:r>
          </w:p>
        </w:tc>
        <w:tc>
          <w:tcPr>
            <w:tcW w:w="1120" w:type="dxa"/>
            <w:vAlign w:val="center"/>
          </w:tcPr>
          <w:p w14:paraId="0375764A" w14:textId="3CBB97AC" w:rsidR="004C6AC9" w:rsidRPr="00CF2CE7" w:rsidRDefault="006437E6" w:rsidP="004C6AC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SPT</w:t>
            </w:r>
          </w:p>
        </w:tc>
        <w:tc>
          <w:tcPr>
            <w:tcW w:w="1134" w:type="dxa"/>
            <w:vAlign w:val="center"/>
          </w:tcPr>
          <w:p w14:paraId="4C4797E0" w14:textId="667626DA" w:rsidR="0027416F" w:rsidRPr="00CF2CE7" w:rsidRDefault="006437E6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Adeguamento contratti di lavoro</w:t>
            </w:r>
          </w:p>
        </w:tc>
        <w:tc>
          <w:tcPr>
            <w:tcW w:w="926" w:type="dxa"/>
            <w:vAlign w:val="center"/>
          </w:tcPr>
          <w:p w14:paraId="719A3F8B" w14:textId="388D8E93" w:rsidR="0027416F" w:rsidRPr="00CF2CE7" w:rsidRDefault="006437E6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100%</w:t>
            </w:r>
          </w:p>
        </w:tc>
        <w:tc>
          <w:tcPr>
            <w:tcW w:w="1767" w:type="dxa"/>
            <w:vAlign w:val="center"/>
          </w:tcPr>
          <w:p w14:paraId="4584A92A" w14:textId="253377DD" w:rsidR="0027416F" w:rsidRPr="00CF2CE7" w:rsidRDefault="006437E6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31/12/202</w:t>
            </w:r>
            <w:r w:rsidR="004C6AC9">
              <w:rPr>
                <w:rFonts w:asciiTheme="minorHAnsi" w:hAnsiTheme="minorHAnsi" w:cstheme="minorHAnsi"/>
                <w:szCs w:val="22"/>
              </w:rPr>
              <w:t>5</w:t>
            </w:r>
          </w:p>
        </w:tc>
        <w:tc>
          <w:tcPr>
            <w:tcW w:w="905" w:type="dxa"/>
          </w:tcPr>
          <w:p w14:paraId="0D5A78DE" w14:textId="77777777" w:rsidR="0027416F" w:rsidRPr="00CF2CE7" w:rsidRDefault="0027416F" w:rsidP="00A35D59">
            <w:pPr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13" w:type="dxa"/>
          </w:tcPr>
          <w:p w14:paraId="62DB907F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27416F" w:rsidRPr="00CF2CE7" w14:paraId="153708FB" w14:textId="77777777" w:rsidTr="00CF2CE7">
        <w:trPr>
          <w:cantSplit/>
          <w:trHeight w:val="1750"/>
          <w:jc w:val="center"/>
        </w:trPr>
        <w:tc>
          <w:tcPr>
            <w:tcW w:w="2197" w:type="dxa"/>
            <w:vAlign w:val="center"/>
          </w:tcPr>
          <w:p w14:paraId="5CE06773" w14:textId="46BC13A1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Attuare per il 202</w:t>
            </w:r>
            <w:r w:rsidR="004C6AC9">
              <w:rPr>
                <w:rFonts w:asciiTheme="minorHAnsi" w:hAnsiTheme="minorHAnsi" w:cstheme="minorHAnsi"/>
                <w:b/>
                <w:szCs w:val="22"/>
              </w:rPr>
              <w:t>5</w:t>
            </w:r>
            <w:r w:rsidRPr="00CF2CE7">
              <w:rPr>
                <w:rFonts w:asciiTheme="minorHAnsi" w:hAnsiTheme="minorHAnsi" w:cstheme="minorHAnsi"/>
                <w:b/>
                <w:szCs w:val="22"/>
              </w:rPr>
              <w:t xml:space="preserve"> un processo di formazione per evitare attività di discriminazione interna</w:t>
            </w:r>
          </w:p>
        </w:tc>
        <w:tc>
          <w:tcPr>
            <w:tcW w:w="1943" w:type="dxa"/>
            <w:vAlign w:val="center"/>
          </w:tcPr>
          <w:p w14:paraId="27ED9D3E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Zero attività discriminative all’interno dell’attività aziendale</w:t>
            </w:r>
          </w:p>
        </w:tc>
        <w:tc>
          <w:tcPr>
            <w:tcW w:w="3949" w:type="dxa"/>
            <w:vAlign w:val="center"/>
          </w:tcPr>
          <w:p w14:paraId="61B60DAB" w14:textId="3476F05A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Formazione Continua del personale sulle tematiche SA8000; Monitoraggio continuo dei luoghi di lavoro per scongiurare attività discriminatorie tra dipendenti</w:t>
            </w:r>
          </w:p>
        </w:tc>
        <w:tc>
          <w:tcPr>
            <w:tcW w:w="1120" w:type="dxa"/>
            <w:vAlign w:val="center"/>
          </w:tcPr>
          <w:p w14:paraId="2037312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SPT</w:t>
            </w:r>
          </w:p>
        </w:tc>
        <w:tc>
          <w:tcPr>
            <w:tcW w:w="1134" w:type="dxa"/>
            <w:vAlign w:val="center"/>
          </w:tcPr>
          <w:p w14:paraId="0065DC26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N. reclami</w:t>
            </w:r>
          </w:p>
          <w:p w14:paraId="5EBB40A5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50ABE58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Formazione attuata</w:t>
            </w:r>
          </w:p>
        </w:tc>
        <w:tc>
          <w:tcPr>
            <w:tcW w:w="926" w:type="dxa"/>
          </w:tcPr>
          <w:p w14:paraId="6D91C110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0BA86C2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574A49B8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0</w:t>
            </w:r>
          </w:p>
          <w:p w14:paraId="57FAF61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51C0309D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100%</w:t>
            </w:r>
          </w:p>
          <w:p w14:paraId="5515E9D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767" w:type="dxa"/>
            <w:vAlign w:val="center"/>
          </w:tcPr>
          <w:p w14:paraId="44B827FB" w14:textId="07169104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31/12/202</w:t>
            </w:r>
            <w:r w:rsidR="004C6AC9">
              <w:rPr>
                <w:rFonts w:asciiTheme="minorHAnsi" w:hAnsiTheme="minorHAnsi" w:cstheme="minorHAnsi"/>
                <w:szCs w:val="22"/>
              </w:rPr>
              <w:t>5</w:t>
            </w:r>
          </w:p>
        </w:tc>
        <w:tc>
          <w:tcPr>
            <w:tcW w:w="905" w:type="dxa"/>
          </w:tcPr>
          <w:p w14:paraId="67E2AA56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7DADA37E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09661B74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2D37DC3A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13" w:type="dxa"/>
          </w:tcPr>
          <w:p w14:paraId="5308618E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03935F2E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47B70BFA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54534C5D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1AA55DC2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550AAA60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</w:tr>
      <w:tr w:rsidR="0027416F" w:rsidRPr="00CF2CE7" w14:paraId="63227C39" w14:textId="77777777" w:rsidTr="00CF2CE7">
        <w:trPr>
          <w:cantSplit/>
          <w:trHeight w:val="1421"/>
          <w:jc w:val="center"/>
        </w:trPr>
        <w:tc>
          <w:tcPr>
            <w:tcW w:w="2197" w:type="dxa"/>
            <w:vAlign w:val="center"/>
          </w:tcPr>
          <w:p w14:paraId="7B60526E" w14:textId="5C7D363C" w:rsidR="0027416F" w:rsidRPr="00CF2CE7" w:rsidRDefault="00D25840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Migliorare infrastrutture antincendio</w:t>
            </w:r>
          </w:p>
        </w:tc>
        <w:tc>
          <w:tcPr>
            <w:tcW w:w="1943" w:type="dxa"/>
            <w:vAlign w:val="center"/>
          </w:tcPr>
          <w:p w14:paraId="39475094" w14:textId="11DE1DD6" w:rsidR="0027416F" w:rsidRPr="00CF2CE7" w:rsidRDefault="00D25840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Impianto antincendio efficiente</w:t>
            </w:r>
          </w:p>
        </w:tc>
        <w:tc>
          <w:tcPr>
            <w:tcW w:w="3949" w:type="dxa"/>
            <w:vAlign w:val="center"/>
          </w:tcPr>
          <w:p w14:paraId="7FEB191A" w14:textId="23AF0FA2" w:rsidR="0027416F" w:rsidRPr="00CF2CE7" w:rsidRDefault="004C6AC9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Controllo semestrale degli idranti ed estintori</w:t>
            </w:r>
          </w:p>
        </w:tc>
        <w:tc>
          <w:tcPr>
            <w:tcW w:w="1120" w:type="dxa"/>
            <w:vAlign w:val="center"/>
          </w:tcPr>
          <w:p w14:paraId="792EE464" w14:textId="7D5A7ED2" w:rsidR="0027416F" w:rsidRPr="00CF2CE7" w:rsidRDefault="00D25840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RSPP</w:t>
            </w:r>
          </w:p>
        </w:tc>
        <w:tc>
          <w:tcPr>
            <w:tcW w:w="1134" w:type="dxa"/>
            <w:vAlign w:val="center"/>
          </w:tcPr>
          <w:p w14:paraId="7AF2CD7F" w14:textId="30FA2EB8" w:rsidR="0027416F" w:rsidRPr="00CF2CE7" w:rsidRDefault="004C6AC9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Registri</w:t>
            </w:r>
          </w:p>
        </w:tc>
        <w:tc>
          <w:tcPr>
            <w:tcW w:w="926" w:type="dxa"/>
            <w:vAlign w:val="center"/>
          </w:tcPr>
          <w:p w14:paraId="4FC27846" w14:textId="14F34B2F" w:rsidR="0027416F" w:rsidRPr="00CF2CE7" w:rsidRDefault="00D25840" w:rsidP="00A35D59">
            <w:pPr>
              <w:tabs>
                <w:tab w:val="left" w:pos="13183"/>
              </w:tabs>
              <w:ind w:left="-6" w:right="-30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100%</w:t>
            </w:r>
          </w:p>
        </w:tc>
        <w:tc>
          <w:tcPr>
            <w:tcW w:w="1767" w:type="dxa"/>
            <w:vAlign w:val="center"/>
          </w:tcPr>
          <w:p w14:paraId="728CE813" w14:textId="6FB8EDFB" w:rsidR="0027416F" w:rsidRPr="00CF2CE7" w:rsidRDefault="00D25840" w:rsidP="00A35D59">
            <w:pPr>
              <w:ind w:left="0" w:right="68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31/12/202</w:t>
            </w:r>
            <w:r w:rsidR="004C6AC9">
              <w:rPr>
                <w:rFonts w:asciiTheme="minorHAnsi" w:hAnsiTheme="minorHAnsi" w:cstheme="minorHAnsi"/>
                <w:szCs w:val="22"/>
              </w:rPr>
              <w:t>5</w:t>
            </w:r>
          </w:p>
        </w:tc>
        <w:tc>
          <w:tcPr>
            <w:tcW w:w="905" w:type="dxa"/>
          </w:tcPr>
          <w:p w14:paraId="22B00828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13" w:type="dxa"/>
          </w:tcPr>
          <w:p w14:paraId="5635A5B2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27416F" w:rsidRPr="00CF2CE7" w14:paraId="5BFE192A" w14:textId="77777777" w:rsidTr="00CF2CE7">
        <w:trPr>
          <w:cantSplit/>
          <w:trHeight w:val="1429"/>
          <w:jc w:val="center"/>
        </w:trPr>
        <w:tc>
          <w:tcPr>
            <w:tcW w:w="2197" w:type="dxa"/>
            <w:vAlign w:val="center"/>
          </w:tcPr>
          <w:p w14:paraId="5B337CE4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lastRenderedPageBreak/>
              <w:t>Miglioramento Ambiente di Lavoro</w:t>
            </w:r>
          </w:p>
        </w:tc>
        <w:tc>
          <w:tcPr>
            <w:tcW w:w="1943" w:type="dxa"/>
            <w:vAlign w:val="center"/>
          </w:tcPr>
          <w:p w14:paraId="614B147D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Tracciare i percorsi interni/esterni al magazzino per i pedoni, automezzi, carrelli elevatori;</w:t>
            </w:r>
          </w:p>
          <w:p w14:paraId="185DDB3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rPr>
                <w:rFonts w:asciiTheme="minorHAnsi" w:hAnsiTheme="minorHAnsi" w:cstheme="minorHAnsi"/>
                <w:szCs w:val="22"/>
              </w:rPr>
            </w:pPr>
          </w:p>
          <w:p w14:paraId="63AEFA8F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949" w:type="dxa"/>
            <w:vAlign w:val="center"/>
          </w:tcPr>
          <w:p w14:paraId="4ACF2148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- Progettare percorsi specifici per i carrelli elevatori all’interno dell’azienda e per i pedoni;</w:t>
            </w:r>
          </w:p>
          <w:p w14:paraId="073C9F20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- Progettare strisce esterne per il parcheggio auto;</w:t>
            </w:r>
          </w:p>
          <w:p w14:paraId="3BB14B8B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- Progettare strisce pedonali nella zona parcheggio e transito automezzi;</w:t>
            </w:r>
          </w:p>
          <w:p w14:paraId="1BABE0D3" w14:textId="0DED0911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- Adoperare apposita cartellonistica di indicazione (Uffici, Logista, ecc) per i visitatori esterni.</w:t>
            </w:r>
          </w:p>
        </w:tc>
        <w:tc>
          <w:tcPr>
            <w:tcW w:w="1120" w:type="dxa"/>
            <w:vAlign w:val="center"/>
          </w:tcPr>
          <w:p w14:paraId="2BDCC38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SPT</w:t>
            </w:r>
          </w:p>
        </w:tc>
        <w:tc>
          <w:tcPr>
            <w:tcW w:w="1134" w:type="dxa"/>
            <w:vAlign w:val="center"/>
          </w:tcPr>
          <w:p w14:paraId="691FEA15" w14:textId="77777777" w:rsidR="008F3554" w:rsidRDefault="008F3554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Attuazione di quanto previsto;</w:t>
            </w:r>
          </w:p>
          <w:p w14:paraId="4F454FA8" w14:textId="64635E9B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N</w:t>
            </w:r>
            <w:r w:rsidR="008F3554">
              <w:rPr>
                <w:rFonts w:asciiTheme="minorHAnsi" w:hAnsiTheme="minorHAnsi" w:cstheme="minorHAnsi"/>
                <w:szCs w:val="22"/>
              </w:rPr>
              <w:t>°</w:t>
            </w:r>
            <w:r w:rsidRPr="00CF2CE7">
              <w:rPr>
                <w:rFonts w:asciiTheme="minorHAnsi" w:hAnsiTheme="minorHAnsi" w:cstheme="minorHAnsi"/>
                <w:szCs w:val="22"/>
              </w:rPr>
              <w:t>.</w:t>
            </w:r>
          </w:p>
          <w:p w14:paraId="310DBC6B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Incidenti in magazzino</w:t>
            </w:r>
          </w:p>
        </w:tc>
        <w:tc>
          <w:tcPr>
            <w:tcW w:w="926" w:type="dxa"/>
            <w:vAlign w:val="center"/>
          </w:tcPr>
          <w:p w14:paraId="77022D49" w14:textId="77777777" w:rsidR="0027416F" w:rsidRPr="00CF2CE7" w:rsidRDefault="0027416F" w:rsidP="00A35D59">
            <w:pPr>
              <w:tabs>
                <w:tab w:val="left" w:pos="13183"/>
              </w:tabs>
              <w:ind w:left="-6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0</w:t>
            </w:r>
          </w:p>
        </w:tc>
        <w:tc>
          <w:tcPr>
            <w:tcW w:w="1767" w:type="dxa"/>
            <w:vAlign w:val="center"/>
          </w:tcPr>
          <w:p w14:paraId="2990303F" w14:textId="10F7F14D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31/12/202</w:t>
            </w:r>
            <w:r w:rsidR="004C6AC9">
              <w:rPr>
                <w:rFonts w:asciiTheme="minorHAnsi" w:hAnsiTheme="minorHAnsi" w:cstheme="minorHAnsi"/>
                <w:szCs w:val="22"/>
              </w:rPr>
              <w:t>5</w:t>
            </w:r>
          </w:p>
        </w:tc>
        <w:tc>
          <w:tcPr>
            <w:tcW w:w="905" w:type="dxa"/>
          </w:tcPr>
          <w:p w14:paraId="1B97BBED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13" w:type="dxa"/>
          </w:tcPr>
          <w:p w14:paraId="2711412D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27416F" w:rsidRPr="00CF2CE7" w14:paraId="42815AB2" w14:textId="77777777" w:rsidTr="00CF2CE7">
        <w:trPr>
          <w:cantSplit/>
          <w:trHeight w:val="1473"/>
          <w:jc w:val="center"/>
        </w:trPr>
        <w:tc>
          <w:tcPr>
            <w:tcW w:w="2197" w:type="dxa"/>
            <w:vAlign w:val="center"/>
          </w:tcPr>
          <w:p w14:paraId="3E18347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Comunicazione Stakeholders</w:t>
            </w:r>
          </w:p>
        </w:tc>
        <w:tc>
          <w:tcPr>
            <w:tcW w:w="1943" w:type="dxa"/>
            <w:vAlign w:val="center"/>
          </w:tcPr>
          <w:p w14:paraId="41A20C74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Ottimizzare il sistema di comunicazione verso l’esterno delle principali attività relative alla Responsabilità Sociale</w:t>
            </w:r>
          </w:p>
          <w:p w14:paraId="00C499B5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47FCB36F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447C8BAB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Migliorare il sistema di reperimento delle informazioni sui fornitori in merito alla loro gestione delle Responsabilità Sociale</w:t>
            </w:r>
          </w:p>
        </w:tc>
        <w:tc>
          <w:tcPr>
            <w:tcW w:w="3949" w:type="dxa"/>
            <w:vAlign w:val="center"/>
          </w:tcPr>
          <w:p w14:paraId="7906F549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1AFCED61" w14:textId="27F7198E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 xml:space="preserve">- Attuazione di una ulteriore campagna di comunicazione esterna ponendo maggiore enfasi sull’attività di </w:t>
            </w:r>
            <w:r w:rsidR="008F3554">
              <w:rPr>
                <w:rFonts w:asciiTheme="minorHAnsi" w:hAnsiTheme="minorHAnsi" w:cstheme="minorHAnsi"/>
                <w:szCs w:val="22"/>
              </w:rPr>
              <w:t xml:space="preserve">Agrumigel </w:t>
            </w:r>
            <w:r w:rsidRPr="00CF2CE7">
              <w:rPr>
                <w:rFonts w:asciiTheme="minorHAnsi" w:hAnsiTheme="minorHAnsi" w:cstheme="minorHAnsi"/>
                <w:szCs w:val="22"/>
              </w:rPr>
              <w:t>e sui Sistemi di Gestione implementati;</w:t>
            </w:r>
          </w:p>
          <w:p w14:paraId="742B5F74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</w:p>
          <w:p w14:paraId="3EF9CE57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</w:p>
          <w:p w14:paraId="106DBA59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</w:p>
          <w:p w14:paraId="5C929A88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- analisi dei siti web istituzionali dei principali fornitori per reperire eventuali informazioni (politica, bilanci sociali, iniziative, ecc.) in merito alla gestione della responsabilità sociale o eventuale colloquio con i referenti aziendali dei fornitori</w:t>
            </w:r>
          </w:p>
        </w:tc>
        <w:tc>
          <w:tcPr>
            <w:tcW w:w="1120" w:type="dxa"/>
            <w:vAlign w:val="center"/>
          </w:tcPr>
          <w:p w14:paraId="7F3F4811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SPT</w:t>
            </w:r>
          </w:p>
        </w:tc>
        <w:tc>
          <w:tcPr>
            <w:tcW w:w="1134" w:type="dxa"/>
            <w:vAlign w:val="center"/>
          </w:tcPr>
          <w:p w14:paraId="39BCAD4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n.d.</w:t>
            </w:r>
          </w:p>
        </w:tc>
        <w:tc>
          <w:tcPr>
            <w:tcW w:w="926" w:type="dxa"/>
            <w:vAlign w:val="center"/>
          </w:tcPr>
          <w:p w14:paraId="164FAB33" w14:textId="77777777" w:rsidR="0027416F" w:rsidRPr="00CF2CE7" w:rsidRDefault="0027416F" w:rsidP="00A35D59">
            <w:pPr>
              <w:tabs>
                <w:tab w:val="left" w:pos="13183"/>
              </w:tabs>
              <w:ind w:left="-6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767" w:type="dxa"/>
            <w:vAlign w:val="center"/>
          </w:tcPr>
          <w:p w14:paraId="09677E6D" w14:textId="3A121545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31/12/202</w:t>
            </w:r>
            <w:r w:rsidR="004C6AC9">
              <w:rPr>
                <w:rFonts w:asciiTheme="minorHAnsi" w:hAnsiTheme="minorHAnsi" w:cstheme="minorHAnsi"/>
                <w:szCs w:val="22"/>
              </w:rPr>
              <w:t>5</w:t>
            </w:r>
          </w:p>
        </w:tc>
        <w:tc>
          <w:tcPr>
            <w:tcW w:w="905" w:type="dxa"/>
          </w:tcPr>
          <w:p w14:paraId="6269C63B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13" w:type="dxa"/>
          </w:tcPr>
          <w:p w14:paraId="0EE6ACD7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214D50A3" w14:textId="77777777" w:rsidR="0027416F" w:rsidRPr="00CF2CE7" w:rsidRDefault="0027416F" w:rsidP="0027416F">
      <w:pPr>
        <w:rPr>
          <w:rFonts w:asciiTheme="minorHAnsi" w:hAnsiTheme="minorHAnsi" w:cstheme="minorHAnsi"/>
          <w:szCs w:val="22"/>
        </w:rPr>
      </w:pPr>
    </w:p>
    <w:p w14:paraId="2E1B30D8" w14:textId="77777777" w:rsidR="0027416F" w:rsidRPr="00CF2CE7" w:rsidRDefault="0027416F" w:rsidP="0027416F">
      <w:pPr>
        <w:ind w:left="0"/>
        <w:rPr>
          <w:rFonts w:asciiTheme="minorHAnsi" w:hAnsiTheme="minorHAnsi" w:cstheme="minorHAnsi"/>
          <w:szCs w:val="22"/>
        </w:rPr>
      </w:pPr>
    </w:p>
    <w:p w14:paraId="7CEF8EB1" w14:textId="55AEDB2F" w:rsidR="00762FEF" w:rsidRPr="00CF2CE7" w:rsidRDefault="0027416F" w:rsidP="006437E6">
      <w:pPr>
        <w:ind w:left="-720"/>
        <w:rPr>
          <w:rFonts w:asciiTheme="minorHAnsi" w:hAnsiTheme="minorHAnsi" w:cstheme="minorHAnsi"/>
          <w:szCs w:val="22"/>
        </w:rPr>
      </w:pPr>
      <w:r w:rsidRPr="00CF2CE7">
        <w:rPr>
          <w:rFonts w:asciiTheme="minorHAnsi" w:hAnsiTheme="minorHAnsi" w:cstheme="minorHAnsi"/>
          <w:szCs w:val="22"/>
        </w:rPr>
        <w:t xml:space="preserve">             </w:t>
      </w:r>
      <w:r w:rsidR="0032125F" w:rsidRPr="005E415E">
        <w:rPr>
          <w:rFonts w:asciiTheme="minorHAnsi" w:hAnsiTheme="minorHAnsi" w:cstheme="minorHAnsi"/>
          <w:szCs w:val="22"/>
        </w:rPr>
        <w:t xml:space="preserve">Data: </w:t>
      </w:r>
      <w:r w:rsidRPr="005E415E">
        <w:rPr>
          <w:rFonts w:asciiTheme="minorHAnsi" w:hAnsiTheme="minorHAnsi" w:cstheme="minorHAnsi"/>
          <w:szCs w:val="22"/>
        </w:rPr>
        <w:t>0</w:t>
      </w:r>
      <w:r w:rsidR="006E6177">
        <w:rPr>
          <w:rFonts w:asciiTheme="minorHAnsi" w:hAnsiTheme="minorHAnsi" w:cstheme="minorHAnsi"/>
          <w:szCs w:val="22"/>
        </w:rPr>
        <w:t>7</w:t>
      </w:r>
      <w:r w:rsidRPr="005E415E">
        <w:rPr>
          <w:rFonts w:asciiTheme="minorHAnsi" w:hAnsiTheme="minorHAnsi" w:cstheme="minorHAnsi"/>
          <w:szCs w:val="22"/>
        </w:rPr>
        <w:t>/01/202</w:t>
      </w:r>
      <w:r w:rsidR="006E6177">
        <w:rPr>
          <w:rFonts w:asciiTheme="minorHAnsi" w:hAnsiTheme="minorHAnsi" w:cstheme="minorHAnsi"/>
          <w:szCs w:val="22"/>
        </w:rPr>
        <w:t>5</w:t>
      </w:r>
    </w:p>
    <w:sectPr w:rsidR="00762FEF" w:rsidRPr="00CF2CE7" w:rsidSect="00B4760C">
      <w:headerReference w:type="default" r:id="rId6"/>
      <w:pgSz w:w="16840" w:h="11907" w:orient="landscape" w:code="9"/>
      <w:pgMar w:top="851" w:right="851" w:bottom="851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286CC" w14:textId="77777777" w:rsidR="00276DCD" w:rsidRDefault="00276DCD">
      <w:r>
        <w:separator/>
      </w:r>
    </w:p>
  </w:endnote>
  <w:endnote w:type="continuationSeparator" w:id="0">
    <w:p w14:paraId="3C69B983" w14:textId="77777777" w:rsidR="00276DCD" w:rsidRDefault="00276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D235A" w14:textId="77777777" w:rsidR="00276DCD" w:rsidRDefault="00276DCD">
      <w:r>
        <w:separator/>
      </w:r>
    </w:p>
  </w:footnote>
  <w:footnote w:type="continuationSeparator" w:id="0">
    <w:p w14:paraId="334C770E" w14:textId="77777777" w:rsidR="00276DCD" w:rsidRDefault="00276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12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3539"/>
      <w:gridCol w:w="7385"/>
      <w:gridCol w:w="3388"/>
    </w:tblGrid>
    <w:tr w:rsidR="00CF2CE7" w14:paraId="24DFEDE4" w14:textId="77777777" w:rsidTr="00CF2CE7">
      <w:trPr>
        <w:trHeight w:val="679"/>
        <w:jc w:val="center"/>
      </w:trPr>
      <w:tc>
        <w:tcPr>
          <w:tcW w:w="35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3FCF43F" w14:textId="34624849" w:rsidR="00CF2CE7" w:rsidRDefault="00CF2CE7" w:rsidP="00CF2CE7">
          <w:pPr>
            <w:spacing w:line="252" w:lineRule="auto"/>
            <w:ind w:left="0"/>
            <w:jc w:val="center"/>
            <w:rPr>
              <w:rFonts w:ascii="Calibri" w:hAnsi="Calibri" w:cs="Calibri"/>
              <w:kern w:val="2"/>
              <w:lang w:eastAsia="en-US"/>
            </w:rPr>
          </w:pPr>
          <w:r w:rsidRPr="00CF2CE7">
            <w:rPr>
              <w:rFonts w:ascii="Calibri" w:hAnsi="Calibri" w:cs="Calibri"/>
              <w:kern w:val="2"/>
              <w:sz w:val="28"/>
              <w:szCs w:val="24"/>
              <w:lang w:eastAsia="en-US"/>
            </w:rPr>
            <w:t xml:space="preserve">        Agrumi-Gel s.r.l.</w:t>
          </w:r>
        </w:p>
      </w:tc>
      <w:tc>
        <w:tcPr>
          <w:tcW w:w="73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078962D" w14:textId="3749965E" w:rsidR="00CF2CE7" w:rsidRDefault="00CF2CE7" w:rsidP="00CF2CE7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CF2CE7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PIANO DI MIGLIORAMENTO</w:t>
          </w:r>
        </w:p>
      </w:tc>
      <w:tc>
        <w:tcPr>
          <w:tcW w:w="3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D25E87B" w14:textId="6D442970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08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22549000" w14:textId="473E54C1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A76316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</w:t>
          </w:r>
        </w:p>
        <w:p w14:paraId="212522C3" w14:textId="1D3542A4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A76316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29/04/2025</w:t>
          </w:r>
        </w:p>
        <w:p w14:paraId="28B34B00" w14:textId="3B40579E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A76316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01510B05" w14:textId="1E37DDBE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kern w:val="2"/>
              <w:sz w:val="18"/>
              <w:szCs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A76316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1D2069A4" w14:textId="566F61DC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A76316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7F8177DA" w14:textId="77777777" w:rsidR="00CF2CE7" w:rsidRDefault="00CF2CE7" w:rsidP="00CF2CE7">
          <w:pPr>
            <w:spacing w:line="252" w:lineRule="auto"/>
            <w:ind w:left="0"/>
            <w:rPr>
              <w:rFonts w:ascii="Calibri" w:hAnsi="Calibri" w:cs="Calibri"/>
              <w:kern w:val="2"/>
              <w:sz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6E83D2FF" w14:textId="77777777" w:rsidR="00CF2CE7" w:rsidRDefault="00CF2CE7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6F"/>
    <w:rsid w:val="000E26A0"/>
    <w:rsid w:val="0027416F"/>
    <w:rsid w:val="00276DCD"/>
    <w:rsid w:val="0032125F"/>
    <w:rsid w:val="004C6AC9"/>
    <w:rsid w:val="004D79A5"/>
    <w:rsid w:val="00573773"/>
    <w:rsid w:val="005C1DBB"/>
    <w:rsid w:val="005E415E"/>
    <w:rsid w:val="006437E6"/>
    <w:rsid w:val="006E6177"/>
    <w:rsid w:val="00762FEF"/>
    <w:rsid w:val="007F79B2"/>
    <w:rsid w:val="00874A16"/>
    <w:rsid w:val="008C0A7D"/>
    <w:rsid w:val="008C4A60"/>
    <w:rsid w:val="008F3554"/>
    <w:rsid w:val="00916CF0"/>
    <w:rsid w:val="00A76316"/>
    <w:rsid w:val="00C87C7F"/>
    <w:rsid w:val="00CF2CE7"/>
    <w:rsid w:val="00D25840"/>
    <w:rsid w:val="00D7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9C39C"/>
  <w15:chartTrackingRefBased/>
  <w15:docId w15:val="{195F9A81-ADDE-43F5-A3A8-DCCFB9D1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7416F"/>
    <w:pPr>
      <w:spacing w:after="0" w:line="240" w:lineRule="auto"/>
      <w:ind w:left="567" w:right="567"/>
    </w:pPr>
    <w:rPr>
      <w:rFonts w:ascii="Arial" w:eastAsia="Times New Roman" w:hAnsi="Arial" w:cs="Times New Roman"/>
      <w:kern w:val="0"/>
      <w:szCs w:val="2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link w:val="IntestazioneCarattere"/>
    <w:semiHidden/>
    <w:rsid w:val="0027416F"/>
    <w:pPr>
      <w:tabs>
        <w:tab w:val="center" w:pos="4819"/>
        <w:tab w:val="right" w:pos="9638"/>
      </w:tabs>
      <w:spacing w:after="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eastAsia="it-IT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27416F"/>
    <w:rPr>
      <w:rFonts w:ascii="Times New Roman" w:eastAsia="Times New Roman" w:hAnsi="Times New Roman" w:cs="Times New Roman"/>
      <w:noProof/>
      <w:kern w:val="0"/>
      <w:sz w:val="20"/>
      <w:szCs w:val="20"/>
      <w:lang w:eastAsia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32125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125F"/>
    <w:rPr>
      <w:rFonts w:ascii="Arial" w:eastAsia="Times New Roman" w:hAnsi="Arial" w:cs="Times New Roman"/>
      <w:kern w:val="0"/>
      <w:szCs w:val="20"/>
      <w:lang w:eastAsia="it-IT"/>
      <w14:ligatures w14:val="none"/>
    </w:rPr>
  </w:style>
  <w:style w:type="character" w:styleId="Numeropagina">
    <w:name w:val="page number"/>
    <w:basedOn w:val="Carpredefinitoparagrafo"/>
    <w:semiHidden/>
    <w:unhideWhenUsed/>
    <w:rsid w:val="00CF2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7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 barreca</dc:creator>
  <cp:keywords/>
  <dc:description/>
  <cp:lastModifiedBy>Ufficio Qualità</cp:lastModifiedBy>
  <cp:revision>6</cp:revision>
  <cp:lastPrinted>2024-08-30T13:46:00Z</cp:lastPrinted>
  <dcterms:created xsi:type="dcterms:W3CDTF">2024-09-09T12:13:00Z</dcterms:created>
  <dcterms:modified xsi:type="dcterms:W3CDTF">2025-06-25T06:16:00Z</dcterms:modified>
</cp:coreProperties>
</file>