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word/document.xml" ContentType="application/vnd.openxmlformats-officedocument.wordprocessingml.document.main+xml"/>
  <Override PartName="/word/commentsExtended.xml" ContentType="application/vnd.openxmlformats-officedocument.wordprocessingml.commentsExtended+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footnotes.xml" ContentType="application/vnd.openxmlformats-officedocument.wordprocessingml.footnotes+xml"/>
  <Override PartName="/word/footer1.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header1.xml" ContentType="application/vnd.openxmlformats-officedocument.wordprocessingml.header+xml"/>
  <Override PartName="/word/webSettings.xml" ContentType="application/vnd.openxmlformats-officedocument.wordprocessingml.webSettings+xml"/>
  <Override PartName="/word/comments.xml" ContentType="application/vnd.openxmlformats-officedocument.wordprocessingml.comments+xml"/>
  <Override PartName="/word/theme/theme1.xml" ContentType="application/vnd.openxmlformats-officedocument.theme+xml"/>
  <Override PartName="/customXml/itemProps1.xml" ContentType="application/vnd.openxmlformats-officedocument.customXml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people.xml" ContentType="application/vnd.openxmlformats-officedocument.wordprocessingml.people+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14"/>
        <w:pBdr/>
        <w:spacing/>
        <w:ind/>
        <w:rPr/>
      </w:pPr>
      <w:r/>
      <w:bookmarkStart w:id="0" w:name="header"/>
      <w:r/>
      <w:bookmarkStart w:id="1" w:name="Xb86a0334da18bd5dcadfa5ca6143a46167e6f72"/>
      <w:r/>
      <w:bookmarkStart w:id="2" w:name="content"/>
      <w:r/>
      <w:bookmarkEnd w:id="0"/>
      <w:r>
        <w:t xml:space="preserve">AGRUMIGEL S.R.L.</w:t>
      </w:r>
      <w:r/>
    </w:p>
    <w:p>
      <w:pPr>
        <w:pStyle w:val="1014"/>
        <w:pBdr/>
        <w:spacing/>
        <w:ind/>
        <w:rPr/>
      </w:pPr>
      <w:r>
        <w:t xml:space="preserve">MANUALE DEL SISTEMA DI GESTIONE SALUTE E SICUREZZA SUL LAVORO</w:t>
      </w:r>
      <w:r/>
    </w:p>
    <w:p>
      <w:pPr>
        <w:pStyle w:val="1012"/>
        <w:pBdr/>
        <w:spacing/>
        <w:ind/>
        <w:rPr>
          <w:lang w:val="it-IT"/>
        </w:rPr>
      </w:pPr>
      <w:r>
        <w:rPr>
          <w:lang w:val="it-IT"/>
        </w:rPr>
        <w:t xml:space="preserve"> </w:t>
      </w:r>
      <w:r>
        <w:rPr>
          <w:lang w:val="it-IT"/>
        </w:rPr>
      </w:r>
      <w:r>
        <w:rPr>
          <w:lang w:val="it-IT"/>
        </w:rPr>
      </w:r>
    </w:p>
    <w:p>
      <w:pPr>
        <w:pStyle w:val="1012"/>
        <w:pBdr/>
        <w:spacing/>
        <w:ind/>
        <w:rPr>
          <w:lang w:val="it-IT"/>
        </w:rPr>
      </w:pPr>
      <w:r>
        <w:rPr>
          <w:lang w:val="it-IT"/>
        </w:rPr>
        <w:t xml:space="preserve"> </w:t>
      </w:r>
      <w:r>
        <w:rPr>
          <w:lang w:val="it-IT"/>
        </w:rPr>
      </w:r>
      <w:r>
        <w:rPr>
          <w:lang w:val="it-IT"/>
        </w:rPr>
      </w:r>
    </w:p>
    <w:p>
      <w:pPr>
        <w:pStyle w:val="1012"/>
        <w:pBdr/>
        <w:spacing/>
        <w:ind/>
        <w:rPr>
          <w:lang w:val="it-IT"/>
        </w:rPr>
      </w:pPr>
      <w:r>
        <w:rPr>
          <w:lang w:val="it-IT"/>
        </w:rPr>
        <w:t xml:space="preserve"> </w:t>
      </w:r>
      <w:r>
        <w:rPr>
          <w:lang w:val="it-IT"/>
        </w:rPr>
      </w:r>
      <w:r>
        <w:rPr>
          <w:lang w:val="it-IT"/>
        </w:rPr>
      </w:r>
    </w:p>
    <w:tbl>
      <w:tblPr>
        <w:tblW w:w="0" w:type="auto"/>
        <w:tblBorders/>
        <w:tblLook w:val="04A0" w:firstRow="1" w:lastRow="0" w:firstColumn="1" w:lastColumn="0" w:noHBand="0" w:noVBand="1"/>
        <w:tblStyle w:val="1085"/>
      </w:tblPr>
      <w:tblGrid>
        <w:gridCol w:w="10173"/>
      </w:tblGrid>
      <w:tr>
        <w:trPr>
          <w:trHeight w:val="1200"/>
        </w:trPr>
        <w:tc>
          <w:tcPr>
            <w:tcBorders/>
            <w:tcW w:w="10173" w:type="dxa"/>
            <w:textDirection w:val="lrTb"/>
            <w:noWrap w:val="false"/>
          </w:tcPr>
          <w:p>
            <w:pPr>
              <w:pStyle w:val="1012"/>
              <w:pBdr/>
              <w:spacing w:after="0" w:before="0"/>
              <w:ind/>
              <w:rPr>
                <w:lang w:val="it-IT"/>
              </w:rPr>
            </w:pPr>
            <w:r>
              <w:rPr>
                <w:lang w:val="it-IT"/>
              </w:rPr>
              <mc:AlternateContent>
                <mc:Choice Requires="wpg">
                  <w:drawing>
                    <wp:inline xmlns:wp="http://schemas.openxmlformats.org/drawingml/2006/wordprocessingDrawing" distT="0" distB="0" distL="0" distR="0">
                      <wp:extent cx="5114925" cy="19050"/>
                      <wp:effectExtent l="0" t="0" r="0" b="0"/>
                      <wp:docPr id="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pic:cNvPicPr>
                              <pic:nvPr/>
                            </pic:nvPicPr>
                            <pic:blipFill>
                              <a:blip r:embed="rId15"/>
                              <a:stretch/>
                            </pic:blipFill>
                            <pic:spPr bwMode="auto">
                              <a:xfrm>
                                <a:off x="0" y="0"/>
                                <a:ext cx="5114925" cy="190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02.75pt;height:1.50pt;mso-wrap-distance-left:0.00pt;mso-wrap-distance-top:0.00pt;mso-wrap-distance-right:0.00pt;mso-wrap-distance-bottom:0.00pt;z-index:1;" stroked="f">
                      <v:imagedata r:id="rId15" o:title=""/>
                      <o:lock v:ext="edit" rotation="t"/>
                    </v:shape>
                  </w:pict>
                </mc:Fallback>
              </mc:AlternateContent>
            </w:r>
            <w:r>
              <w:rPr>
                <w:lang w:val="it-IT"/>
              </w:rPr>
            </w:r>
            <w:r>
              <w:rPr>
                <w:lang w:val="it-IT"/>
              </w:rPr>
            </w:r>
          </w:p>
          <w:p>
            <w:pPr>
              <w:pStyle w:val="1012"/>
              <w:pBdr/>
              <w:spacing w:after="0" w:before="0"/>
              <w:ind/>
              <w:rPr>
                <w:lang w:val="it-IT"/>
              </w:rPr>
            </w:pPr>
            <w:r>
              <w:rPr>
                <w:lang w:val="it-IT"/>
              </w:rPr>
              <w:t xml:space="preserve">COPIA</w:t>
            </w:r>
            <w:r>
              <w:rPr>
                <w:lang w:val="it-IT"/>
              </w:rPr>
            </w:r>
            <w:r>
              <w:rPr>
                <w:lang w:val="it-IT"/>
              </w:rPr>
            </w:r>
          </w:p>
          <w:p>
            <w:pPr>
              <w:pStyle w:val="1012"/>
              <w:pBdr/>
              <w:spacing w:after="0" w:before="0"/>
              <w:ind/>
              <w:rPr>
                <w:lang w:val="it-IT"/>
              </w:rPr>
            </w:pPr>
            <w:r>
              <w:rPr>
                <w:lang w:val="it-IT"/>
              </w:rPr>
              <w:t xml:space="preserve"> </w:t>
            </w:r>
            <w:r>
              <w:rPr>
                <w:lang w:val="it-IT"/>
              </w:rPr>
            </w:r>
            <w:r>
              <w:rPr>
                <w:lang w:val="it-IT"/>
              </w:rPr>
            </w:r>
          </w:p>
          <w:p>
            <w:pPr>
              <w:pStyle w:val="1012"/>
              <w:pBdr/>
              <w:spacing w:after="0" w:before="0"/>
              <w:ind/>
              <w:rPr>
                <w:lang w:val="it-IT"/>
              </w:rPr>
            </w:pPr>
            <w:r>
              <w:rPr>
                <w:lang w:val="it-IT"/>
              </w:rPr>
              <mc:AlternateContent>
                <mc:Choice Requires="wpg">
                  <w:drawing>
                    <wp:inline xmlns:wp="http://schemas.openxmlformats.org/drawingml/2006/wordprocessingDrawing" distT="0" distB="0" distL="0" distR="0">
                      <wp:extent cx="161925" cy="161925"/>
                      <wp:effectExtent l="0" t="0" r="0" b="0"/>
                      <wp:docPr id="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pic:cNvPicPr>
                              <pic:nvPr/>
                            </pic:nvPicPr>
                            <pic:blipFill>
                              <a:blip r:embed="rId16"/>
                              <a:stretch/>
                            </pic:blipFill>
                            <pic:spPr bwMode="auto">
                              <a:xfrm>
                                <a:off x="0" y="0"/>
                                <a:ext cx="161925" cy="1619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2.75pt;height:12.75pt;mso-wrap-distance-left:0.00pt;mso-wrap-distance-top:0.00pt;mso-wrap-distance-right:0.00pt;mso-wrap-distance-bottom:0.00pt;z-index:1;" stroked="f">
                      <v:imagedata r:id="rId16" o:title=""/>
                      <o:lock v:ext="edit" rotation="t"/>
                    </v:shape>
                  </w:pict>
                </mc:Fallback>
              </mc:AlternateContent>
            </w:r>
            <w:r>
              <w:rPr>
                <w:lang w:val="it-IT"/>
              </w:rPr>
              <w:t xml:space="preserve">controllata         </w:t>
            </w:r>
            <w:r>
              <w:rPr>
                <w:lang w:val="it-IT"/>
              </w:rPr>
            </w:r>
            <w:r>
              <w:rPr>
                <w:lang w:val="it-IT"/>
              </w:rPr>
            </w:r>
          </w:p>
          <w:p>
            <w:pPr>
              <w:pStyle w:val="1012"/>
              <w:pBdr/>
              <w:spacing w:after="0" w:before="0"/>
              <w:ind/>
              <w:rPr>
                <w:lang w:val="it-IT"/>
              </w:rPr>
            </w:pPr>
            <w:r>
              <w:rPr>
                <w:lang w:val="it-IT"/>
              </w:rPr>
              <w:t xml:space="preserve"> </w:t>
            </w:r>
            <w:r>
              <w:rPr>
                <w:lang w:val="it-IT"/>
              </w:rPr>
            </w:r>
            <w:r>
              <w:rPr>
                <w:lang w:val="it-IT"/>
              </w:rPr>
            </w:r>
          </w:p>
          <w:p>
            <w:pPr>
              <w:pStyle w:val="1012"/>
              <w:pBdr/>
              <w:spacing w:after="0" w:before="0"/>
              <w:ind/>
              <w:rPr>
                <w:lang w:val="it-IT"/>
              </w:rPr>
            </w:pPr>
            <w:r>
              <w:rPr>
                <w:lang w:val="it-IT"/>
              </w:rPr>
              <mc:AlternateContent>
                <mc:Choice Requires="wpg">
                  <w:drawing>
                    <wp:inline xmlns:wp="http://schemas.openxmlformats.org/drawingml/2006/wordprocessingDrawing" distT="0" distB="0" distL="0" distR="0">
                      <wp:extent cx="161925" cy="161925"/>
                      <wp:effectExtent l="0" t="0" r="0" b="0"/>
                      <wp:docPr id="4"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pic:cNvPicPr>
                              <pic:nvPr/>
                            </pic:nvPicPr>
                            <pic:blipFill>
                              <a:blip r:embed="rId16"/>
                              <a:stretch/>
                            </pic:blipFill>
                            <pic:spPr bwMode="auto">
                              <a:xfrm>
                                <a:off x="0" y="0"/>
                                <a:ext cx="161925" cy="1619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75pt;height:12.75pt;mso-wrap-distance-left:0.00pt;mso-wrap-distance-top:0.00pt;mso-wrap-distance-right:0.00pt;mso-wrap-distance-bottom:0.00pt;z-index:1;" stroked="f">
                      <v:imagedata r:id="rId16" o:title=""/>
                      <o:lock v:ext="edit" rotation="t"/>
                    </v:shape>
                  </w:pict>
                </mc:Fallback>
              </mc:AlternateContent>
            </w:r>
            <w:r>
              <w:rPr>
                <w:lang w:val="it-IT"/>
              </w:rPr>
              <w:t xml:space="preserve">non controllata</w:t>
            </w:r>
            <w:r>
              <w:rPr>
                <w:lang w:val="it-IT"/>
              </w:rPr>
            </w:r>
            <w:r>
              <w:rPr>
                <w:lang w:val="it-IT"/>
              </w:rPr>
            </w:r>
          </w:p>
        </w:tc>
      </w:tr>
    </w:tbl>
    <w:p>
      <w:pPr>
        <w:pStyle w:val="1012"/>
        <w:pBdr/>
        <w:spacing/>
        <w:ind/>
        <w:rPr>
          <w:lang w:val="it-IT"/>
        </w:rPr>
      </w:pPr>
      <w:r>
        <w:rPr>
          <w:lang w:val="it-IT"/>
        </w:rPr>
        <w:t xml:space="preserve"> </w:t>
      </w:r>
      <w:r>
        <w:rPr>
          <w:lang w:val="it-IT"/>
        </w:rPr>
      </w:r>
      <w:r>
        <w:rPr>
          <w:lang w:val="it-IT"/>
        </w:rPr>
      </w:r>
    </w:p>
    <w:p>
      <w:pPr>
        <w:pStyle w:val="1012"/>
        <w:pBdr/>
        <w:spacing/>
        <w:ind/>
        <w:rPr>
          <w:lang w:val="it-IT"/>
        </w:rPr>
      </w:pPr>
      <w:r>
        <w:rPr>
          <w:lang w:val="it-IT"/>
        </w:rPr>
        <w:t xml:space="preserve">  </w:t>
      </w:r>
      <w:r>
        <w:rPr>
          <w:lang w:val="it-IT"/>
        </w:rPr>
      </w:r>
      <w:r>
        <w:rPr>
          <w:lang w:val="it-IT"/>
        </w:rPr>
      </w:r>
    </w:p>
    <w:tbl>
      <w:tblPr>
        <w:tblW w:w="0" w:type="auto"/>
        <w:tblCellMar>
          <w:left w:w="71" w:type="dxa"/>
          <w:right w:w="71"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Spacing w:w="0" w:type="dxa"/>
        <w:tblLook w:val="04A0" w:firstRow="1" w:lastRow="0" w:firstColumn="1" w:lastColumn="0" w:noHBand="0" w:noVBand="1"/>
      </w:tblPr>
      <w:tblGrid>
        <w:gridCol w:w="724"/>
        <w:gridCol w:w="4650"/>
        <w:gridCol w:w="1425"/>
        <w:gridCol w:w="1486"/>
        <w:gridCol w:w="1923"/>
      </w:tblGrid>
      <w:tr>
        <w:trPr>
          <w:tblCellSpacing w:w="0" w:type="dxa"/>
        </w:trPr>
        <w:tc>
          <w:tcPr>
            <w:gridSpan w:val="3"/>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6592" w:type="dxa"/>
            <w:vAlign w:val="center"/>
            <w:textDirection w:val="lrTb"/>
            <w:noWrap w:val="false"/>
          </w:tcPr>
          <w:p>
            <w:pPr>
              <w:pStyle w:val="1012"/>
              <w:pBdr/>
              <w:spacing/>
              <w:ind/>
              <w:rPr>
                <w:lang w:val="it-IT"/>
              </w:rPr>
            </w:pPr>
            <w:r>
              <w:rPr>
                <w:b/>
                <w:bCs/>
                <w:lang w:val="it-IT"/>
              </w:rPr>
              <w:t xml:space="preserve">STATO DELLE REVISIONI</w:t>
            </w:r>
            <w:r>
              <w:rPr>
                <w:lang w:val="it-IT"/>
              </w:rPr>
            </w:r>
            <w:r>
              <w:rPr>
                <w:lang w:val="it-IT"/>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203" w:type="dxa"/>
            <w:vAlign w:val="center"/>
            <w:textDirection w:val="lrTb"/>
            <w:noWrap w:val="false"/>
          </w:tcPr>
          <w:p>
            <w:pPr>
              <w:pStyle w:val="1012"/>
              <w:pBdr/>
              <w:spacing/>
              <w:ind/>
              <w:rPr>
                <w:lang w:val="it-IT"/>
              </w:rPr>
            </w:pPr>
            <w:r>
              <w:rPr>
                <w:b/>
                <w:bCs/>
                <w:lang w:val="it-IT"/>
              </w:rPr>
              <w:t xml:space="preserve">ITER DI EMISSIONE</w:t>
            </w:r>
            <w:r>
              <w:rPr>
                <w:lang w:val="it-IT"/>
              </w:rPr>
            </w:r>
            <w:r>
              <w:rPr>
                <w:lang w:val="it-IT"/>
              </w:rPr>
            </w:r>
          </w:p>
        </w:tc>
      </w:tr>
      <w:tr>
        <w:trPr>
          <w:tblCellSpacing w:w="0" w:type="dxa"/>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638" w:type="dxa"/>
            <w:vAlign w:val="center"/>
            <w:textDirection w:val="lrTb"/>
            <w:noWrap w:val="false"/>
          </w:tcPr>
          <w:p>
            <w:pPr>
              <w:pStyle w:val="1012"/>
              <w:pBdr/>
              <w:spacing/>
              <w:ind/>
              <w:rPr>
                <w:lang w:val="it-IT"/>
              </w:rPr>
            </w:pPr>
            <w:r>
              <w:rPr>
                <w:lang w:val="it-IT"/>
              </w:rPr>
              <w:t xml:space="preserve">REV.</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678" w:type="dxa"/>
            <w:vAlign w:val="center"/>
            <w:textDirection w:val="lrTb"/>
            <w:noWrap w:val="false"/>
          </w:tcPr>
          <w:p>
            <w:pPr>
              <w:pStyle w:val="1012"/>
              <w:pBdr/>
              <w:spacing/>
              <w:ind/>
              <w:rPr>
                <w:lang w:val="it-IT"/>
              </w:rPr>
            </w:pPr>
            <w:r>
              <w:rPr>
                <w:lang w:val="it-IT"/>
              </w:rPr>
              <w:t xml:space="preserve">MOTIVO DELLA REVISIONE</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276" w:type="dxa"/>
            <w:vAlign w:val="center"/>
            <w:textDirection w:val="lrTb"/>
            <w:noWrap w:val="false"/>
          </w:tcPr>
          <w:p>
            <w:pPr>
              <w:pStyle w:val="1012"/>
              <w:pBdr/>
              <w:spacing/>
              <w:ind/>
              <w:rPr>
                <w:lang w:val="it-IT"/>
              </w:rPr>
            </w:pPr>
            <w:r>
              <w:rPr>
                <w:lang w:val="it-IT"/>
              </w:rPr>
              <w:t xml:space="preserve">DATA</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7" w:type="dxa"/>
            <w:vAlign w:val="center"/>
            <w:textDirection w:val="lrTb"/>
            <w:noWrap w:val="false"/>
          </w:tcPr>
          <w:p>
            <w:pPr>
              <w:pStyle w:val="1012"/>
              <w:pBdr/>
              <w:spacing/>
              <w:ind/>
              <w:rPr>
                <w:lang w:val="it-IT"/>
              </w:rPr>
            </w:pPr>
            <w:r>
              <w:rPr>
                <w:lang w:val="it-IT"/>
              </w:rPr>
              <w:t xml:space="preserve">REDAZIONE</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86" w:type="dxa"/>
            <w:vAlign w:val="center"/>
            <w:textDirection w:val="lrTb"/>
            <w:noWrap w:val="false"/>
          </w:tcPr>
          <w:p>
            <w:pPr>
              <w:pStyle w:val="1012"/>
              <w:pBdr/>
              <w:spacing/>
              <w:ind/>
              <w:rPr>
                <w:lang w:val="it-IT"/>
              </w:rPr>
            </w:pPr>
            <w:r>
              <w:rPr>
                <w:lang w:val="it-IT"/>
              </w:rPr>
              <w:t xml:space="preserve">APPROVAZIONE</w:t>
            </w:r>
            <w:r>
              <w:rPr>
                <w:lang w:val="it-IT"/>
              </w:rPr>
            </w:r>
            <w:r>
              <w:rPr>
                <w:lang w:val="it-IT"/>
              </w:rPr>
            </w:r>
          </w:p>
        </w:tc>
      </w:tr>
      <w:tr>
        <w:trPr>
          <w:tblCellSpacing w:w="0" w:type="dxa"/>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638" w:type="dxa"/>
            <w:vAlign w:val="center"/>
            <w:textDirection w:val="lrTb"/>
            <w:noWrap w:val="false"/>
          </w:tcPr>
          <w:p>
            <w:pPr>
              <w:pStyle w:val="1012"/>
              <w:pBdr/>
              <w:spacing/>
              <w:ind/>
              <w:rPr>
                <w:lang w:val="it-IT"/>
              </w:rPr>
            </w:pPr>
            <w:r>
              <w:rPr>
                <w:lang w:val="it-IT"/>
              </w:rPr>
              <w:t xml:space="preserve">0</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678" w:type="dxa"/>
            <w:vAlign w:val="center"/>
            <w:textDirection w:val="lrTb"/>
            <w:noWrap w:val="false"/>
          </w:tcPr>
          <w:p>
            <w:pPr>
              <w:pStyle w:val="1012"/>
              <w:pBdr/>
              <w:spacing/>
              <w:ind/>
              <w:rPr>
                <w:lang w:val="it-IT"/>
              </w:rPr>
            </w:pPr>
            <w:r>
              <w:rPr>
                <w:lang w:val="it-IT"/>
              </w:rPr>
              <w:t xml:space="preserve">Nuova Emissione</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276" w:type="dxa"/>
            <w:vAlign w:val="center"/>
            <w:textDirection w:val="lrTb"/>
            <w:noWrap w:val="false"/>
          </w:tcPr>
          <w:p>
            <w:pPr>
              <w:pStyle w:val="1012"/>
              <w:pBdr/>
              <w:spacing/>
              <w:ind/>
              <w:rPr>
                <w:lang w:val="it-IT"/>
              </w:rPr>
            </w:pPr>
            <w:r>
              <w:rPr>
                <w:lang w:val="it-IT"/>
              </w:rPr>
              <w:t xml:space="preserve">14/10/2025</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7" w:type="dxa"/>
            <w:vAlign w:val="center"/>
            <w:textDirection w:val="lrTb"/>
            <w:noWrap w:val="false"/>
          </w:tcPr>
          <w:p>
            <w:pPr>
              <w:pStyle w:val="1012"/>
              <w:pBdr/>
              <w:spacing/>
              <w:ind/>
              <w:rPr>
                <w:lang w:val="it-IT"/>
              </w:rPr>
            </w:pPr>
            <w:r>
              <w:rPr>
                <w:lang w:val="it-IT"/>
              </w:rPr>
              <w:t xml:space="preserve"> </w:t>
            </w:r>
            <w:r>
              <w:rPr>
                <w:lang w:val="it-IT"/>
              </w:rPr>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86" w:type="dxa"/>
            <w:vAlign w:val="center"/>
            <w:textDirection w:val="lrTb"/>
            <w:noWrap w:val="false"/>
          </w:tcPr>
          <w:p>
            <w:pPr>
              <w:pStyle w:val="1012"/>
              <w:pBdr/>
              <w:spacing/>
              <w:ind/>
              <w:rPr>
                <w:lang w:val="it-IT"/>
              </w:rPr>
            </w:pPr>
            <w:r>
              <w:rPr>
                <w:lang w:val="it-IT"/>
              </w:rPr>
              <w:t xml:space="preserve"> </w:t>
            </w:r>
            <w:r>
              <w:rPr>
                <w:lang w:val="it-IT"/>
              </w:rPr>
            </w:r>
            <w:r>
              <w:rPr>
                <w:lang w:val="it-IT"/>
              </w:rPr>
            </w:r>
          </w:p>
        </w:tc>
      </w:tr>
    </w:tbl>
    <w:p>
      <w:pPr>
        <w:pStyle w:val="1012"/>
        <w:pBdr/>
        <w:spacing/>
        <w:ind/>
        <w:rPr>
          <w:lang w:val="it-IT"/>
        </w:rPr>
      </w:pPr>
      <w:r>
        <w:rPr>
          <w:lang w:val="it-IT"/>
        </w:rPr>
        <w:t xml:space="preserve"> </w:t>
      </w:r>
      <w:r>
        <w:rPr>
          <w:lang w:val="it-IT"/>
        </w:rPr>
      </w:r>
      <w:r>
        <w:rPr>
          <w:lang w:val="it-IT"/>
        </w:rPr>
      </w:r>
    </w:p>
    <w:p>
      <w:pPr>
        <w:pBdr/>
        <w:spacing/>
        <w:ind/>
        <w:rPr/>
      </w:pPr>
      <w:r>
        <w:br w:type="page" w:clear="all"/>
      </w:r>
      <w:r/>
    </w:p>
    <w:sdt>
      <w:sdtPr>
        <w15:appearance w15:val="boundingBox"/>
        <w:id w:val="-781731850"/>
        <w:docPartObj>
          <w:docPartGallery w:val="Table of Contents"/>
          <w:docPartUnique w:val="true"/>
        </w:docPartObj>
        <w:rPr>
          <w:lang w:val="it-IT"/>
        </w:rPr>
      </w:sdtPr>
      <w:sdtContent>
        <w:p>
          <w:pPr>
            <w:pStyle w:val="999"/>
            <w:numPr>
              <w:ilvl w:val="0"/>
              <w:numId w:val="0"/>
            </w:numPr>
            <w:pBdr/>
            <w:spacing/>
            <w:ind w:hanging="360" w:left="360"/>
            <w:rPr/>
          </w:pPr>
          <w:r/>
          <w:bookmarkStart w:id="3" w:name="_Toc211351939"/>
          <w:r>
            <w:rPr>
              <w:lang w:val="it-IT"/>
            </w:rPr>
            <w:t xml:space="preserve">Sommario</w:t>
          </w:r>
          <w:bookmarkEnd w:id="3"/>
          <w:r/>
          <w:r/>
        </w:p>
        <w:p>
          <w:pPr>
            <w:pStyle w:val="1086"/>
            <w:pBdr/>
            <w:tabs>
              <w:tab w:val="right" w:leader="dot" w:pos="9962"/>
            </w:tabs>
            <w:spacing/>
            <w:ind/>
            <w:rPr>
              <w:rFonts w:eastAsiaTheme="minorEastAsia"/>
              <w:lang w:val="it-IT" w:eastAsia="it-IT"/>
              <w14:ligatures w14:val="standardContextual"/>
            </w:rPr>
          </w:pPr>
          <w:r>
            <w:fldChar w:fldCharType="begin"/>
          </w:r>
          <w:r>
            <w:instrText xml:space="preserve"> TOC \o "1-3" \h \z \u </w:instrText>
          </w:r>
          <w:r>
            <w:fldChar w:fldCharType="separate"/>
          </w:r>
          <w:hyperlink w:tooltip="#_Toc211351939" w:anchor="_Toc211351939" w:history="1">
            <w:r>
              <w:rPr>
                <w:rStyle w:val="1047"/>
                <w:lang w:val="it-IT"/>
              </w:rPr>
              <w:t xml:space="preserve">Sommario</w:t>
            </w:r>
            <w:r>
              <w:tab/>
            </w:r>
            <w:r>
              <w:fldChar w:fldCharType="begin"/>
            </w:r>
            <w:r>
              <w:instrText xml:space="preserve"> PAGEREF _Toc211351939 \h </w:instrText>
            </w:r>
            <w:r>
              <w:fldChar w:fldCharType="separate"/>
            </w:r>
            <w:r>
              <w:t xml:space="preserve">2</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6"/>
            <w:pBdr/>
            <w:tabs>
              <w:tab w:val="left" w:leader="none" w:pos="480"/>
              <w:tab w:val="right" w:leader="dot" w:pos="9962"/>
            </w:tabs>
            <w:spacing/>
            <w:ind/>
            <w:rPr>
              <w:rFonts w:eastAsiaTheme="minorEastAsia"/>
              <w:lang w:val="it-IT" w:eastAsia="it-IT"/>
              <w14:ligatures w14:val="standardContextual"/>
            </w:rPr>
          </w:pPr>
          <w:r/>
          <w:hyperlink w:tooltip="#_Toc211351940" w:anchor="_Toc211351940" w:history="1">
            <w:r>
              <w:rPr>
                <w:rStyle w:val="1047"/>
              </w:rPr>
              <w:t xml:space="preserve">0.</w:t>
            </w:r>
            <w:r>
              <w:rPr>
                <w:rFonts w:eastAsiaTheme="minorEastAsia"/>
                <w:lang w:val="it-IT" w:eastAsia="it-IT"/>
                <w14:ligatures w14:val="standardContextual"/>
              </w:rPr>
              <w:tab/>
            </w:r>
            <w:r>
              <w:rPr>
                <w:rStyle w:val="1047"/>
              </w:rPr>
              <w:t xml:space="preserve">Introduzione</w:t>
            </w:r>
            <w:r>
              <w:tab/>
            </w:r>
            <w:r>
              <w:fldChar w:fldCharType="begin"/>
            </w:r>
            <w:r>
              <w:instrText xml:space="preserve"> PAGEREF _Toc211351940 \h </w:instrText>
            </w:r>
            <w:r>
              <w:fldChar w:fldCharType="separate"/>
            </w:r>
            <w:r>
              <w:t xml:space="preserve">4</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6"/>
            <w:pBdr/>
            <w:tabs>
              <w:tab w:val="left" w:leader="none" w:pos="480"/>
              <w:tab w:val="right" w:leader="dot" w:pos="9962"/>
            </w:tabs>
            <w:spacing/>
            <w:ind/>
            <w:rPr>
              <w:rFonts w:eastAsiaTheme="minorEastAsia"/>
              <w:lang w:val="it-IT" w:eastAsia="it-IT"/>
              <w14:ligatures w14:val="standardContextual"/>
            </w:rPr>
          </w:pPr>
          <w:r/>
          <w:hyperlink w:tooltip="#_Toc211351941" w:anchor="_Toc211351941" w:history="1">
            <w:r>
              <w:rPr>
                <w:rStyle w:val="1047"/>
              </w:rPr>
              <w:t xml:space="preserve">1.</w:t>
            </w:r>
            <w:r>
              <w:rPr>
                <w:rFonts w:eastAsiaTheme="minorEastAsia"/>
                <w:lang w:val="it-IT" w:eastAsia="it-IT"/>
                <w14:ligatures w14:val="standardContextual"/>
              </w:rPr>
              <w:tab/>
            </w:r>
            <w:r>
              <w:rPr>
                <w:rStyle w:val="1047"/>
              </w:rPr>
              <w:t xml:space="preserve">Scopo e Campo di Applicazione</w:t>
            </w:r>
            <w:r>
              <w:tab/>
            </w:r>
            <w:r>
              <w:fldChar w:fldCharType="begin"/>
            </w:r>
            <w:r>
              <w:instrText xml:space="preserve"> PAGEREF _Toc211351941 \h </w:instrText>
            </w:r>
            <w:r>
              <w:fldChar w:fldCharType="separate"/>
            </w:r>
            <w:r>
              <w:t xml:space="preserve">4</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6"/>
            <w:pBdr/>
            <w:tabs>
              <w:tab w:val="left" w:leader="none" w:pos="480"/>
              <w:tab w:val="right" w:leader="dot" w:pos="9962"/>
            </w:tabs>
            <w:spacing/>
            <w:ind/>
            <w:rPr>
              <w:rFonts w:eastAsiaTheme="minorEastAsia"/>
              <w:lang w:val="it-IT" w:eastAsia="it-IT"/>
              <w14:ligatures w14:val="standardContextual"/>
            </w:rPr>
          </w:pPr>
          <w:r/>
          <w:hyperlink w:tooltip="#_Toc211351942" w:anchor="_Toc211351942" w:history="1">
            <w:r>
              <w:rPr>
                <w:rStyle w:val="1047"/>
              </w:rPr>
              <w:t xml:space="preserve">2.</w:t>
            </w:r>
            <w:r>
              <w:rPr>
                <w:rFonts w:eastAsiaTheme="minorEastAsia"/>
                <w:lang w:val="it-IT" w:eastAsia="it-IT"/>
                <w14:ligatures w14:val="standardContextual"/>
              </w:rPr>
              <w:tab/>
            </w:r>
            <w:r>
              <w:rPr>
                <w:rStyle w:val="1047"/>
              </w:rPr>
              <w:t xml:space="preserve">Riferimenti Normativi</w:t>
            </w:r>
            <w:r>
              <w:tab/>
            </w:r>
            <w:r>
              <w:fldChar w:fldCharType="begin"/>
            </w:r>
            <w:r>
              <w:instrText xml:space="preserve"> PAGEREF _Toc211351942 \h </w:instrText>
            </w:r>
            <w:r>
              <w:fldChar w:fldCharType="separate"/>
            </w:r>
            <w:r>
              <w:t xml:space="preserve">5</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6"/>
            <w:pBdr/>
            <w:tabs>
              <w:tab w:val="left" w:leader="none" w:pos="480"/>
              <w:tab w:val="right" w:leader="dot" w:pos="9962"/>
            </w:tabs>
            <w:spacing/>
            <w:ind/>
            <w:rPr>
              <w:rFonts w:eastAsiaTheme="minorEastAsia"/>
              <w:lang w:val="it-IT" w:eastAsia="it-IT"/>
              <w14:ligatures w14:val="standardContextual"/>
            </w:rPr>
          </w:pPr>
          <w:r/>
          <w:hyperlink w:tooltip="#_Toc211351943" w:anchor="_Toc211351943" w:history="1">
            <w:r>
              <w:rPr>
                <w:rStyle w:val="1047"/>
              </w:rPr>
              <w:t xml:space="preserve">3.</w:t>
            </w:r>
            <w:r>
              <w:rPr>
                <w:rFonts w:eastAsiaTheme="minorEastAsia"/>
                <w:lang w:val="it-IT" w:eastAsia="it-IT"/>
                <w14:ligatures w14:val="standardContextual"/>
              </w:rPr>
              <w:tab/>
            </w:r>
            <w:r>
              <w:rPr>
                <w:rStyle w:val="1047"/>
              </w:rPr>
              <w:t xml:space="preserve">Termini e Definizioni</w:t>
            </w:r>
            <w:r>
              <w:tab/>
            </w:r>
            <w:r>
              <w:fldChar w:fldCharType="begin"/>
            </w:r>
            <w:r>
              <w:instrText xml:space="preserve"> PAGEREF _Toc211351943 \h </w:instrText>
            </w:r>
            <w:r>
              <w:fldChar w:fldCharType="separate"/>
            </w:r>
            <w:r>
              <w:t xml:space="preserve">6</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6"/>
            <w:pBdr/>
            <w:tabs>
              <w:tab w:val="left" w:leader="none" w:pos="480"/>
              <w:tab w:val="right" w:leader="dot" w:pos="9962"/>
            </w:tabs>
            <w:spacing/>
            <w:ind/>
            <w:rPr>
              <w:rFonts w:eastAsiaTheme="minorEastAsia"/>
              <w:lang w:val="it-IT" w:eastAsia="it-IT"/>
              <w14:ligatures w14:val="standardContextual"/>
            </w:rPr>
          </w:pPr>
          <w:r/>
          <w:hyperlink w:tooltip="#_Toc211351944" w:anchor="_Toc211351944" w:history="1">
            <w:r>
              <w:rPr>
                <w:rStyle w:val="1047"/>
              </w:rPr>
              <w:t xml:space="preserve">4.</w:t>
            </w:r>
            <w:r>
              <w:rPr>
                <w:rFonts w:eastAsiaTheme="minorEastAsia"/>
                <w:lang w:val="it-IT" w:eastAsia="it-IT"/>
                <w14:ligatures w14:val="standardContextual"/>
              </w:rPr>
              <w:tab/>
            </w:r>
            <w:r>
              <w:rPr>
                <w:rStyle w:val="1047"/>
              </w:rPr>
              <w:t xml:space="preserve">Contesto dell’Organizzazione</w:t>
            </w:r>
            <w:r>
              <w:tab/>
            </w:r>
            <w:r>
              <w:fldChar w:fldCharType="begin"/>
            </w:r>
            <w:r>
              <w:instrText xml:space="preserve"> PAGEREF _Toc211351944 \h </w:instrText>
            </w:r>
            <w:r>
              <w:fldChar w:fldCharType="separate"/>
            </w:r>
            <w:r>
              <w:t xml:space="preserve">7</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7"/>
            <w:pBdr/>
            <w:tabs>
              <w:tab w:val="left" w:leader="none" w:pos="960"/>
              <w:tab w:val="right" w:leader="dot" w:pos="9962"/>
            </w:tabs>
            <w:spacing/>
            <w:ind/>
            <w:rPr>
              <w:rFonts w:eastAsiaTheme="minorEastAsia"/>
              <w:lang w:val="it-IT" w:eastAsia="it-IT"/>
              <w14:ligatures w14:val="standardContextual"/>
            </w:rPr>
          </w:pPr>
          <w:r/>
          <w:hyperlink w:tooltip="#_Toc211351945" w:anchor="_Toc211351945" w:history="1">
            <w:r>
              <w:rPr>
                <w:rStyle w:val="1047"/>
              </w:rPr>
              <w:t xml:space="preserve">4.1</w:t>
            </w:r>
            <w:r>
              <w:rPr>
                <w:rFonts w:eastAsiaTheme="minorEastAsia"/>
                <w:lang w:val="it-IT" w:eastAsia="it-IT"/>
                <w14:ligatures w14:val="standardContextual"/>
              </w:rPr>
              <w:tab/>
            </w:r>
            <w:r>
              <w:rPr>
                <w:rStyle w:val="1047"/>
              </w:rPr>
              <w:t xml:space="preserve">Contesto esterno ed interno</w:t>
            </w:r>
            <w:r>
              <w:tab/>
            </w:r>
            <w:r>
              <w:fldChar w:fldCharType="begin"/>
            </w:r>
            <w:r>
              <w:instrText xml:space="preserve"> PAGEREF _Toc211351945 \h </w:instrText>
            </w:r>
            <w:r>
              <w:fldChar w:fldCharType="separate"/>
            </w:r>
            <w:r>
              <w:t xml:space="preserve">7</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7"/>
            <w:pBdr/>
            <w:tabs>
              <w:tab w:val="left" w:leader="none" w:pos="960"/>
              <w:tab w:val="right" w:leader="dot" w:pos="9962"/>
            </w:tabs>
            <w:spacing/>
            <w:ind/>
            <w:rPr>
              <w:rFonts w:eastAsiaTheme="minorEastAsia"/>
              <w:lang w:val="it-IT" w:eastAsia="it-IT"/>
              <w14:ligatures w14:val="standardContextual"/>
            </w:rPr>
          </w:pPr>
          <w:r/>
          <w:hyperlink w:tooltip="#_Toc211351946" w:anchor="_Toc211351946" w:history="1">
            <w:r>
              <w:rPr>
                <w:rStyle w:val="1047"/>
              </w:rPr>
              <w:t xml:space="preserve">4.2</w:t>
            </w:r>
            <w:r>
              <w:rPr>
                <w:rFonts w:eastAsiaTheme="minorEastAsia"/>
                <w:lang w:val="it-IT" w:eastAsia="it-IT"/>
                <w14:ligatures w14:val="standardContextual"/>
              </w:rPr>
              <w:tab/>
            </w:r>
            <w:r>
              <w:rPr>
                <w:rStyle w:val="1047"/>
              </w:rPr>
              <w:t xml:space="preserve">Parti interessate e loro esigenze</w:t>
            </w:r>
            <w:r>
              <w:tab/>
            </w:r>
            <w:r>
              <w:fldChar w:fldCharType="begin"/>
            </w:r>
            <w:r>
              <w:instrText xml:space="preserve"> PAGEREF _Toc211351946 \h </w:instrText>
            </w:r>
            <w:r>
              <w:fldChar w:fldCharType="separate"/>
            </w:r>
            <w:r>
              <w:t xml:space="preserve">8</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7"/>
            <w:pBdr/>
            <w:tabs>
              <w:tab w:val="left" w:leader="none" w:pos="960"/>
              <w:tab w:val="right" w:leader="dot" w:pos="9962"/>
            </w:tabs>
            <w:spacing/>
            <w:ind/>
            <w:rPr>
              <w:rFonts w:eastAsiaTheme="minorEastAsia"/>
              <w:lang w:val="it-IT" w:eastAsia="it-IT"/>
              <w14:ligatures w14:val="standardContextual"/>
            </w:rPr>
          </w:pPr>
          <w:r/>
          <w:hyperlink w:tooltip="#_Toc211351947" w:anchor="_Toc211351947" w:history="1">
            <w:r>
              <w:rPr>
                <w:rStyle w:val="1047"/>
              </w:rPr>
              <w:t xml:space="preserve">4.3</w:t>
            </w:r>
            <w:r>
              <w:rPr>
                <w:rFonts w:eastAsiaTheme="minorEastAsia"/>
                <w:lang w:val="it-IT" w:eastAsia="it-IT"/>
                <w14:ligatures w14:val="standardContextual"/>
              </w:rPr>
              <w:tab/>
            </w:r>
            <w:r>
              <w:rPr>
                <w:rStyle w:val="1047"/>
              </w:rPr>
              <w:t xml:space="preserve">Campo di applicazione del SGSSL</w:t>
            </w:r>
            <w:r>
              <w:tab/>
            </w:r>
            <w:r>
              <w:fldChar w:fldCharType="begin"/>
            </w:r>
            <w:r>
              <w:instrText xml:space="preserve"> PAGEREF _Toc211351947 \h </w:instrText>
            </w:r>
            <w:r>
              <w:fldChar w:fldCharType="separate"/>
            </w:r>
            <w:r>
              <w:t xml:space="preserve">11</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7"/>
            <w:pBdr/>
            <w:tabs>
              <w:tab w:val="left" w:leader="none" w:pos="960"/>
              <w:tab w:val="right" w:leader="dot" w:pos="9962"/>
            </w:tabs>
            <w:spacing/>
            <w:ind/>
            <w:rPr>
              <w:rFonts w:eastAsiaTheme="minorEastAsia"/>
              <w:lang w:val="it-IT" w:eastAsia="it-IT"/>
              <w14:ligatures w14:val="standardContextual"/>
            </w:rPr>
          </w:pPr>
          <w:r/>
          <w:hyperlink w:tooltip="#_Toc211351948" w:anchor="_Toc211351948" w:history="1">
            <w:r>
              <w:rPr>
                <w:rStyle w:val="1047"/>
              </w:rPr>
              <w:t xml:space="preserve">4.4</w:t>
            </w:r>
            <w:r>
              <w:rPr>
                <w:rFonts w:eastAsiaTheme="minorEastAsia"/>
                <w:lang w:val="it-IT" w:eastAsia="it-IT"/>
                <w14:ligatures w14:val="standardContextual"/>
              </w:rPr>
              <w:tab/>
            </w:r>
            <w:r>
              <w:rPr>
                <w:rStyle w:val="1047"/>
              </w:rPr>
              <w:t xml:space="preserve">Sistema di Gestione SSL e integrazione con altri sistemi</w:t>
            </w:r>
            <w:r>
              <w:tab/>
            </w:r>
            <w:r>
              <w:fldChar w:fldCharType="begin"/>
            </w:r>
            <w:r>
              <w:instrText xml:space="preserve"> PAGEREF _Toc211351948 \h </w:instrText>
            </w:r>
            <w:r>
              <w:fldChar w:fldCharType="separate"/>
            </w:r>
            <w:r>
              <w:t xml:space="preserve">12</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6"/>
            <w:pBdr/>
            <w:tabs>
              <w:tab w:val="left" w:leader="none" w:pos="480"/>
              <w:tab w:val="right" w:leader="dot" w:pos="9962"/>
            </w:tabs>
            <w:spacing/>
            <w:ind/>
            <w:rPr>
              <w:rFonts w:eastAsiaTheme="minorEastAsia"/>
              <w:lang w:val="it-IT" w:eastAsia="it-IT"/>
              <w14:ligatures w14:val="standardContextual"/>
            </w:rPr>
          </w:pPr>
          <w:r/>
          <w:hyperlink w:tooltip="#_Toc211351949" w:anchor="_Toc211351949" w:history="1">
            <w:r>
              <w:rPr>
                <w:rStyle w:val="1047"/>
              </w:rPr>
              <w:t xml:space="preserve">5.</w:t>
            </w:r>
            <w:r>
              <w:rPr>
                <w:rFonts w:eastAsiaTheme="minorEastAsia"/>
                <w:lang w:val="it-IT" w:eastAsia="it-IT"/>
                <w14:ligatures w14:val="standardContextual"/>
              </w:rPr>
              <w:tab/>
            </w:r>
            <w:r>
              <w:rPr>
                <w:rStyle w:val="1047"/>
              </w:rPr>
              <w:t xml:space="preserve">Leadership e Partecipazione dei Lavoratori</w:t>
            </w:r>
            <w:r>
              <w:tab/>
            </w:r>
            <w:r>
              <w:fldChar w:fldCharType="begin"/>
            </w:r>
            <w:r>
              <w:instrText xml:space="preserve"> PAGEREF _Toc211351949 \h </w:instrText>
            </w:r>
            <w:r>
              <w:fldChar w:fldCharType="separate"/>
            </w:r>
            <w:r>
              <w:t xml:space="preserve">14</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7"/>
            <w:pBdr/>
            <w:tabs>
              <w:tab w:val="left" w:leader="none" w:pos="960"/>
              <w:tab w:val="right" w:leader="dot" w:pos="9962"/>
            </w:tabs>
            <w:spacing/>
            <w:ind/>
            <w:rPr>
              <w:rFonts w:eastAsiaTheme="minorEastAsia"/>
              <w:lang w:val="it-IT" w:eastAsia="it-IT"/>
              <w14:ligatures w14:val="standardContextual"/>
            </w:rPr>
          </w:pPr>
          <w:r/>
          <w:hyperlink w:tooltip="#_Toc211351950" w:anchor="_Toc211351950" w:history="1">
            <w:r>
              <w:rPr>
                <w:rStyle w:val="1047"/>
              </w:rPr>
              <w:t xml:space="preserve">5.1</w:t>
            </w:r>
            <w:r>
              <w:rPr>
                <w:rFonts w:eastAsiaTheme="minorEastAsia"/>
                <w:lang w:val="it-IT" w:eastAsia="it-IT"/>
                <w14:ligatures w14:val="standardContextual"/>
              </w:rPr>
              <w:tab/>
            </w:r>
            <w:r>
              <w:rPr>
                <w:rStyle w:val="1047"/>
              </w:rPr>
              <w:t xml:space="preserve">Impegno della Direzione</w:t>
            </w:r>
            <w:r>
              <w:tab/>
            </w:r>
            <w:r>
              <w:fldChar w:fldCharType="begin"/>
            </w:r>
            <w:r>
              <w:instrText xml:space="preserve"> PAGEREF _Toc211351950 \h </w:instrText>
            </w:r>
            <w:r>
              <w:fldChar w:fldCharType="separate"/>
            </w:r>
            <w:r>
              <w:t xml:space="preserve">14</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7"/>
            <w:pBdr/>
            <w:tabs>
              <w:tab w:val="left" w:leader="none" w:pos="960"/>
              <w:tab w:val="right" w:leader="dot" w:pos="9962"/>
            </w:tabs>
            <w:spacing/>
            <w:ind/>
            <w:rPr>
              <w:rFonts w:eastAsiaTheme="minorEastAsia"/>
              <w:lang w:val="it-IT" w:eastAsia="it-IT"/>
              <w14:ligatures w14:val="standardContextual"/>
            </w:rPr>
          </w:pPr>
          <w:r/>
          <w:hyperlink w:tooltip="#_Toc211351951" w:anchor="_Toc211351951" w:history="1">
            <w:r>
              <w:rPr>
                <w:rStyle w:val="1047"/>
              </w:rPr>
              <w:t xml:space="preserve">5.2</w:t>
            </w:r>
            <w:r>
              <w:rPr>
                <w:rFonts w:eastAsiaTheme="minorEastAsia"/>
                <w:lang w:val="it-IT" w:eastAsia="it-IT"/>
                <w14:ligatures w14:val="standardContextual"/>
              </w:rPr>
              <w:tab/>
            </w:r>
            <w:r>
              <w:rPr>
                <w:rStyle w:val="1047"/>
              </w:rPr>
              <w:t xml:space="preserve">Politica per la Salute e Sicurezza sul Lavoro (SSL)</w:t>
            </w:r>
            <w:r>
              <w:tab/>
            </w:r>
            <w:r>
              <w:fldChar w:fldCharType="begin"/>
            </w:r>
            <w:r>
              <w:instrText xml:space="preserve"> PAGEREF _Toc211351951 \h </w:instrText>
            </w:r>
            <w:r>
              <w:fldChar w:fldCharType="separate"/>
            </w:r>
            <w:r>
              <w:t xml:space="preserve">15</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7"/>
            <w:pBdr/>
            <w:tabs>
              <w:tab w:val="left" w:leader="none" w:pos="960"/>
              <w:tab w:val="right" w:leader="dot" w:pos="9962"/>
            </w:tabs>
            <w:spacing/>
            <w:ind/>
            <w:rPr>
              <w:rFonts w:eastAsiaTheme="minorEastAsia"/>
              <w:lang w:val="it-IT" w:eastAsia="it-IT"/>
              <w14:ligatures w14:val="standardContextual"/>
            </w:rPr>
          </w:pPr>
          <w:r/>
          <w:hyperlink w:tooltip="#_Toc211351952" w:anchor="_Toc211351952" w:history="1">
            <w:r>
              <w:rPr>
                <w:rStyle w:val="1047"/>
              </w:rPr>
              <w:t xml:space="preserve">5.3</w:t>
            </w:r>
            <w:r>
              <w:rPr>
                <w:rFonts w:eastAsiaTheme="minorEastAsia"/>
                <w:lang w:val="it-IT" w:eastAsia="it-IT"/>
                <w14:ligatures w14:val="standardContextual"/>
              </w:rPr>
              <w:tab/>
            </w:r>
            <w:r>
              <w:rPr>
                <w:rStyle w:val="1047"/>
              </w:rPr>
              <w:t xml:space="preserve">Ruoli, responsabilità e autorità in materia di SSL</w:t>
            </w:r>
            <w:r>
              <w:tab/>
            </w:r>
            <w:r>
              <w:fldChar w:fldCharType="begin"/>
            </w:r>
            <w:r>
              <w:instrText xml:space="preserve"> PAGEREF _Toc211351952 \h </w:instrText>
            </w:r>
            <w:r>
              <w:fldChar w:fldCharType="separate"/>
            </w:r>
            <w:r>
              <w:t xml:space="preserve">17</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7"/>
            <w:pBdr/>
            <w:tabs>
              <w:tab w:val="left" w:leader="none" w:pos="960"/>
              <w:tab w:val="right" w:leader="dot" w:pos="9962"/>
            </w:tabs>
            <w:spacing/>
            <w:ind/>
            <w:rPr>
              <w:rFonts w:eastAsiaTheme="minorEastAsia"/>
              <w:lang w:val="it-IT" w:eastAsia="it-IT"/>
              <w14:ligatures w14:val="standardContextual"/>
            </w:rPr>
          </w:pPr>
          <w:r/>
          <w:hyperlink w:tooltip="#_Toc211351953" w:anchor="_Toc211351953" w:history="1">
            <w:r>
              <w:rPr>
                <w:rStyle w:val="1047"/>
              </w:rPr>
              <w:t xml:space="preserve">5.4</w:t>
            </w:r>
            <w:r>
              <w:rPr>
                <w:rFonts w:eastAsiaTheme="minorEastAsia"/>
                <w:lang w:val="it-IT" w:eastAsia="it-IT"/>
                <w14:ligatures w14:val="standardContextual"/>
              </w:rPr>
              <w:tab/>
            </w:r>
            <w:r>
              <w:rPr>
                <w:rStyle w:val="1047"/>
              </w:rPr>
              <w:t xml:space="preserve">Consultazione e partecipazione dei lavoratori</w:t>
            </w:r>
            <w:r>
              <w:tab/>
            </w:r>
            <w:r>
              <w:fldChar w:fldCharType="begin"/>
            </w:r>
            <w:r>
              <w:instrText xml:space="preserve"> PAGEREF _Toc211351953 \h </w:instrText>
            </w:r>
            <w:r>
              <w:fldChar w:fldCharType="separate"/>
            </w:r>
            <w:r>
              <w:t xml:space="preserve">22</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6"/>
            <w:pBdr/>
            <w:tabs>
              <w:tab w:val="left" w:leader="none" w:pos="480"/>
              <w:tab w:val="right" w:leader="dot" w:pos="9962"/>
            </w:tabs>
            <w:spacing/>
            <w:ind/>
            <w:rPr>
              <w:rFonts w:eastAsiaTheme="minorEastAsia"/>
              <w:lang w:val="it-IT" w:eastAsia="it-IT"/>
              <w14:ligatures w14:val="standardContextual"/>
            </w:rPr>
          </w:pPr>
          <w:r/>
          <w:hyperlink w:tooltip="#_Toc211351954" w:anchor="_Toc211351954" w:history="1">
            <w:r>
              <w:rPr>
                <w:rStyle w:val="1047"/>
              </w:rPr>
              <w:t xml:space="preserve">6.</w:t>
            </w:r>
            <w:r>
              <w:rPr>
                <w:rFonts w:eastAsiaTheme="minorEastAsia"/>
                <w:lang w:val="it-IT" w:eastAsia="it-IT"/>
                <w14:ligatures w14:val="standardContextual"/>
              </w:rPr>
              <w:tab/>
            </w:r>
            <w:r>
              <w:rPr>
                <w:rStyle w:val="1047"/>
              </w:rPr>
              <w:t xml:space="preserve">Pianificazione</w:t>
            </w:r>
            <w:r>
              <w:tab/>
            </w:r>
            <w:r>
              <w:fldChar w:fldCharType="begin"/>
            </w:r>
            <w:r>
              <w:instrText xml:space="preserve"> PAGEREF _Toc211351954 \h </w:instrText>
            </w:r>
            <w:r>
              <w:fldChar w:fldCharType="separate"/>
            </w:r>
            <w:r>
              <w:t xml:space="preserve">24</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7"/>
            <w:pBdr/>
            <w:tabs>
              <w:tab w:val="left" w:leader="none" w:pos="960"/>
              <w:tab w:val="right" w:leader="dot" w:pos="9962"/>
            </w:tabs>
            <w:spacing/>
            <w:ind/>
            <w:rPr>
              <w:rFonts w:eastAsiaTheme="minorEastAsia"/>
              <w:lang w:val="it-IT" w:eastAsia="it-IT"/>
              <w14:ligatures w14:val="standardContextual"/>
            </w:rPr>
          </w:pPr>
          <w:r/>
          <w:hyperlink w:tooltip="#_Toc211351955" w:anchor="_Toc211351955" w:history="1">
            <w:r>
              <w:rPr>
                <w:rStyle w:val="1047"/>
              </w:rPr>
              <w:t xml:space="preserve">6.1</w:t>
            </w:r>
            <w:r>
              <w:rPr>
                <w:rFonts w:eastAsiaTheme="minorEastAsia"/>
                <w:lang w:val="it-IT" w:eastAsia="it-IT"/>
                <w14:ligatures w14:val="standardContextual"/>
              </w:rPr>
              <w:tab/>
            </w:r>
            <w:r>
              <w:rPr>
                <w:rStyle w:val="1047"/>
              </w:rPr>
              <w:t xml:space="preserve">Identificazione dei pericoli e valutazione dei rischi per la SSL</w:t>
            </w:r>
            <w:r>
              <w:tab/>
            </w:r>
            <w:r>
              <w:fldChar w:fldCharType="begin"/>
            </w:r>
            <w:r>
              <w:instrText xml:space="preserve"> PAGEREF _Toc211351955 \h </w:instrText>
            </w:r>
            <w:r>
              <w:fldChar w:fldCharType="separate"/>
            </w:r>
            <w:r>
              <w:t xml:space="preserve">24</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8"/>
            <w:pBdr/>
            <w:tabs>
              <w:tab w:val="left" w:leader="none" w:pos="1440"/>
              <w:tab w:val="right" w:leader="dot" w:pos="9962"/>
            </w:tabs>
            <w:spacing/>
            <w:ind/>
            <w:rPr>
              <w:rFonts w:eastAsiaTheme="minorEastAsia"/>
              <w:lang w:val="it-IT" w:eastAsia="it-IT"/>
              <w14:ligatures w14:val="standardContextual"/>
            </w:rPr>
          </w:pPr>
          <w:r/>
          <w:hyperlink w:tooltip="#_Toc211351956" w:anchor="_Toc211351956" w:history="1">
            <w:r>
              <w:rPr>
                <w:rStyle w:val="1047"/>
              </w:rPr>
              <w:t xml:space="preserve">6.1.1</w:t>
            </w:r>
            <w:r>
              <w:rPr>
                <w:rFonts w:eastAsiaTheme="minorEastAsia"/>
                <w:lang w:val="it-IT" w:eastAsia="it-IT"/>
                <w14:ligatures w14:val="standardContextual"/>
              </w:rPr>
              <w:tab/>
            </w:r>
            <w:r>
              <w:rPr>
                <w:rStyle w:val="1047"/>
              </w:rPr>
              <w:t xml:space="preserve">Opportunità per la SSL e analisi dei rischi/opportunità</w:t>
            </w:r>
            <w:r>
              <w:tab/>
            </w:r>
            <w:r>
              <w:fldChar w:fldCharType="begin"/>
            </w:r>
            <w:r>
              <w:instrText xml:space="preserve"> PAGEREF _Toc211351956 \h </w:instrText>
            </w:r>
            <w:r>
              <w:fldChar w:fldCharType="separate"/>
            </w:r>
            <w:r>
              <w:t xml:space="preserve">31</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7"/>
            <w:pBdr/>
            <w:tabs>
              <w:tab w:val="left" w:leader="none" w:pos="960"/>
              <w:tab w:val="right" w:leader="dot" w:pos="9962"/>
            </w:tabs>
            <w:spacing/>
            <w:ind/>
            <w:rPr>
              <w:rFonts w:eastAsiaTheme="minorEastAsia"/>
              <w:lang w:val="it-IT" w:eastAsia="it-IT"/>
              <w14:ligatures w14:val="standardContextual"/>
            </w:rPr>
          </w:pPr>
          <w:r/>
          <w:hyperlink w:tooltip="#_Toc211351957" w:anchor="_Toc211351957" w:history="1">
            <w:r>
              <w:rPr>
                <w:rStyle w:val="1047"/>
              </w:rPr>
              <w:t xml:space="preserve">6.2</w:t>
            </w:r>
            <w:r>
              <w:rPr>
                <w:rFonts w:eastAsiaTheme="minorEastAsia"/>
                <w:lang w:val="it-IT" w:eastAsia="it-IT"/>
                <w14:ligatures w14:val="standardContextual"/>
              </w:rPr>
              <w:tab/>
            </w:r>
            <w:r>
              <w:rPr>
                <w:rStyle w:val="1047"/>
              </w:rPr>
              <w:t xml:space="preserve">Obblighi legali e altri requisiti (conformità normativa)</w:t>
            </w:r>
            <w:r>
              <w:tab/>
            </w:r>
            <w:r>
              <w:fldChar w:fldCharType="begin"/>
            </w:r>
            <w:r>
              <w:instrText xml:space="preserve"> PAGEREF _Toc211351957 \h </w:instrText>
            </w:r>
            <w:r>
              <w:fldChar w:fldCharType="separate"/>
            </w:r>
            <w:r>
              <w:t xml:space="preserve">32</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7"/>
            <w:pBdr/>
            <w:tabs>
              <w:tab w:val="left" w:leader="none" w:pos="960"/>
              <w:tab w:val="right" w:leader="dot" w:pos="9962"/>
            </w:tabs>
            <w:spacing/>
            <w:ind/>
            <w:rPr>
              <w:rFonts w:eastAsiaTheme="minorEastAsia"/>
              <w:lang w:val="it-IT" w:eastAsia="it-IT"/>
              <w14:ligatures w14:val="standardContextual"/>
            </w:rPr>
          </w:pPr>
          <w:r/>
          <w:hyperlink w:tooltip="#_Toc211351958" w:anchor="_Toc211351958" w:history="1">
            <w:r>
              <w:rPr>
                <w:rStyle w:val="1047"/>
              </w:rPr>
              <w:t xml:space="preserve">6.3</w:t>
            </w:r>
            <w:r>
              <w:rPr>
                <w:rFonts w:eastAsiaTheme="minorEastAsia"/>
                <w:lang w:val="it-IT" w:eastAsia="it-IT"/>
                <w14:ligatures w14:val="standardContextual"/>
              </w:rPr>
              <w:tab/>
            </w:r>
            <w:r>
              <w:rPr>
                <w:rStyle w:val="1047"/>
              </w:rPr>
              <w:t xml:space="preserve">Pianificazione delle azioni per gestire rischi, opportunità e conformità</w:t>
            </w:r>
            <w:r>
              <w:tab/>
            </w:r>
            <w:r>
              <w:fldChar w:fldCharType="begin"/>
            </w:r>
            <w:r>
              <w:instrText xml:space="preserve"> PAGEREF _Toc211351958 \h </w:instrText>
            </w:r>
            <w:r>
              <w:fldChar w:fldCharType="separate"/>
            </w:r>
            <w:r>
              <w:t xml:space="preserve">33</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7"/>
            <w:pBdr/>
            <w:tabs>
              <w:tab w:val="left" w:leader="none" w:pos="960"/>
              <w:tab w:val="right" w:leader="dot" w:pos="9962"/>
            </w:tabs>
            <w:spacing/>
            <w:ind/>
            <w:rPr>
              <w:rFonts w:eastAsiaTheme="minorEastAsia"/>
              <w:lang w:val="it-IT" w:eastAsia="it-IT"/>
              <w14:ligatures w14:val="standardContextual"/>
            </w:rPr>
          </w:pPr>
          <w:r/>
          <w:hyperlink w:tooltip="#_Toc211351959" w:anchor="_Toc211351959" w:history="1">
            <w:r>
              <w:rPr>
                <w:rStyle w:val="1047"/>
              </w:rPr>
              <w:t xml:space="preserve">6.4</w:t>
            </w:r>
            <w:r>
              <w:rPr>
                <w:rFonts w:eastAsiaTheme="minorEastAsia"/>
                <w:lang w:val="it-IT" w:eastAsia="it-IT"/>
                <w14:ligatures w14:val="standardContextual"/>
              </w:rPr>
              <w:tab/>
            </w:r>
            <w:r>
              <w:rPr>
                <w:rStyle w:val="1047"/>
              </w:rPr>
              <w:t xml:space="preserve">Obiettivi di miglioramento e pianificazione per conseguirli</w:t>
            </w:r>
            <w:r>
              <w:tab/>
            </w:r>
            <w:r>
              <w:fldChar w:fldCharType="begin"/>
            </w:r>
            <w:r>
              <w:instrText xml:space="preserve"> PAGEREF _Toc211351959 \h </w:instrText>
            </w:r>
            <w:r>
              <w:fldChar w:fldCharType="separate"/>
            </w:r>
            <w:r>
              <w:t xml:space="preserve">35</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6"/>
            <w:pBdr/>
            <w:tabs>
              <w:tab w:val="left" w:leader="none" w:pos="480"/>
              <w:tab w:val="right" w:leader="dot" w:pos="9962"/>
            </w:tabs>
            <w:spacing/>
            <w:ind/>
            <w:rPr>
              <w:rFonts w:eastAsiaTheme="minorEastAsia"/>
              <w:lang w:val="it-IT" w:eastAsia="it-IT"/>
              <w14:ligatures w14:val="standardContextual"/>
            </w:rPr>
          </w:pPr>
          <w:r/>
          <w:hyperlink w:tooltip="#_Toc211351960" w:anchor="_Toc211351960" w:history="1">
            <w:r>
              <w:rPr>
                <w:rStyle w:val="1047"/>
              </w:rPr>
              <w:t xml:space="preserve">7.</w:t>
            </w:r>
            <w:r>
              <w:rPr>
                <w:rFonts w:eastAsiaTheme="minorEastAsia"/>
                <w:lang w:val="it-IT" w:eastAsia="it-IT"/>
                <w14:ligatures w14:val="standardContextual"/>
              </w:rPr>
              <w:tab/>
            </w:r>
            <w:r>
              <w:rPr>
                <w:rStyle w:val="1047"/>
              </w:rPr>
              <w:t xml:space="preserve">Supporto</w:t>
            </w:r>
            <w:r>
              <w:tab/>
            </w:r>
            <w:r>
              <w:fldChar w:fldCharType="begin"/>
            </w:r>
            <w:r>
              <w:instrText xml:space="preserve"> PAGEREF _Toc211351960 \h </w:instrText>
            </w:r>
            <w:r>
              <w:fldChar w:fldCharType="separate"/>
            </w:r>
            <w:r>
              <w:t xml:space="preserve">38</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7"/>
            <w:pBdr/>
            <w:tabs>
              <w:tab w:val="left" w:leader="none" w:pos="960"/>
              <w:tab w:val="right" w:leader="dot" w:pos="9962"/>
            </w:tabs>
            <w:spacing/>
            <w:ind/>
            <w:rPr>
              <w:rFonts w:eastAsiaTheme="minorEastAsia"/>
              <w:lang w:val="it-IT" w:eastAsia="it-IT"/>
              <w14:ligatures w14:val="standardContextual"/>
            </w:rPr>
          </w:pPr>
          <w:r/>
          <w:hyperlink w:tooltip="#_Toc211351961" w:anchor="_Toc211351961" w:history="1">
            <w:r>
              <w:rPr>
                <w:rStyle w:val="1047"/>
              </w:rPr>
              <w:t xml:space="preserve">7.1</w:t>
            </w:r>
            <w:r>
              <w:rPr>
                <w:rFonts w:eastAsiaTheme="minorEastAsia"/>
                <w:lang w:val="it-IT" w:eastAsia="it-IT"/>
                <w14:ligatures w14:val="standardContextual"/>
              </w:rPr>
              <w:tab/>
            </w:r>
            <w:r>
              <w:rPr>
                <w:rStyle w:val="1047"/>
              </w:rPr>
              <w:t xml:space="preserve">Risorse</w:t>
            </w:r>
            <w:r>
              <w:tab/>
            </w:r>
            <w:r>
              <w:fldChar w:fldCharType="begin"/>
            </w:r>
            <w:r>
              <w:instrText xml:space="preserve"> PAGEREF _Toc211351961 \h </w:instrText>
            </w:r>
            <w:r>
              <w:fldChar w:fldCharType="separate"/>
            </w:r>
            <w:r>
              <w:t xml:space="preserve">38</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7"/>
            <w:pBdr/>
            <w:tabs>
              <w:tab w:val="left" w:leader="none" w:pos="960"/>
              <w:tab w:val="right" w:leader="dot" w:pos="9962"/>
            </w:tabs>
            <w:spacing/>
            <w:ind/>
            <w:rPr>
              <w:rFonts w:eastAsiaTheme="minorEastAsia"/>
              <w:lang w:val="it-IT" w:eastAsia="it-IT"/>
              <w14:ligatures w14:val="standardContextual"/>
            </w:rPr>
          </w:pPr>
          <w:r/>
          <w:hyperlink w:tooltip="#_Toc211351962" w:anchor="_Toc211351962" w:history="1">
            <w:r>
              <w:rPr>
                <w:rStyle w:val="1047"/>
              </w:rPr>
              <w:t xml:space="preserve">7.2</w:t>
            </w:r>
            <w:r>
              <w:rPr>
                <w:rFonts w:eastAsiaTheme="minorEastAsia"/>
                <w:lang w:val="it-IT" w:eastAsia="it-IT"/>
                <w14:ligatures w14:val="standardContextual"/>
              </w:rPr>
              <w:tab/>
            </w:r>
            <w:r>
              <w:rPr>
                <w:rStyle w:val="1047"/>
              </w:rPr>
              <w:t xml:space="preserve">Competenze e formazione</w:t>
            </w:r>
            <w:r>
              <w:tab/>
            </w:r>
            <w:r>
              <w:fldChar w:fldCharType="begin"/>
            </w:r>
            <w:r>
              <w:instrText xml:space="preserve"> PAGEREF _Toc211351962 \h </w:instrText>
            </w:r>
            <w:r>
              <w:fldChar w:fldCharType="separate"/>
            </w:r>
            <w:r>
              <w:t xml:space="preserve">40</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7"/>
            <w:pBdr/>
            <w:tabs>
              <w:tab w:val="left" w:leader="none" w:pos="960"/>
              <w:tab w:val="right" w:leader="dot" w:pos="9962"/>
            </w:tabs>
            <w:spacing/>
            <w:ind/>
            <w:rPr>
              <w:rFonts w:eastAsiaTheme="minorEastAsia"/>
              <w:lang w:val="it-IT" w:eastAsia="it-IT"/>
              <w14:ligatures w14:val="standardContextual"/>
            </w:rPr>
          </w:pPr>
          <w:r/>
          <w:hyperlink w:tooltip="#_Toc211351963" w:anchor="_Toc211351963" w:history="1">
            <w:r>
              <w:rPr>
                <w:rStyle w:val="1047"/>
              </w:rPr>
              <w:t xml:space="preserve">7.3</w:t>
            </w:r>
            <w:r>
              <w:rPr>
                <w:rFonts w:eastAsiaTheme="minorEastAsia"/>
                <w:lang w:val="it-IT" w:eastAsia="it-IT"/>
                <w14:ligatures w14:val="standardContextual"/>
              </w:rPr>
              <w:tab/>
            </w:r>
            <w:r>
              <w:rPr>
                <w:rStyle w:val="1047"/>
              </w:rPr>
              <w:t xml:space="preserve">Consapevolezza</w:t>
            </w:r>
            <w:r>
              <w:tab/>
            </w:r>
            <w:r>
              <w:fldChar w:fldCharType="begin"/>
            </w:r>
            <w:r>
              <w:instrText xml:space="preserve"> PAGEREF _Toc211351963 \h </w:instrText>
            </w:r>
            <w:r>
              <w:fldChar w:fldCharType="separate"/>
            </w:r>
            <w:r>
              <w:t xml:space="preserve">43</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7"/>
            <w:pBdr/>
            <w:tabs>
              <w:tab w:val="left" w:leader="none" w:pos="960"/>
              <w:tab w:val="right" w:leader="dot" w:pos="9962"/>
            </w:tabs>
            <w:spacing/>
            <w:ind/>
            <w:rPr>
              <w:rFonts w:eastAsiaTheme="minorEastAsia"/>
              <w:lang w:val="it-IT" w:eastAsia="it-IT"/>
              <w14:ligatures w14:val="standardContextual"/>
            </w:rPr>
          </w:pPr>
          <w:r/>
          <w:hyperlink w:tooltip="#_Toc211351964" w:anchor="_Toc211351964" w:history="1">
            <w:r>
              <w:rPr>
                <w:rStyle w:val="1047"/>
              </w:rPr>
              <w:t xml:space="preserve">7.4</w:t>
            </w:r>
            <w:r>
              <w:rPr>
                <w:rFonts w:eastAsiaTheme="minorEastAsia"/>
                <w:lang w:val="it-IT" w:eastAsia="it-IT"/>
                <w14:ligatures w14:val="standardContextual"/>
              </w:rPr>
              <w:tab/>
            </w:r>
            <w:r>
              <w:rPr>
                <w:rStyle w:val="1047"/>
              </w:rPr>
              <w:t xml:space="preserve">Comunicazione interna ed esterna</w:t>
            </w:r>
            <w:r>
              <w:tab/>
            </w:r>
            <w:r>
              <w:fldChar w:fldCharType="begin"/>
            </w:r>
            <w:r>
              <w:instrText xml:space="preserve"> PAGEREF _Toc211351964 \h </w:instrText>
            </w:r>
            <w:r>
              <w:fldChar w:fldCharType="separate"/>
            </w:r>
            <w:r>
              <w:t xml:space="preserve">45</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7"/>
            <w:pBdr/>
            <w:tabs>
              <w:tab w:val="left" w:leader="none" w:pos="960"/>
              <w:tab w:val="right" w:leader="dot" w:pos="9962"/>
            </w:tabs>
            <w:spacing/>
            <w:ind/>
            <w:rPr>
              <w:rFonts w:eastAsiaTheme="minorEastAsia"/>
              <w:lang w:val="it-IT" w:eastAsia="it-IT"/>
              <w14:ligatures w14:val="standardContextual"/>
            </w:rPr>
          </w:pPr>
          <w:r/>
          <w:hyperlink w:tooltip="#_Toc211351965" w:anchor="_Toc211351965" w:history="1">
            <w:r>
              <w:rPr>
                <w:rStyle w:val="1047"/>
              </w:rPr>
              <w:t xml:space="preserve">7.5</w:t>
            </w:r>
            <w:r>
              <w:rPr>
                <w:rFonts w:eastAsiaTheme="minorEastAsia"/>
                <w:lang w:val="it-IT" w:eastAsia="it-IT"/>
                <w14:ligatures w14:val="standardContextual"/>
              </w:rPr>
              <w:tab/>
            </w:r>
            <w:r>
              <w:rPr>
                <w:rStyle w:val="1047"/>
              </w:rPr>
              <w:t xml:space="preserve">Informazioni documentate</w:t>
            </w:r>
            <w:r>
              <w:tab/>
            </w:r>
            <w:r>
              <w:fldChar w:fldCharType="begin"/>
            </w:r>
            <w:r>
              <w:instrText xml:space="preserve"> PAGEREF _Toc211351965 \h </w:instrText>
            </w:r>
            <w:r>
              <w:fldChar w:fldCharType="separate"/>
            </w:r>
            <w:r>
              <w:t xml:space="preserve">46</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6"/>
            <w:pBdr/>
            <w:tabs>
              <w:tab w:val="left" w:leader="none" w:pos="480"/>
              <w:tab w:val="right" w:leader="dot" w:pos="9962"/>
            </w:tabs>
            <w:spacing/>
            <w:ind/>
            <w:rPr>
              <w:rFonts w:eastAsiaTheme="minorEastAsia"/>
              <w:lang w:val="it-IT" w:eastAsia="it-IT"/>
              <w14:ligatures w14:val="standardContextual"/>
            </w:rPr>
          </w:pPr>
          <w:r/>
          <w:hyperlink w:tooltip="#_Toc211351966" w:anchor="_Toc211351966" w:history="1">
            <w:r>
              <w:rPr>
                <w:rStyle w:val="1047"/>
              </w:rPr>
              <w:t xml:space="preserve">8.</w:t>
            </w:r>
            <w:r>
              <w:rPr>
                <w:rFonts w:eastAsiaTheme="minorEastAsia"/>
                <w:lang w:val="it-IT" w:eastAsia="it-IT"/>
                <w14:ligatures w14:val="standardContextual"/>
              </w:rPr>
              <w:tab/>
            </w:r>
            <w:r>
              <w:rPr>
                <w:rStyle w:val="1047"/>
              </w:rPr>
              <w:t xml:space="preserve">Attività Operative</w:t>
            </w:r>
            <w:r>
              <w:tab/>
            </w:r>
            <w:r>
              <w:fldChar w:fldCharType="begin"/>
            </w:r>
            <w:r>
              <w:instrText xml:space="preserve"> PAGEREF _Toc211351966 \h </w:instrText>
            </w:r>
            <w:r>
              <w:fldChar w:fldCharType="separate"/>
            </w:r>
            <w:r>
              <w:t xml:space="preserve">49</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7"/>
            <w:pBdr/>
            <w:tabs>
              <w:tab w:val="left" w:leader="none" w:pos="960"/>
              <w:tab w:val="right" w:leader="dot" w:pos="9962"/>
            </w:tabs>
            <w:spacing/>
            <w:ind/>
            <w:rPr>
              <w:rFonts w:eastAsiaTheme="minorEastAsia"/>
              <w:lang w:val="it-IT" w:eastAsia="it-IT"/>
              <w14:ligatures w14:val="standardContextual"/>
            </w:rPr>
          </w:pPr>
          <w:r/>
          <w:hyperlink w:tooltip="#_Toc211351967" w:anchor="_Toc211351967" w:history="1">
            <w:r>
              <w:rPr>
                <w:rStyle w:val="1047"/>
              </w:rPr>
              <w:t xml:space="preserve">8.1</w:t>
            </w:r>
            <w:r>
              <w:rPr>
                <w:rFonts w:eastAsiaTheme="minorEastAsia"/>
                <w:lang w:val="it-IT" w:eastAsia="it-IT"/>
                <w14:ligatures w14:val="standardContextual"/>
              </w:rPr>
              <w:tab/>
            </w:r>
            <w:r>
              <w:rPr>
                <w:rStyle w:val="1047"/>
              </w:rPr>
              <w:t xml:space="preserve">Pianificazione e controllo operativo</w:t>
            </w:r>
            <w:r>
              <w:tab/>
            </w:r>
            <w:r>
              <w:fldChar w:fldCharType="begin"/>
            </w:r>
            <w:r>
              <w:instrText xml:space="preserve"> PAGEREF _Toc211351967 \h </w:instrText>
            </w:r>
            <w:r>
              <w:fldChar w:fldCharType="separate"/>
            </w:r>
            <w:r>
              <w:t xml:space="preserve">49</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8"/>
            <w:pBdr/>
            <w:tabs>
              <w:tab w:val="left" w:leader="none" w:pos="1440"/>
              <w:tab w:val="right" w:leader="dot" w:pos="9962"/>
            </w:tabs>
            <w:spacing/>
            <w:ind/>
            <w:rPr>
              <w:rFonts w:eastAsiaTheme="minorEastAsia"/>
              <w:lang w:val="it-IT" w:eastAsia="it-IT"/>
              <w14:ligatures w14:val="standardContextual"/>
            </w:rPr>
          </w:pPr>
          <w:r/>
          <w:hyperlink w:tooltip="#_Toc211351968" w:anchor="_Toc211351968" w:history="1">
            <w:r>
              <w:rPr>
                <w:rStyle w:val="1047"/>
              </w:rPr>
              <w:t xml:space="preserve">8.1.1</w:t>
            </w:r>
            <w:r>
              <w:rPr>
                <w:rFonts w:eastAsiaTheme="minorEastAsia"/>
                <w:lang w:val="it-IT" w:eastAsia="it-IT"/>
                <w14:ligatures w14:val="standardContextual"/>
              </w:rPr>
              <w:tab/>
            </w:r>
            <w:r>
              <w:rPr>
                <w:rStyle w:val="1047"/>
              </w:rPr>
              <w:t xml:space="preserve">Preparazione e risposta alle emergenze</w:t>
            </w:r>
            <w:r>
              <w:tab/>
            </w:r>
            <w:r>
              <w:fldChar w:fldCharType="begin"/>
            </w:r>
            <w:r>
              <w:instrText xml:space="preserve"> PAGEREF _Toc211351968 \h </w:instrText>
            </w:r>
            <w:r>
              <w:fldChar w:fldCharType="separate"/>
            </w:r>
            <w:r>
              <w:t xml:space="preserve">53</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6"/>
            <w:pBdr/>
            <w:tabs>
              <w:tab w:val="left" w:leader="none" w:pos="480"/>
              <w:tab w:val="right" w:leader="dot" w:pos="9962"/>
            </w:tabs>
            <w:spacing/>
            <w:ind/>
            <w:rPr>
              <w:rFonts w:eastAsiaTheme="minorEastAsia"/>
              <w:lang w:val="it-IT" w:eastAsia="it-IT"/>
              <w14:ligatures w14:val="standardContextual"/>
            </w:rPr>
          </w:pPr>
          <w:r/>
          <w:hyperlink w:tooltip="#_Toc211351969" w:anchor="_Toc211351969" w:history="1">
            <w:r>
              <w:rPr>
                <w:rStyle w:val="1047"/>
              </w:rPr>
              <w:t xml:space="preserve">9.</w:t>
            </w:r>
            <w:r>
              <w:rPr>
                <w:rFonts w:eastAsiaTheme="minorEastAsia"/>
                <w:lang w:val="it-IT" w:eastAsia="it-IT"/>
                <w14:ligatures w14:val="standardContextual"/>
              </w:rPr>
              <w:tab/>
            </w:r>
            <w:r>
              <w:rPr>
                <w:rStyle w:val="1047"/>
              </w:rPr>
              <w:t xml:space="preserve">Valutazione delle prestazioni</w:t>
            </w:r>
            <w:r>
              <w:tab/>
            </w:r>
            <w:r>
              <w:fldChar w:fldCharType="begin"/>
            </w:r>
            <w:r>
              <w:instrText xml:space="preserve"> PAGEREF _Toc211351969 \h </w:instrText>
            </w:r>
            <w:r>
              <w:fldChar w:fldCharType="separate"/>
            </w:r>
            <w:r>
              <w:t xml:space="preserve">58</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7"/>
            <w:pBdr/>
            <w:tabs>
              <w:tab w:val="left" w:leader="none" w:pos="960"/>
              <w:tab w:val="right" w:leader="dot" w:pos="9962"/>
            </w:tabs>
            <w:spacing/>
            <w:ind/>
            <w:rPr>
              <w:rFonts w:eastAsiaTheme="minorEastAsia"/>
              <w:lang w:val="it-IT" w:eastAsia="it-IT"/>
              <w14:ligatures w14:val="standardContextual"/>
            </w:rPr>
          </w:pPr>
          <w:r/>
          <w:hyperlink w:tooltip="#_Toc211351970" w:anchor="_Toc211351970" w:history="1">
            <w:r>
              <w:rPr>
                <w:rStyle w:val="1047"/>
              </w:rPr>
              <w:t xml:space="preserve">9.1</w:t>
            </w:r>
            <w:r>
              <w:rPr>
                <w:rFonts w:eastAsiaTheme="minorEastAsia"/>
                <w:lang w:val="it-IT" w:eastAsia="it-IT"/>
                <w14:ligatures w14:val="standardContextual"/>
              </w:rPr>
              <w:tab/>
            </w:r>
            <w:r>
              <w:rPr>
                <w:rStyle w:val="1047"/>
              </w:rPr>
              <w:t xml:space="preserve">Monitoraggio, misurazione, analisi e valutazione delle prestazioni</w:t>
            </w:r>
            <w:r>
              <w:tab/>
            </w:r>
            <w:r>
              <w:fldChar w:fldCharType="begin"/>
            </w:r>
            <w:r>
              <w:instrText xml:space="preserve"> PAGEREF _Toc211351970 \h </w:instrText>
            </w:r>
            <w:r>
              <w:fldChar w:fldCharType="separate"/>
            </w:r>
            <w:r>
              <w:t xml:space="preserve">58</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8"/>
            <w:pBdr/>
            <w:tabs>
              <w:tab w:val="left" w:leader="none" w:pos="1440"/>
              <w:tab w:val="right" w:leader="dot" w:pos="9962"/>
            </w:tabs>
            <w:spacing/>
            <w:ind/>
            <w:rPr>
              <w:rFonts w:eastAsiaTheme="minorEastAsia"/>
              <w:lang w:val="it-IT" w:eastAsia="it-IT"/>
              <w14:ligatures w14:val="standardContextual"/>
            </w:rPr>
          </w:pPr>
          <w:r/>
          <w:hyperlink w:tooltip="#_Toc211351971" w:anchor="_Toc211351971" w:history="1">
            <w:r>
              <w:rPr>
                <w:rStyle w:val="1047"/>
              </w:rPr>
              <w:t xml:space="preserve">9.1.1</w:t>
            </w:r>
            <w:r>
              <w:rPr>
                <w:rFonts w:eastAsiaTheme="minorEastAsia"/>
                <w:lang w:val="it-IT" w:eastAsia="it-IT"/>
                <w14:ligatures w14:val="standardContextual"/>
              </w:rPr>
              <w:tab/>
            </w:r>
            <w:r>
              <w:rPr>
                <w:rStyle w:val="1047"/>
              </w:rPr>
              <w:t xml:space="preserve">Valutazione del rispetto degli obblighi di conformità</w:t>
            </w:r>
            <w:r>
              <w:tab/>
            </w:r>
            <w:r>
              <w:fldChar w:fldCharType="begin"/>
            </w:r>
            <w:r>
              <w:instrText xml:space="preserve"> PAGEREF _Toc211351971 \h </w:instrText>
            </w:r>
            <w:r>
              <w:fldChar w:fldCharType="separate"/>
            </w:r>
            <w:r>
              <w:t xml:space="preserve">61</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7"/>
            <w:pBdr/>
            <w:tabs>
              <w:tab w:val="left" w:leader="none" w:pos="960"/>
              <w:tab w:val="right" w:leader="dot" w:pos="9962"/>
            </w:tabs>
            <w:spacing/>
            <w:ind/>
            <w:rPr>
              <w:rFonts w:eastAsiaTheme="minorEastAsia"/>
              <w:lang w:val="it-IT" w:eastAsia="it-IT"/>
              <w14:ligatures w14:val="standardContextual"/>
            </w:rPr>
          </w:pPr>
          <w:r/>
          <w:hyperlink w:tooltip="#_Toc211351972" w:anchor="_Toc211351972" w:history="1">
            <w:r>
              <w:rPr>
                <w:rStyle w:val="1047"/>
              </w:rPr>
              <w:t xml:space="preserve">9.2</w:t>
            </w:r>
            <w:r>
              <w:rPr>
                <w:rFonts w:eastAsiaTheme="minorEastAsia"/>
                <w:lang w:val="it-IT" w:eastAsia="it-IT"/>
                <w14:ligatures w14:val="standardContextual"/>
              </w:rPr>
              <w:tab/>
            </w:r>
            <w:r>
              <w:rPr>
                <w:rStyle w:val="1047"/>
              </w:rPr>
              <w:t xml:space="preserve">Audit interno</w:t>
            </w:r>
            <w:r>
              <w:tab/>
            </w:r>
            <w:r>
              <w:fldChar w:fldCharType="begin"/>
            </w:r>
            <w:r>
              <w:instrText xml:space="preserve"> PAGEREF _Toc211351972 \h </w:instrText>
            </w:r>
            <w:r>
              <w:fldChar w:fldCharType="separate"/>
            </w:r>
            <w:r>
              <w:t xml:space="preserve">63</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7"/>
            <w:pBdr/>
            <w:tabs>
              <w:tab w:val="left" w:leader="none" w:pos="960"/>
              <w:tab w:val="right" w:leader="dot" w:pos="9962"/>
            </w:tabs>
            <w:spacing/>
            <w:ind/>
            <w:rPr>
              <w:rFonts w:eastAsiaTheme="minorEastAsia"/>
              <w:lang w:val="it-IT" w:eastAsia="it-IT"/>
              <w14:ligatures w14:val="standardContextual"/>
            </w:rPr>
          </w:pPr>
          <w:r/>
          <w:hyperlink w:tooltip="#_Toc211351973" w:anchor="_Toc211351973" w:history="1">
            <w:r>
              <w:rPr>
                <w:rStyle w:val="1047"/>
              </w:rPr>
              <w:t xml:space="preserve">9.3</w:t>
            </w:r>
            <w:r>
              <w:rPr>
                <w:rFonts w:eastAsiaTheme="minorEastAsia"/>
                <w:lang w:val="it-IT" w:eastAsia="it-IT"/>
                <w14:ligatures w14:val="standardContextual"/>
              </w:rPr>
              <w:tab/>
            </w:r>
            <w:r>
              <w:rPr>
                <w:rStyle w:val="1047"/>
              </w:rPr>
              <w:t xml:space="preserve">Riesame della Direzione</w:t>
            </w:r>
            <w:r>
              <w:tab/>
            </w:r>
            <w:r>
              <w:fldChar w:fldCharType="begin"/>
            </w:r>
            <w:r>
              <w:instrText xml:space="preserve"> PAGEREF _Toc211351973 \h </w:instrText>
            </w:r>
            <w:r>
              <w:fldChar w:fldCharType="separate"/>
            </w:r>
            <w:r>
              <w:t xml:space="preserve">66</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6"/>
            <w:pBdr/>
            <w:tabs>
              <w:tab w:val="left" w:leader="none" w:pos="720"/>
              <w:tab w:val="right" w:leader="dot" w:pos="9962"/>
            </w:tabs>
            <w:spacing/>
            <w:ind/>
            <w:rPr>
              <w:rFonts w:eastAsiaTheme="minorEastAsia"/>
              <w:lang w:val="it-IT" w:eastAsia="it-IT"/>
              <w14:ligatures w14:val="standardContextual"/>
            </w:rPr>
          </w:pPr>
          <w:r/>
          <w:hyperlink w:tooltip="#_Toc211351974" w:anchor="_Toc211351974" w:history="1">
            <w:r>
              <w:rPr>
                <w:rStyle w:val="1047"/>
              </w:rPr>
              <w:t xml:space="preserve">10.</w:t>
            </w:r>
            <w:r>
              <w:rPr>
                <w:rFonts w:eastAsiaTheme="minorEastAsia"/>
                <w:lang w:val="it-IT" w:eastAsia="it-IT"/>
                <w14:ligatures w14:val="standardContextual"/>
              </w:rPr>
              <w:tab/>
            </w:r>
            <w:r>
              <w:rPr>
                <w:rStyle w:val="1047"/>
              </w:rPr>
              <w:t xml:space="preserve">Miglioramento</w:t>
            </w:r>
            <w:r>
              <w:tab/>
            </w:r>
            <w:r>
              <w:fldChar w:fldCharType="begin"/>
            </w:r>
            <w:r>
              <w:instrText xml:space="preserve"> PAGEREF _Toc211351974 \h </w:instrText>
            </w:r>
            <w:r>
              <w:fldChar w:fldCharType="separate"/>
            </w:r>
            <w:r>
              <w:t xml:space="preserve">69</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7"/>
            <w:pBdr/>
            <w:tabs>
              <w:tab w:val="left" w:leader="none" w:pos="960"/>
              <w:tab w:val="right" w:leader="dot" w:pos="9962"/>
            </w:tabs>
            <w:spacing/>
            <w:ind/>
            <w:rPr>
              <w:rFonts w:eastAsiaTheme="minorEastAsia"/>
              <w:lang w:val="it-IT" w:eastAsia="it-IT"/>
              <w14:ligatures w14:val="standardContextual"/>
            </w:rPr>
          </w:pPr>
          <w:r/>
          <w:hyperlink w:tooltip="#_Toc211351975" w:anchor="_Toc211351975" w:history="1">
            <w:r>
              <w:rPr>
                <w:rStyle w:val="1047"/>
              </w:rPr>
              <w:t xml:space="preserve">10.1</w:t>
            </w:r>
            <w:r>
              <w:rPr>
                <w:rFonts w:eastAsiaTheme="minorEastAsia"/>
                <w:lang w:val="it-IT" w:eastAsia="it-IT"/>
                <w14:ligatures w14:val="standardContextual"/>
              </w:rPr>
              <w:tab/>
            </w:r>
            <w:r>
              <w:rPr>
                <w:rStyle w:val="1047"/>
              </w:rPr>
              <w:t xml:space="preserve">Incidenti, non conformità e azioni correttive</w:t>
            </w:r>
            <w:r>
              <w:tab/>
            </w:r>
            <w:r>
              <w:fldChar w:fldCharType="begin"/>
            </w:r>
            <w:r>
              <w:instrText xml:space="preserve"> PAGEREF _Toc211351975 \h </w:instrText>
            </w:r>
            <w:r>
              <w:fldChar w:fldCharType="separate"/>
            </w:r>
            <w:r>
              <w:t xml:space="preserve">69</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Style w:val="1087"/>
            <w:pBdr/>
            <w:tabs>
              <w:tab w:val="left" w:leader="none" w:pos="960"/>
              <w:tab w:val="right" w:leader="dot" w:pos="9962"/>
            </w:tabs>
            <w:spacing/>
            <w:ind/>
            <w:rPr>
              <w:rFonts w:eastAsiaTheme="minorEastAsia"/>
              <w:lang w:val="it-IT" w:eastAsia="it-IT"/>
              <w14:ligatures w14:val="standardContextual"/>
            </w:rPr>
          </w:pPr>
          <w:r/>
          <w:hyperlink w:tooltip="#_Toc211351976" w:anchor="_Toc211351976" w:history="1">
            <w:r>
              <w:rPr>
                <w:rStyle w:val="1047"/>
              </w:rPr>
              <w:t xml:space="preserve">10.2</w:t>
            </w:r>
            <w:r>
              <w:rPr>
                <w:rFonts w:eastAsiaTheme="minorEastAsia"/>
                <w:lang w:val="it-IT" w:eastAsia="it-IT"/>
                <w14:ligatures w14:val="standardContextual"/>
              </w:rPr>
              <w:tab/>
            </w:r>
            <w:r>
              <w:rPr>
                <w:rStyle w:val="1047"/>
              </w:rPr>
              <w:t xml:space="preserve">Miglioramento continuo</w:t>
            </w:r>
            <w:r>
              <w:tab/>
            </w:r>
            <w:r>
              <w:fldChar w:fldCharType="begin"/>
            </w:r>
            <w:r>
              <w:instrText xml:space="preserve"> PAGEREF _Toc211351976 \h </w:instrText>
            </w:r>
            <w:r>
              <w:fldChar w:fldCharType="separate"/>
            </w:r>
            <w:r>
              <w:t xml:space="preserve">72</w:t>
            </w:r>
            <w:r>
              <w:fldChar w:fldCharType="end"/>
            </w:r>
          </w:hyperlink>
          <w:r>
            <w:rPr>
              <w:rFonts w:eastAsiaTheme="minorEastAsia"/>
              <w:lang w:val="it-IT" w:eastAsia="it-IT"/>
              <w14:ligatures w14:val="standardContextual"/>
            </w:rPr>
          </w:r>
          <w:r>
            <w:rPr>
              <w:rFonts w:eastAsiaTheme="minorEastAsia"/>
              <w:lang w:val="it-IT" w:eastAsia="it-IT"/>
              <w14:ligatures w14:val="standardContextual"/>
            </w:rPr>
          </w:r>
        </w:p>
        <w:p>
          <w:pPr>
            <w:pBdr/>
            <w:spacing/>
            <w:ind/>
            <w:rPr/>
          </w:pPr>
          <w:r>
            <w:rPr>
              <w:b/>
              <w:bCs/>
            </w:rPr>
            <w:fldChar w:fldCharType="end"/>
          </w:r>
          <w:r/>
        </w:p>
      </w:sdtContent>
    </w:sdt>
    <w:p>
      <w:pPr>
        <w:pBdr/>
        <w:spacing/>
        <w:ind/>
        <w:rPr/>
      </w:pPr>
      <w:r>
        <w:br w:type="page" w:clear="all"/>
      </w:r>
      <w:r/>
    </w:p>
    <w:p>
      <w:pPr>
        <w:pStyle w:val="1011"/>
        <w:pBdr/>
        <w:spacing/>
        <w:ind/>
        <w:rPr/>
      </w:pPr>
      <w:r/>
      <w:r/>
    </w:p>
    <w:p>
      <w:pPr>
        <w:pStyle w:val="999"/>
        <w:numPr>
          <w:ilvl w:val="0"/>
          <w:numId w:val="34"/>
        </w:numPr>
        <w:pBdr/>
        <w:spacing/>
        <w:ind/>
        <w:rPr/>
      </w:pPr>
      <w:r/>
      <w:bookmarkStart w:id="4" w:name="introduzione"/>
      <w:r/>
      <w:bookmarkStart w:id="5" w:name="_Toc211351940"/>
      <w:r>
        <w:t xml:space="preserve">Introduzione</w:t>
      </w:r>
      <w:bookmarkEnd w:id="5"/>
      <w:r/>
      <w:r/>
    </w:p>
    <w:p>
      <w:pPr>
        <w:pStyle w:val="1012"/>
        <w:pBdr/>
        <w:spacing/>
        <w:ind/>
        <w:rPr/>
      </w:pPr>
      <w:r>
        <w:t xml:space="preserve">Agrumigel</w:t>
      </w:r>
      <w:r>
        <w:t xml:space="preserve"> S.r.l. è un’azienda agroalimentare con sede produttiva a Barcellona Pozzo di Gotto (ME), specializzata nella produzione di succhi, essenze, scorze essiccate e succhi concentrati ricavati da agrumi (limone, arancia, mandarino) e melagrana. La Direzione di </w:t>
      </w:r>
      <w:r>
        <w:t xml:space="preserve">Agrumigel</w:t>
      </w:r>
      <w:r>
        <w:t xml:space="preserve"> rico</w:t>
      </w:r>
      <w:r>
        <w:t xml:space="preserve">nosce l’importanza primaria della tutela della salute e sicurezza sul lavoro (SSL) per tutti i lavoratori e le parti interessate, e ha dunque implementato un Sistema di Gestione SSL conforme alla norma UNI ISO 45001:2023. Tale sistema è integrato con gli a</w:t>
      </w:r>
      <w:r>
        <w:t xml:space="preserve">ltri sistemi di gestione già adottati dall’azienda (qualità ISO 9001, sicurezza alimentare secondo standard HACCP, BRC e IFS</w:t>
      </w:r>
      <w:r>
        <w:rPr>
          <w:highlight w:val="none"/>
        </w:rPr>
        <w:t xml:space="preserve">, responsabilità sociale </w:t>
      </w:r>
      <w:r>
        <w:rPr>
          <w:highlight w:val="none"/>
        </w:rPr>
        <w:t xml:space="preserve">SMETA-4P</w:t>
      </w:r>
      <w:commentRangeStart w:id="0"/>
      <w:r/>
      <w:commentRangeEnd w:id="0"/>
      <w:r>
        <w:commentReference w:id="0"/>
      </w:r>
      <w:r>
        <w:t xml:space="preserve">, gestione ambientale) al fine di garantire un approccio olistico e coerente alla gestione d’impresa.</w:t>
      </w:r>
      <w:r/>
    </w:p>
    <w:p>
      <w:pPr>
        <w:pStyle w:val="1011"/>
        <w:pBdr/>
        <w:spacing/>
        <w:ind/>
        <w:rPr/>
      </w:pPr>
      <w:r>
        <w:t xml:space="preserve">Questo Manuale del Sistema di Gestione SSL descrive l’organizzazione, le politiche e le modalità operative che </w:t>
      </w:r>
      <w:r>
        <w:t xml:space="preserve">Agrumigel</w:t>
      </w:r>
      <w:r>
        <w:t xml:space="preserve"> adotta per prevenire infortuni e malattie professionali, assicurare la conformità alle normative vigenti e perseguire il miglioramento continuo delle prestaz</w:t>
      </w:r>
      <w:r>
        <w:t xml:space="preserve">ioni di salute e sicurezza. Esso segue la struttura di alto livello (HLS) della ISO 45001, articolandosi nei capitoli da 0 a 10, presentati in forma discorsiva e aderenti alla realtà operativa dell’azienda. Il Manuale è un documento approvato dalla Direzio</w:t>
      </w:r>
      <w:r>
        <w:t xml:space="preserve">ne e destinato a essere utilizzato sia internamente (come riferimento per il personale a tutti i livelli) sia esternamente, in sede di audit di parte terza, ispezioni da parte di enti di controllo e valutazioni da parte di clienti o enti di certificazione.</w:t>
      </w:r>
      <w:r/>
    </w:p>
    <w:p>
      <w:pPr>
        <w:pStyle w:val="999"/>
        <w:pBdr/>
        <w:spacing/>
        <w:ind/>
        <w:rPr/>
      </w:pPr>
      <w:r/>
      <w:bookmarkStart w:id="6" w:name="scopo-e-campo-di-applicazione"/>
      <w:r/>
      <w:bookmarkStart w:id="7" w:name="_Toc211351941"/>
      <w:r/>
      <w:bookmarkEnd w:id="4"/>
      <w:r>
        <w:t xml:space="preserve">Scopo e Campo di Applicazione</w:t>
      </w:r>
      <w:bookmarkEnd w:id="7"/>
      <w:r/>
      <w:r/>
    </w:p>
    <w:p>
      <w:pPr>
        <w:pStyle w:val="1012"/>
        <w:pBdr/>
        <w:spacing/>
        <w:ind/>
        <w:rPr/>
      </w:pPr>
      <w:r>
        <w:t xml:space="preserve">Il Sistema di Gestione SSL di </w:t>
      </w:r>
      <w:r>
        <w:t xml:space="preserve">Agrumigel</w:t>
      </w:r>
      <w:r>
        <w:t xml:space="preserve"> S.r.l. copre tutte le attività e i processi svolti presso lo stabilimento di Barcellona P.G. (ME), includendo l’intero ciclo produttivo agrumario e dei derivati del melograno, nonché i servizi di supporto e le infrastrutture aziendali. In particolar</w:t>
      </w:r>
      <w:r>
        <w:t xml:space="preserve">e, il campo di applicazione comprende: la ricezione e selezione delle materie prime (agrumi e melagrane), l’estrazione dei succhi e delle essenze agrumarie, le fasi di pastorizzazione, concentrazione e confezionamento dei succhi (anche in forma concentrata</w:t>
      </w:r>
      <w:r>
        <w:t xml:space="preserve"> o congelata), la produzione di scorze essiccate (tramite macinazione, torchiatura, essiccamento in forno e raffreddamento delle bucce) e tutte le operazioni ausiliarie quali il funzionamento del depuratore biologico con digestione anaerobica, la gestione </w:t>
      </w:r>
      <w:r>
        <w:t xml:space="preserve">degli impianti di servizio (centrale frigorifera ad ammoniaca, impianto di cogenerazione, impianto fotovoltaico, cabina di decompressione del metano, etc.),</w:t>
      </w:r>
      <w:r>
        <w:rPr>
          <w:highlight w:val="none"/>
        </w:rPr>
        <w:t xml:space="preserve"> i magazzini </w:t>
      </w:r>
      <w:r>
        <w:rPr>
          <w:highlight w:val="none"/>
        </w:rPr>
        <w:t xml:space="preserve">[im</w:t>
      </w:r>
      <w:r>
        <w:t xml:space="preserve">ballaggi, prodotti finiti (celle frigo), ricambi] e i laboratori ed uffici. Non vi </w:t>
      </w:r>
      <w:r>
        <w:t xml:space="preserve">sono esclusioni dal campo di applicazione: tutte le aree dell’organizzazione e tutto il personale (lavoratori dipendenti, collaboratori e, per quanto applicabile, appaltatori e visitatori presenti in sito) rientrano nell’ambito del Sistema di Gestione SSL.</w:t>
      </w:r>
      <w:r/>
    </w:p>
    <w:p>
      <w:pPr>
        <w:pStyle w:val="1011"/>
        <w:pBdr/>
        <w:spacing/>
        <w:ind/>
        <w:rPr/>
      </w:pPr>
      <w:r>
        <w:t xml:space="preserve">Lo scopo del Sistema</w:t>
      </w:r>
      <w:r>
        <w:t xml:space="preserve"> di Gestione SSL è di definire e attuare un insieme strutturato di processi e procedure che permettano di identificare i pericoli presenti nell’attività lavorativa, valutare e gestire in modo efficace i rischi per la salute e sicurezza, assicurare il rispe</w:t>
      </w:r>
      <w:r>
        <w:t xml:space="preserve">tto di tutti i requisiti legali e volontari applicabili e perseguire il miglioramento continuo delle condizioni di lavoro e delle performance di SSL. Attraverso l’attuazione sistematica di politiche, piani, controlli operativi e programmi di monitoraggio, </w:t>
      </w:r>
      <w:r>
        <w:t xml:space="preserve">Agrumigel</w:t>
      </w:r>
      <w:r>
        <w:t xml:space="preserve"> intende prevenire incidenti, infortuni e malattie professionali, promuovendo al contempo una cultura aziendale improntata alla sicurezza, alla consapevolezza e alla partecipazione attiva di tutti i</w:t>
      </w:r>
      <w:r>
        <w:t xml:space="preserve"> lavoratori. Il presente Manuale, insieme alla documentazione collegata (procedure, istruzioni operative, modulistica e registrazioni), costituisce riferimento formale per l’implementazione e il mantenimento del Sistema di Gestione SSL nell’organizzazione.</w:t>
      </w:r>
      <w:r/>
    </w:p>
    <w:p>
      <w:pPr>
        <w:pStyle w:val="999"/>
        <w:pBdr/>
        <w:spacing/>
        <w:ind/>
        <w:rPr/>
      </w:pPr>
      <w:r/>
      <w:bookmarkStart w:id="8" w:name="riferimenti-normativi"/>
      <w:r/>
      <w:bookmarkStart w:id="9" w:name="_Toc211351942"/>
      <w:r/>
      <w:bookmarkEnd w:id="6"/>
      <w:r>
        <w:t xml:space="preserve">Riferimenti Normativi</w:t>
      </w:r>
      <w:bookmarkEnd w:id="9"/>
      <w:r/>
      <w:r/>
    </w:p>
    <w:p>
      <w:pPr>
        <w:pStyle w:val="1012"/>
        <w:pBdr/>
        <w:spacing/>
        <w:ind/>
        <w:rPr/>
      </w:pPr>
      <w:r>
        <w:t xml:space="preserve">Il Sistema di Gestione per la SSL di </w:t>
      </w:r>
      <w:r>
        <w:t xml:space="preserve">Agrumigel</w:t>
      </w:r>
      <w:r>
        <w:t xml:space="preserve"> è basato sui requisiti della norma internazionale UNI ISO 45001:2023 </w:t>
      </w:r>
      <w:r>
        <w:rPr>
          <w:i/>
          <w:iCs/>
        </w:rPr>
        <w:t xml:space="preserve">“Sistemi di gestione per la salute e sicurezza sul lavoro – Requisiti e guida per l’uso”</w:t>
      </w:r>
      <w:r>
        <w:t xml:space="preserve">. Esso è inoltre progettato in conformità alla legislazione italiana vigente in materia di salute e sicurezza nei luoghi di lavoro, in particolare al Decreto Legislativo 9 aprile 2008 n.81 e </w:t>
      </w:r>
      <w:r>
        <w:t xml:space="preserve">s.m.i.</w:t>
      </w:r>
      <w:r>
        <w:t xml:space="preserve">, che costituisce il quadro normativo cogente fondamentale per la tutela dei lavor</w:t>
      </w:r>
      <w:r>
        <w:t xml:space="preserve">atori. Ulteriori riferimenti normativi rilevanti includono le disposizioni legislative specifiche applicabili alle attività dell’azienda (ad esempio normative antincendio, normative ATEX per atmosfere esplosive in relazione all’impianto di essiccazione pol</w:t>
      </w:r>
      <w:r>
        <w:t xml:space="preserve">veri e allo stoccaggio di biogas, normative sull’uso di gas tossici come l’ammoniaca, regolamenti in tema di sicurezza degli impianti a pressione e degli impianti elettrici, normative ambientali collegate alla gestione dei rifiuti e delle emissioni, ecc.).</w:t>
      </w:r>
      <w:r/>
    </w:p>
    <w:p>
      <w:pPr>
        <w:pStyle w:val="1011"/>
        <w:pBdr/>
        <w:spacing/>
        <w:ind/>
        <w:rPr/>
      </w:pPr>
      <w:r>
        <w:t xml:space="preserve">Il sistema tiene </w:t>
      </w:r>
      <w:r>
        <w:t xml:space="preserve">conto anche di altri requisiti sottoscritti dall’organizzazione su base volontaria o contrattuale, tra cui: gli standard BRC/IFS in materia di sicurezza alimentare (che prevedono criteri anche per ambienti di lavoro igienici e sicuri)</w:t>
      </w:r>
      <w:r>
        <w:t xml:space="preserve">, nonché eventuali richieste specifiche dei clienti relative a sicurezza sul lavoro o codici di condotta etici cui </w:t>
      </w:r>
      <w:r>
        <w:t xml:space="preserve">Agrumigel</w:t>
      </w:r>
      <w:r>
        <w:t xml:space="preserve"> aderisce. Tali requisiti aggiuntivi sono considerati parte integrante degli obblighi di conformità del sistema di gestione.</w:t>
      </w:r>
      <w:r/>
    </w:p>
    <w:p>
      <w:pPr>
        <w:pStyle w:val="1011"/>
        <w:pBdr/>
        <w:spacing/>
        <w:ind/>
        <w:rPr/>
      </w:pPr>
      <w:r>
        <w:t xml:space="preserve">In caso di aggiornamenti normativi o di modifiche agli standard di riferimento, l’organizzazione provvede a r</w:t>
      </w:r>
      <w:r>
        <w:t xml:space="preserve">ecepire tempestivamente i nuovi requisiti, aggiornando di conseguenza la propria documentazione e le proprie prassi. Il presente Manuale verrà anch’esso revisionato, se necessario, per allinearsi a eventuali cambiamenti normativi o di standard applicabili.</w:t>
      </w:r>
      <w:r/>
    </w:p>
    <w:p>
      <w:pPr>
        <w:pStyle w:val="999"/>
        <w:pBdr/>
        <w:spacing/>
        <w:ind/>
        <w:rPr/>
      </w:pPr>
      <w:r/>
      <w:bookmarkStart w:id="10" w:name="termini-e-definizioni"/>
      <w:r/>
      <w:bookmarkStart w:id="11" w:name="_Toc211351943"/>
      <w:r/>
      <w:bookmarkEnd w:id="8"/>
      <w:r>
        <w:t xml:space="preserve">Termini e Definizioni</w:t>
      </w:r>
      <w:bookmarkEnd w:id="11"/>
      <w:r/>
      <w:r/>
    </w:p>
    <w:p>
      <w:pPr>
        <w:pStyle w:val="1012"/>
        <w:pBdr/>
        <w:spacing/>
        <w:ind/>
        <w:rPr/>
      </w:pPr>
      <w:r>
        <w:t xml:space="preserve">Nel contesto del presente Manuale e del Sistema di Gestione SSL di </w:t>
      </w:r>
      <w:r>
        <w:t xml:space="preserve">Agrumigel</w:t>
      </w:r>
      <w:r>
        <w:t xml:space="preserve">, si applicano i termini e le definizioni contenuti nella norma UNI ISO 45001:2023 e nella legislazione italiana in materia di sicurezza (</w:t>
      </w:r>
      <w:r>
        <w:t xml:space="preserve">D.Lgs.</w:t>
      </w:r>
      <w:r>
        <w:t xml:space="preserve"> 81/08 e </w:t>
      </w:r>
      <w:r>
        <w:t xml:space="preserve">s.m.i.</w:t>
      </w:r>
      <w:r>
        <w:t xml:space="preserve">). Di seguito si riportano alcuni acronimi e termini ricorrenti per una migliore comprensione:</w:t>
      </w:r>
      <w:r/>
    </w:p>
    <w:p>
      <w:pPr>
        <w:pStyle w:val="1013"/>
        <w:numPr>
          <w:ilvl w:val="0"/>
          <w:numId w:val="2"/>
        </w:numPr>
        <w:pBdr/>
        <w:spacing/>
        <w:ind/>
        <w:rPr/>
      </w:pPr>
      <w:r>
        <w:rPr>
          <w:b/>
          <w:bCs/>
        </w:rPr>
        <w:t xml:space="preserve">SSL</w:t>
      </w:r>
      <w:r>
        <w:t xml:space="preserve">: Salute e Sicurezza sul Lavoro.</w:t>
      </w:r>
      <w:r/>
    </w:p>
    <w:p>
      <w:pPr>
        <w:pStyle w:val="1013"/>
        <w:numPr>
          <w:ilvl w:val="0"/>
          <w:numId w:val="2"/>
        </w:numPr>
        <w:pBdr/>
        <w:spacing/>
        <w:ind/>
        <w:rPr/>
      </w:pPr>
      <w:r>
        <w:rPr>
          <w:b/>
          <w:bCs/>
        </w:rPr>
        <w:t xml:space="preserve">SGSSL</w:t>
      </w:r>
      <w:r>
        <w:t xml:space="preserve">: Sistema di Gestione Salute e Sicurezza sul Lavoro (implementato secondo ISO 45001).</w:t>
      </w:r>
      <w:r/>
    </w:p>
    <w:p>
      <w:pPr>
        <w:pStyle w:val="1013"/>
        <w:numPr>
          <w:ilvl w:val="0"/>
          <w:numId w:val="2"/>
        </w:numPr>
        <w:pBdr/>
        <w:spacing/>
        <w:ind/>
        <w:rPr/>
      </w:pPr>
      <w:r>
        <w:rPr>
          <w:b/>
          <w:bCs/>
        </w:rPr>
        <w:t xml:space="preserve">DVR</w:t>
      </w:r>
      <w:r>
        <w:t xml:space="preserve">: Documento di Valutazione dei Rischi, documento aziendale che identifica i pericoli e valuta i rischi presenti durante le attività lavorative.</w:t>
      </w:r>
      <w:r/>
    </w:p>
    <w:p>
      <w:pPr>
        <w:pStyle w:val="1013"/>
        <w:numPr>
          <w:ilvl w:val="0"/>
          <w:numId w:val="2"/>
        </w:numPr>
        <w:pBdr/>
        <w:spacing/>
        <w:ind/>
        <w:rPr/>
      </w:pPr>
      <w:r>
        <w:rPr>
          <w:b/>
          <w:bCs/>
        </w:rPr>
        <w:t xml:space="preserve">DdL</w:t>
      </w:r>
      <w:r>
        <w:t xml:space="preserve">: Datore di Lavoro, ovvero l’Amministratore Unico di </w:t>
      </w:r>
      <w:r>
        <w:t xml:space="preserve">Agrumigel</w:t>
      </w:r>
      <w:r>
        <w:t xml:space="preserve"> S.r.l., che ha la responsabilità legale principale in materia di SSL.</w:t>
      </w:r>
      <w:r/>
    </w:p>
    <w:p>
      <w:pPr>
        <w:pStyle w:val="1013"/>
        <w:numPr>
          <w:ilvl w:val="0"/>
          <w:numId w:val="2"/>
        </w:numPr>
        <w:pBdr/>
        <w:spacing/>
        <w:ind/>
        <w:rPr/>
      </w:pPr>
      <w:r>
        <w:rPr>
          <w:b/>
          <w:bCs/>
        </w:rPr>
        <w:t xml:space="preserve">RSPP</w:t>
      </w:r>
      <w:r>
        <w:t xml:space="preserve">: Responsabile del Servizio di Prevenzione e Protezione, figura nominata dal Datore di Lavoro con compiti di coordinamento della sicurezza e consulenza tecnica.</w:t>
      </w:r>
      <w:r/>
    </w:p>
    <w:p>
      <w:pPr>
        <w:pStyle w:val="1013"/>
        <w:numPr>
          <w:ilvl w:val="0"/>
          <w:numId w:val="2"/>
        </w:numPr>
        <w:pBdr/>
        <w:spacing/>
        <w:ind/>
        <w:rPr/>
      </w:pPr>
      <w:r>
        <w:rPr>
          <w:b/>
          <w:bCs/>
        </w:rPr>
        <w:t xml:space="preserve">ASPP</w:t>
      </w:r>
      <w:r>
        <w:t xml:space="preserve">: Addetto al Servizio di Prevenzione e Protezione (se designato), figura di supporto al RSPP.</w:t>
      </w:r>
      <w:r/>
    </w:p>
    <w:p>
      <w:pPr>
        <w:pStyle w:val="1013"/>
        <w:numPr>
          <w:ilvl w:val="0"/>
          <w:numId w:val="2"/>
        </w:numPr>
        <w:pBdr/>
        <w:spacing/>
        <w:ind/>
        <w:rPr/>
      </w:pPr>
      <w:r>
        <w:rPr>
          <w:b/>
          <w:bCs/>
        </w:rPr>
        <w:t xml:space="preserve">RLS</w:t>
      </w:r>
      <w:r>
        <w:t xml:space="preserve">: Rappresentante dei Lavoratori per la Sicurezza, eletto o designato tra i lavoratori per rappresentarne le istanze sui temi di SSL.</w:t>
      </w:r>
      <w:r/>
    </w:p>
    <w:p>
      <w:pPr>
        <w:pStyle w:val="1013"/>
        <w:numPr>
          <w:ilvl w:val="0"/>
          <w:numId w:val="2"/>
        </w:numPr>
        <w:pBdr/>
        <w:spacing/>
        <w:ind/>
        <w:rPr/>
      </w:pPr>
      <w:r>
        <w:rPr>
          <w:b/>
          <w:bCs/>
        </w:rPr>
        <w:t xml:space="preserve">Medico Competente</w:t>
      </w:r>
      <w:r>
        <w:t xml:space="preserve">: medico del lavoro nominato dall’azienda per effettuare la sorveglianza sanitaria e collaborare alla valutazione dei rischi.</w:t>
      </w:r>
      <w:r/>
    </w:p>
    <w:p>
      <w:pPr>
        <w:pStyle w:val="1013"/>
        <w:numPr>
          <w:ilvl w:val="0"/>
          <w:numId w:val="2"/>
        </w:numPr>
        <w:pBdr/>
        <w:spacing/>
        <w:ind/>
        <w:rPr/>
      </w:pPr>
      <w:r>
        <w:rPr>
          <w:b/>
          <w:bCs/>
        </w:rPr>
        <w:t xml:space="preserve">PEE</w:t>
      </w:r>
      <w:r>
        <w:t xml:space="preserve">: Piano di Emergenza ed Evacuazione, documento che descrive le procedure da attuare in caso di emergenza (incendio, fuga di gas, terremoto, etc.) e le misure per l’evacuazione in sicurezza di persone e beni.</w:t>
      </w:r>
      <w:r/>
    </w:p>
    <w:p>
      <w:pPr>
        <w:pStyle w:val="1013"/>
        <w:numPr>
          <w:ilvl w:val="0"/>
          <w:numId w:val="2"/>
        </w:numPr>
        <w:pBdr/>
        <w:spacing/>
        <w:ind/>
        <w:rPr/>
      </w:pPr>
      <w:r>
        <w:rPr>
          <w:b/>
          <w:bCs/>
        </w:rPr>
        <w:t xml:space="preserve">Near</w:t>
      </w:r>
      <w:r>
        <w:rPr>
          <w:b/>
          <w:bCs/>
        </w:rPr>
        <w:t xml:space="preserve"> miss</w:t>
      </w:r>
      <w:r>
        <w:t xml:space="preserve"> (mancato infortunio): evento anomalo o situazione pericolosa che avrebbe potuto causare un infortunio o incidente, ma che fortunatamente non ha avuto conseguenze; la segnalazione e l’analisi dei </w:t>
      </w:r>
      <w:r>
        <w:t xml:space="preserve">near</w:t>
      </w:r>
      <w:r>
        <w:t xml:space="preserve">-miss sono importanti per prevenire futuri incidenti.</w:t>
      </w:r>
      <w:r/>
    </w:p>
    <w:p>
      <w:pPr>
        <w:pStyle w:val="1013"/>
        <w:numPr>
          <w:ilvl w:val="0"/>
          <w:numId w:val="2"/>
        </w:numPr>
        <w:pBdr/>
        <w:spacing/>
        <w:ind/>
        <w:rPr/>
      </w:pPr>
      <w:r>
        <w:rPr>
          <w:b/>
          <w:bCs/>
        </w:rPr>
        <w:t xml:space="preserve">HACCP</w:t>
      </w:r>
      <w:r>
        <w:t xml:space="preserve">: Hazard Analysis and Critical Control Points, sistema di gestione della sicurezza alimentare; in </w:t>
      </w:r>
      <w:r>
        <w:t xml:space="preserve">Agrumigel</w:t>
      </w:r>
      <w:r>
        <w:t xml:space="preserve"> le procedure HACCP sono integrate e complementari alle procedure di sicurezza sul lavoro, soprattutto per quanto concerne l’igiene e la corretta prassi operativa degli addetti.</w:t>
      </w:r>
      <w:r/>
    </w:p>
    <w:p>
      <w:pPr>
        <w:pStyle w:val="1012"/>
        <w:pBdr/>
        <w:spacing/>
        <w:ind/>
        <w:rPr/>
      </w:pPr>
      <w:r>
        <w:t xml:space="preserve">Eventuali altri termin</w:t>
      </w:r>
      <w:r>
        <w:t xml:space="preserve">i tecnici specifici utilizzati nel Manuale sono da intendersi secondo le definizioni comunemente accettate in ambito SSL o secondo quanto definito nelle procedure aziendali specifiche. Il lettore può far riferimento al glossario della norma ISO 45001 e al </w:t>
      </w:r>
      <w:r>
        <w:t xml:space="preserve">D.Lgs.</w:t>
      </w:r>
      <w:r>
        <w:t xml:space="preserve"> 81/08 per ulteriori chiarimenti terminologici.</w:t>
      </w:r>
      <w:r/>
    </w:p>
    <w:p>
      <w:pPr>
        <w:pStyle w:val="999"/>
        <w:pBdr/>
        <w:spacing/>
        <w:ind/>
        <w:rPr/>
      </w:pPr>
      <w:r/>
      <w:bookmarkStart w:id="12" w:name="contesto-dellorganizzazione"/>
      <w:r/>
      <w:bookmarkStart w:id="13" w:name="_Toc211351944"/>
      <w:r/>
      <w:bookmarkEnd w:id="10"/>
      <w:r>
        <w:t xml:space="preserve">Contesto dell’Organizzazione</w:t>
      </w:r>
      <w:bookmarkEnd w:id="13"/>
      <w:r/>
      <w:r/>
    </w:p>
    <w:p>
      <w:pPr>
        <w:pStyle w:val="1000"/>
        <w:pBdr/>
        <w:spacing/>
        <w:ind/>
        <w:rPr/>
      </w:pPr>
      <w:r/>
      <w:bookmarkStart w:id="14" w:name="_Toc211351945"/>
      <w:r>
        <w:t xml:space="preserve">Contesto esterno ed interno</w:t>
      </w:r>
      <w:bookmarkEnd w:id="14"/>
      <w:r>
        <w:t xml:space="preserve"> </w:t>
      </w:r>
      <w:r/>
    </w:p>
    <w:p>
      <w:pPr>
        <w:pStyle w:val="1012"/>
        <w:pBdr/>
        <w:spacing/>
        <w:ind/>
        <w:rPr/>
      </w:pPr>
      <w:r>
        <w:t xml:space="preserve">Agrumigel</w:t>
      </w:r>
      <w:r>
        <w:t xml:space="preserve"> opera nel settore agroalimentare in un contesto caratterizzato da </w:t>
      </w:r>
      <w:r>
        <w:t xml:space="preserve">rigorosi requisiti normativi e standard qualitativi, da una marcata stagionalità della produzione (legata ai cicli di raccolta degli agrumi e delle melagrane) e da un’elevata attenzione, da parte del mercato, verso la sostenibilità dei processi. Sul piano </w:t>
      </w:r>
      <w:r>
        <w:rPr>
          <w:b/>
          <w:bCs/>
        </w:rPr>
        <w:t xml:space="preserve">esterno</w:t>
      </w:r>
      <w:r>
        <w:t xml:space="preserve">, l’azienda deve attenersi </w:t>
      </w:r>
      <w:r>
        <w:t xml:space="preserve">alle politiche nazionali e regionali e ai regolamenti vigenti in materia di sicurezza, ambiente e alimenti: la conformità legislativa è considerata un prerequisito imprescindibile per le proprie attività. Gli enti di vigilanza (Ispettorato del Lavoro, ASP/</w:t>
      </w:r>
      <w:r>
        <w:t xml:space="preserve">SPreSAL</w:t>
      </w:r>
      <w:r>
        <w:t xml:space="preserve">, Vigili del Fuoco, ARPA, etc.) svolgono verifiche periodiche e mirate; </w:t>
      </w:r>
      <w:r>
        <w:t xml:space="preserve">Agrumigel</w:t>
      </w:r>
      <w:r>
        <w:t xml:space="preserve"> collabora attivamente con tali istituzioni per garantire il rispetto di tutte le prescrizioni. Ad esempio, in seguito a un’ispezione dell’Ispettorato Nazionale del Lavoro Novembre/Dicembre 2024</w:t>
      </w:r>
      <w:r>
        <w:t xml:space="preserve">, l’azienda ha tem</w:t>
      </w:r>
      <w:r>
        <w:t xml:space="preserve">pestivamente aggiornato e trasmesso la documentazione richiesta (DVR e Piano di Emergenza</w:t>
      </w:r>
      <w:r>
        <w:rPr>
          <w:highlight w:val="none"/>
        </w:rPr>
        <w:t xml:space="preserve">)</w:t>
      </w:r>
      <w:r>
        <w:rPr>
          <w:highlight w:val="none"/>
        </w:rPr>
        <w:t xml:space="preserve"> e ha ottemperato alle prescrizion</w:t>
      </w:r>
      <w:r>
        <w:rPr>
          <w:highlight w:val="none"/>
        </w:rPr>
        <w:t xml:space="preserve">i,</w:t>
      </w:r>
      <w:r>
        <w:t xml:space="preserve"> come attestato dal verbale di verifica di giugno 2025. Questo evidenzia la volontà aziendale di recepire rapidamente indicazioni </w:t>
      </w:r>
      <w:r>
        <w:t xml:space="preserve">esterne e migliorare la propria gestione della sicurezza. Ulteriori fattori esterni rilevanti includono: il progresso tecnologico (che offre opportunità di introdurre impianti più sicuri e automazioni nei processi), l’andamento del mercato degli agrumi e d</w:t>
      </w:r>
      <w:r>
        <w:t xml:space="preserve">ei derivati (che può influenzare i volumi produttivi e quindi l’organizzazione del lavoro, ad es. turnazione straordinaria in alta stagione), nonché le aspettative crescenti dei clienti e partner commerciali in termini di responsabilità sociale d’impresa. </w:t>
      </w:r>
      <w:r>
        <w:t xml:space="preserve">Agrumigel</w:t>
      </w:r>
      <w:r>
        <w:t xml:space="preserve"> è consapevole che oggi molti clienti – specialmente</w:t>
      </w:r>
      <w:r>
        <w:t xml:space="preserve"> a livello internazionale – richiedono fornitori conformi a standard di sicurezza e etica (ad es. richiedono certificazioni o audit di seconda parte su sicurezza e </w:t>
      </w:r>
      <w:r>
        <w:t xml:space="preserve">responsabilità sociale); tale spinta esterna è considerata un incentivo ulteriore al miglioramento continuo.</w:t>
      </w:r>
      <w:r/>
    </w:p>
    <w:p>
      <w:pPr>
        <w:pStyle w:val="1011"/>
        <w:pBdr/>
        <w:spacing/>
        <w:ind/>
        <w:rPr/>
      </w:pPr>
      <w:r>
        <w:t xml:space="preserve">Per quanto riguarda il </w:t>
      </w:r>
      <w:r>
        <w:rPr>
          <w:b/>
          <w:bCs/>
        </w:rPr>
        <w:t xml:space="preserve">contesto interno</w:t>
      </w:r>
      <w:r>
        <w:t xml:space="preserve">, </w:t>
      </w:r>
      <w:r>
        <w:t xml:space="preserve">Agrumigel</w:t>
      </w:r>
      <w:r>
        <w:t xml:space="preserve"> può contare su una cultura aziendale orientata alla qualità del prodotto, alla legalità e al miglioramento continuo, così come esposto nella Politica Integrata aziendale. La Direzione promuove valori di tutela del personale e resp</w:t>
      </w:r>
      <w:r>
        <w:t xml:space="preserve">onsabilità etica, impegnandosi a garantire condizioni di lavoro sicure, soddisfacenti e conformi ai diritti dei lavoratori. L’azienda dispone di un organigramma funzionale chiaro, in cui sono definite funzioni e responsabilità (vedi sez. 5.3); questo favor</w:t>
      </w:r>
      <w:r>
        <w:t xml:space="preserve">isce un’efficace comunicazione interna e coordinamento sui temi di SSL. I lavoratori presentano in genere un forte attaccamento all’azienda e una crescente sensibilità verso i temi della sicurezza: ciò costituisce un terreno fertile per lo sviluppo di una </w:t>
      </w:r>
      <w:r>
        <w:rPr>
          <w:b/>
          <w:bCs/>
        </w:rPr>
        <w:t xml:space="preserve">cultura della sicurezza</w:t>
      </w:r>
      <w:r>
        <w:t xml:space="preserve"> partecipativa. </w:t>
      </w:r>
      <w:r>
        <w:t xml:space="preserve">Agrumigel</w:t>
      </w:r>
      <w:r>
        <w:t xml:space="preserve"> investe molto nella formazione e addestramento del personale, non solo sugli aspetti di qualità e sicurezza alimentare, ma anche sulla sicurezza sul</w:t>
      </w:r>
      <w:r>
        <w:t xml:space="preserve"> lavoro, nella convinzione che personale competente e consapevole sia la chiave per prevenire incidenti e garantire produzioni di eccellenza. Dal punto di vista organizzativo, l’azienda è suddivisa in reparti produttivi (succhi/essenze, scorze, concentrati</w:t>
      </w:r>
      <w:r>
        <w:t xml:space="preserve">) e servizi di supporto (manutenzione, laboratorio qualità, magazzini, depuratore, ecc.), con una forte integrazione tra le funzioni: ad esempio, il “Team Qualità” sovrintende sia agli standard di prodotto (qualità e sicurezza alimentare) sia agli aspetti </w:t>
      </w:r>
      <w:r>
        <w:t xml:space="preserve">ambientali e, in sinergia con il RSPP, collabora alla gestione dei progra</w:t>
      </w:r>
      <w:r>
        <w:t xml:space="preserve">mmi di prevenzione e protezione. Questa integrazione facilita lo scambio di informazioni e l’armonizzazione di procedure tra sicurezza sul lavoro, tutela ambientale e sicurezza alimentare. Inoltre, l’azienda impiega tecnologie avanzate (quali impianti auto</w:t>
      </w:r>
      <w:r>
        <w:t xml:space="preserve">matici di pastorizzazione, sistemi di cogenerazione energetica e un impianto fotovoltaico) che contribuiscono a ridurre gli impatti ambientali e i costi energetici. Tali tecnologie, se da un lato comportano specifici requisiti di sicurezza (manutenzione di</w:t>
      </w:r>
      <w:r>
        <w:t xml:space="preserve"> impianti elettrici ad alta tensione, gestione di gas tecnici come metano e ammoniaca, etc.), dall’altro offrono opportunità di migliorare l’ergonomia e ridurre i rischi tradizionali (ad esempio, l’automazione riduce la movimentazione manuale dei carichi).</w:t>
      </w:r>
      <w:r/>
    </w:p>
    <w:p>
      <w:pPr>
        <w:pStyle w:val="1011"/>
        <w:pBdr/>
        <w:spacing/>
        <w:ind/>
        <w:rPr/>
      </w:pPr>
      <w:r>
        <w:t xml:space="preserve">In sintesi, </w:t>
      </w:r>
      <w:r>
        <w:t xml:space="preserve">Agrumigel</w:t>
      </w:r>
      <w:r>
        <w:t xml:space="preserve"> opera in un contesto in cui il rispetto delle </w:t>
      </w:r>
      <w:r>
        <w:rPr>
          <w:b/>
          <w:bCs/>
        </w:rPr>
        <w:t xml:space="preserve">norme</w:t>
      </w:r>
      <w:r>
        <w:t xml:space="preserve"> e l’attenzione agli </w:t>
      </w:r>
      <w:r>
        <w:rPr>
          <w:b/>
          <w:bCs/>
        </w:rPr>
        <w:t xml:space="preserve">stakeholder</w:t>
      </w:r>
      <w:r>
        <w:t xml:space="preserve"> sono fondamentali. L’azienda trasforma tali fattori in pu</w:t>
      </w:r>
      <w:r>
        <w:t xml:space="preserve">nti di forza, investendo sulla prevenzione e impegnandosi oltre il semplice adempimento burocratico, con l’obiettivo di tutelare davvero i lavoratori, l’ambiente e la comunità locale, in linea con i propri valori etici e la propria vision di lungo termine.</w:t>
      </w:r>
      <w:r/>
    </w:p>
    <w:p>
      <w:pPr>
        <w:pStyle w:val="1011"/>
        <w:pBdr/>
        <w:spacing/>
        <w:ind/>
        <w:rPr>
          <w:lang w:val="it-IT"/>
        </w:rPr>
      </w:pPr>
      <w:r>
        <w:rPr>
          <w:lang w:val="it-IT"/>
        </w:rPr>
        <w:t xml:space="preserve">In</w:t>
      </w:r>
      <w:r>
        <w:rPr>
          <w:lang w:val="it-IT"/>
        </w:rPr>
        <w:t xml:space="preserve">fine, i</w:t>
      </w:r>
      <w:r>
        <w:rPr>
          <w:lang w:val="it-IT"/>
        </w:rPr>
        <w:t xml:space="preserve">n considerazione dell'aggiornamento A1:2024 della norma ISO 45001, </w:t>
      </w:r>
      <w:r>
        <w:rPr>
          <w:lang w:val="it-IT"/>
        </w:rPr>
        <w:t xml:space="preserve">Agrumigel</w:t>
      </w:r>
      <w:r>
        <w:rPr>
          <w:lang w:val="it-IT"/>
        </w:rPr>
        <w:t xml:space="preserve"> ha specificamente valutato il cambiamento climatico come fattore rilevante per il proprio SGSSL. L'analisi ha evidenziato che il ca</w:t>
      </w:r>
      <w:r>
        <w:rPr>
          <w:lang w:val="it-IT"/>
        </w:rPr>
        <w:t xml:space="preserve">mbiamento climatico rappresenta un fattore significativo per l'azienda, con impatti diretti sulla salute e sicurezza dei lavoratori attraverso l'intensificazione di eventi meteorologici estremi (ondate di calore che aumentano il rischio di stress termico d</w:t>
      </w:r>
      <w:r>
        <w:rPr>
          <w:lang w:val="it-IT"/>
        </w:rPr>
        <w:t xml:space="preserve">urante le attività in campo e nei reparti produttivi non climatizzati), variazioni nei pattern stagionali che influenzano i cicli produttivi degli agrumi con conseguenti picchi di lavoro imprevisti, potenziale aumento del rischio idrogeologico nell'area di</w:t>
      </w:r>
      <w:r>
        <w:rPr>
          <w:lang w:val="it-IT"/>
        </w:rPr>
        <w:t xml:space="preserve"> Barcellona Pozzo di Gotto che richiede aggiornamenti del piano di emergenza, e modifiche nelle condizioni di conservazione dei prodotti che potrebbero richiedere adattamenti negli impianti di refrigerazione con relativi rischi per l'utilizzo di ammoniaca.</w:t>
      </w:r>
      <w:r>
        <w:rPr>
          <w:lang w:val="it-IT"/>
        </w:rPr>
      </w:r>
      <w:r>
        <w:rPr>
          <w:lang w:val="it-IT"/>
        </w:rPr>
      </w:r>
    </w:p>
    <w:p>
      <w:pPr>
        <w:pStyle w:val="1011"/>
        <w:pBdr/>
        <w:spacing/>
        <w:ind/>
        <w:rPr>
          <w:lang w:val="it-IT"/>
        </w:rPr>
      </w:pPr>
      <w:r>
        <w:rPr>
          <w:lang w:val="it-IT"/>
        </w:rPr>
        <w:t xml:space="preserve">Le parti interessate hanno</w:t>
      </w:r>
      <w:r>
        <w:rPr>
          <w:lang w:val="it-IT"/>
        </w:rPr>
        <w:t xml:space="preserve"> espresso requisiti specifici relativi al cambiamento climatico, inclusi i clienti internazionali che richiedono valutazioni di resilienza climatica nella catena di fornitura, le autorità locali che hanno introdotto nuove prescrizioni per la gestione delle</w:t>
      </w:r>
      <w:r>
        <w:rPr>
          <w:lang w:val="it-IT"/>
        </w:rPr>
        <w:t xml:space="preserve"> emergenze climatiche, i lavoratori e le loro rappresentanze che hanno richiesto misure aggiuntive di protezione durante le ondate di calore, e le compagnie assicurative che richiedono valutazioni specifiche dei rischi climatici per la copertura dei danni.</w:t>
      </w:r>
      <w:r>
        <w:rPr>
          <w:lang w:val="it-IT"/>
        </w:rPr>
      </w:r>
      <w:r>
        <w:rPr>
          <w:lang w:val="it-IT"/>
        </w:rPr>
      </w:r>
    </w:p>
    <w:p>
      <w:pPr>
        <w:pStyle w:val="1011"/>
        <w:pBdr/>
        <w:spacing/>
        <w:ind/>
        <w:rPr/>
      </w:pPr>
      <w:r/>
      <w:r/>
    </w:p>
    <w:p>
      <w:pPr>
        <w:pStyle w:val="1000"/>
        <w:pBdr/>
        <w:spacing/>
        <w:ind/>
        <w:rPr/>
      </w:pPr>
      <w:r/>
      <w:bookmarkStart w:id="15" w:name="_Toc211351946"/>
      <w:r>
        <w:t xml:space="preserve">Parti interessate e loro esigenze</w:t>
      </w:r>
      <w:bookmarkEnd w:id="15"/>
      <w:r>
        <w:t xml:space="preserve"> </w:t>
      </w:r>
      <w:r/>
    </w:p>
    <w:p>
      <w:pPr>
        <w:pStyle w:val="1011"/>
        <w:pBdr/>
        <w:spacing/>
        <w:ind/>
        <w:rPr/>
      </w:pPr>
      <w:r>
        <w:t xml:space="preserve">Agrumigel</w:t>
      </w:r>
      <w:r>
        <w:t xml:space="preserve"> ha identificato le principali </w:t>
      </w:r>
      <w:r>
        <w:rPr>
          <w:b/>
          <w:bCs/>
        </w:rPr>
        <w:t xml:space="preserve">parti interessate</w:t>
      </w:r>
      <w:r>
        <w:t xml:space="preserve"> interne ed esterne al Sistema di Gestione SSL, insieme alle rispettive esigenze e aspettative in materia di salute e sicurezza sul lavoro. Le parti interessate chiave includono:</w:t>
      </w:r>
      <w:r/>
    </w:p>
    <w:p>
      <w:pPr>
        <w:numPr>
          <w:ilvl w:val="0"/>
          <w:numId w:val="3"/>
        </w:numPr>
        <w:pBdr/>
        <w:spacing/>
        <w:ind/>
        <w:rPr/>
      </w:pPr>
      <w:r>
        <w:rPr>
          <w:b/>
          <w:bCs/>
        </w:rPr>
        <w:t xml:space="preserve">Lavoratori dell’azienda</w:t>
      </w:r>
      <w:r>
        <w:t xml:space="preserve"> (compresi dipendenti a tempo indeterminato, stagionali, apprendisti e collaboratori): si aspettano di operare in un ambiente sicuro e salubre, con </w:t>
      </w:r>
      <w:r>
        <w:t xml:space="preserve">adeguata formazione, informazioni chiare sui rischi e dispositivi di protezione individuale (DPI) idonei. Desiderano che la Direzione ascolti le loro segnala</w:t>
      </w:r>
      <w:r>
        <w:t xml:space="preserve">zioni e che sia promossa una cultura giusta, in cui possano segnalare problemi senza timore di ritorsioni. Essi stessi, tramite il loro Rappresentante (RLS) e altri canali, chiedono di essere coinvolti nei processi decisionali che riguardano la sicurezza. </w:t>
      </w:r>
      <w:r>
        <w:t xml:space="preserve">Agrumigel</w:t>
      </w:r>
      <w:r>
        <w:t xml:space="preserve"> si impegna a garantire elevati standard di sicurezza per i lavoratori e a rispettare pienamente i loro diritti, come sancito anche nella politica aziendale.</w:t>
      </w:r>
      <w:r/>
    </w:p>
    <w:p>
      <w:pPr>
        <w:numPr>
          <w:ilvl w:val="0"/>
          <w:numId w:val="3"/>
        </w:numPr>
        <w:pBdr/>
        <w:spacing/>
        <w:ind/>
        <w:rPr/>
      </w:pPr>
      <w:r>
        <w:rPr>
          <w:b/>
          <w:bCs/>
        </w:rPr>
        <w:t xml:space="preserve">Direzione aziendale e Proprietà</w:t>
      </w:r>
      <w:r>
        <w:t xml:space="preserve">: l’Amministratore Unico e il management richiedono che l’azienda sia conforme a tutte le normative per evitare sanzioni e responsabilità, e auspicano un ambiente di lavoro sereno dove gli infortuni siano assenti (obiettivo </w:t>
      </w:r>
      <w:r>
        <w:rPr>
          <w:i/>
          <w:iCs/>
        </w:rPr>
        <w:t xml:space="preserve">“zero infortuni”</w:t>
      </w:r>
      <w:r>
        <w:t xml:space="preserve">). Inoltre, la Direzione vede nella buona gestione della SSL un fattore di efficienza (meno fermi produttivi,</w:t>
      </w:r>
      <w:r>
        <w:t xml:space="preserve"> meno costi dovuti a incidenti) e di reputazione verso l’esterno. Si aspetta pertanto che il Sistema di Gestione SSL funzioni efficacemente, integrato con gli altri sistemi, e fornisca evidenze oggettive dei miglioramenti (tramite indicatori, audit, etc.).</w:t>
      </w:r>
      <w:r/>
    </w:p>
    <w:p>
      <w:pPr>
        <w:numPr>
          <w:ilvl w:val="0"/>
          <w:numId w:val="3"/>
        </w:numPr>
        <w:pBdr/>
        <w:spacing/>
        <w:ind/>
        <w:rPr/>
      </w:pPr>
      <w:r>
        <w:rPr>
          <w:b/>
          <w:bCs/>
        </w:rPr>
        <w:t xml:space="preserve">Clienti</w:t>
      </w:r>
      <w:r>
        <w:t xml:space="preserve">: molti clienti di </w:t>
      </w:r>
      <w:r>
        <w:t xml:space="preserve">Agrumigel</w:t>
      </w:r>
      <w:r>
        <w:t xml:space="preserve"> – che possono essere industrie alimentari nazionali ed estere </w:t>
      </w:r>
      <w:r>
        <w:t xml:space="preserve">o trader internazionali – oltre alla qualità del prodotto richiedono gar</w:t>
      </w:r>
      <w:r>
        <w:t xml:space="preserve">anzie sul fatto che i prodotti siano realizzati in stabilimenti sicuri e sostenibili. Ad esempio, clienti multinazionali potrebbero condurre audit sociali o di fabbrica dove verificano anche le condizioni di salute e sicurezza dei lavoratori. Le aspettativ</w:t>
      </w:r>
      <w:r>
        <w:t xml:space="preserve">e dei clienti includono dunque il rispetto degli standard di sicurezza, l’assenza di incidenti gravi che possano interrompere la fornitura, e in generale l’adesione dell’azienda a principi etici (ad es. niente lavoro minorile, condizioni di lavoro umane). </w:t>
      </w:r>
      <w:r>
        <w:t xml:space="preserve">Agrumigel</w:t>
      </w:r>
      <w:r>
        <w:t xml:space="preserve"> risponde a tali aspettative mantenendo attivo il Sistema SSL e mettendo a disposizione, quando richiesto, documentazione e dati sulle proprie performance di sicurezza.</w:t>
      </w:r>
      <w:r/>
    </w:p>
    <w:p>
      <w:pPr>
        <w:numPr>
          <w:ilvl w:val="0"/>
          <w:numId w:val="3"/>
        </w:numPr>
        <w:pBdr/>
        <w:spacing/>
        <w:ind/>
        <w:rPr/>
      </w:pPr>
      <w:r>
        <w:rPr>
          <w:b/>
          <w:bCs/>
        </w:rPr>
        <w:t xml:space="preserve">Fornitori e Appaltatori</w:t>
      </w:r>
      <w:r>
        <w:t xml:space="preserve">: comprendono i fornitori</w:t>
      </w:r>
      <w:r>
        <w:t xml:space="preserve"> di materie prime (conferitori di agrumi/melagrane), di materiali di imballaggio, nonché le ditte appaltatrici che svolgono lavori presso lo stabilimento (manutentori esterni,</w:t>
      </w:r>
      <w:r>
        <w:t xml:space="preserve"> trasportatori, etc.). Essi si aspettano un’interaz</w:t>
      </w:r>
      <w:r>
        <w:t xml:space="preserve">ione sicura con l’azienda: per i conferitori e autotrasportatori, ad esempio, è importante che le operazioni di carico/scarico avvengano in aree organizzate e senza rischi (</w:t>
      </w:r>
      <w:r>
        <w:rPr>
          <w:highlight w:val="none"/>
        </w:rPr>
        <w:t xml:space="preserve">viabilità interna sicura</w:t>
      </w:r>
      <w:r>
        <w:t xml:space="preserve">, uso di muletti in sicurezza, etc.); per gli appaltatori, </w:t>
      </w:r>
      <w:r>
        <w:t xml:space="preserve">Agrumigel</w:t>
      </w:r>
      <w:r>
        <w:t xml:space="preserve"> deve garantire condizioni sicure quando operano nel sito e fornire loro informazioni sui rischi specifici (tramite il DUVRI – Documento Unico di Valutazione dei Rischi da Interferenze – quando necessario). Viceversa, </w:t>
      </w:r>
      <w:r>
        <w:t xml:space="preserve">Agrumigel</w:t>
      </w:r>
      <w:r>
        <w:t xml:space="preserve"> </w:t>
      </w:r>
      <w:r>
        <w:t xml:space="preserve">si aspetta che fornitori e appaltatori rispettino le proprie procedure di sicurezza e i requisiti legali (ad es. ditte esterne con personale formato, in regola con il DVR e la sorveglianza sanitaria). C’è dunque un interesse reciproco a collaborare su SSL.</w:t>
      </w:r>
      <w:r/>
    </w:p>
    <w:p>
      <w:pPr>
        <w:numPr>
          <w:ilvl w:val="0"/>
          <w:numId w:val="3"/>
        </w:numPr>
        <w:pBdr/>
        <w:spacing/>
        <w:ind/>
        <w:rPr/>
      </w:pPr>
      <w:r>
        <w:rPr>
          <w:b/>
          <w:bCs/>
        </w:rPr>
        <w:t xml:space="preserve">Enti regolatori e di controllo</w:t>
      </w:r>
      <w:r>
        <w:t xml:space="preserve">: Ispettorato del Lavoro, Azienda Sanitaria Provinciale (Dipartimento di Prevenzione, </w:t>
      </w:r>
      <w:r>
        <w:t xml:space="preserve">SPreSAL</w:t>
      </w:r>
      <w:r>
        <w:t xml:space="preserve">), Vigili del Fuoco, ARPA Sicilia, INAIL, etc., hanno </w:t>
      </w:r>
      <w:r>
        <w:t xml:space="preserve">come aspettativa fondament</w:t>
      </w:r>
      <w:r>
        <w:t xml:space="preserve">ale la conformità alle normative e l’adozione di misure preventive adeguate. Si aspettano inoltre collaborazione e trasparenza dall’azienda (accesso ai luoghi di lavoro, consegna di documenti come DVR, registri antincendio, certificazioni impianti, ecc.). </w:t>
      </w:r>
      <w:r>
        <w:t xml:space="preserve">Agrumigel</w:t>
      </w:r>
      <w:r>
        <w:t xml:space="preserve">, consapevole di ciò, mantiene un approccio proattivo: ad esempio, prepara per tempo le verifiche periodiche (come quelle alle attrezzature a pressione, ai sollevamenti, impianti elettrici di messa a terra, controlli sanitari, e</w:t>
      </w:r>
      <w:r>
        <w:t xml:space="preserve">tc.), e mantiene la documentazione sempre aggiornata e disponibile. In caso di ispezioni, l’azienda ha dimostrato di ottemperare alle eventuali prescrizioni in modo sostanziale e nei tempi richiesti, a riprova di un rapporto improntato alla responsabilità.</w:t>
      </w:r>
      <w:r/>
    </w:p>
    <w:p>
      <w:pPr>
        <w:numPr>
          <w:ilvl w:val="0"/>
          <w:numId w:val="3"/>
        </w:numPr>
        <w:pBdr/>
        <w:spacing/>
        <w:ind/>
        <w:rPr/>
      </w:pPr>
      <w:r>
        <w:rPr>
          <w:b/>
          <w:bCs/>
        </w:rPr>
        <w:t xml:space="preserve">Comunità locale e ambiente circostante</w:t>
      </w:r>
      <w:r>
        <w:t xml:space="preserve">: lo stabilimento di </w:t>
      </w:r>
      <w:r>
        <w:t xml:space="preserve">Agrumigel</w:t>
      </w:r>
      <w:r>
        <w:t xml:space="preserve"> è inserito in un contesto territoriale con altre attività produttive e aree abitate nella zona di Barcellona P.G. La comunità locale si aspetta che l’azienda operi in modo sicuro non solo per i propri dipendenti ma anche senz</w:t>
      </w:r>
      <w:r>
        <w:t xml:space="preserve">a creare rischi per i cittadini (si pensi ad esempio al potenziale pericolo di una fuga massiva di ammoniaca che potrebbe propagarsi all’esterno, o al rischio di incendi ed emissioni in atmosfera). Inoltre, come parte interessata più ampia rientra anche l’</w:t>
      </w:r>
      <w:r>
        <w:rPr>
          <w:b/>
          <w:bCs/>
        </w:rPr>
        <w:t xml:space="preserve">ambiente</w:t>
      </w:r>
      <w:r>
        <w:t xml:space="preserve">: pur non essendo un “soggetto” in senso stretto, la tutela ambientale è strettamente connessa alla sicurezza (ad es. prevenire gli incidenti rilevanti tutela anche l’ambiente). </w:t>
      </w:r>
      <w:r>
        <w:t xml:space="preserve">Agrumigel</w:t>
      </w:r>
      <w:r>
        <w:t xml:space="preserve">, in coerenza</w:t>
      </w:r>
      <w:r>
        <w:t xml:space="preserve"> con la propria politica, si impegna verso l’ambiente e la comunità gestendo correttamente emissioni, rifiuti e risorse e valutando i potenziali impatti anche in ottica di cambiamento climatico. Ciò si traduce, lato sicurezza, in misure preventive come: im</w:t>
      </w:r>
      <w:r>
        <w:t xml:space="preserve">pianto di abbattimento per le polveri nell’essiccazione, sistemi di allarme e contenimento per l’ammoniaca, addestramento dei lavoratori all’uso sicuro dei sistemi antincendio per evitare che un eventuale incendio si propaghi fuori dallo stabilimento, ecc.</w:t>
      </w:r>
      <w:r/>
    </w:p>
    <w:p>
      <w:pPr>
        <w:numPr>
          <w:ilvl w:val="0"/>
          <w:numId w:val="3"/>
        </w:numPr>
        <w:pBdr/>
        <w:spacing/>
        <w:ind/>
        <w:rPr/>
      </w:pPr>
      <w:r>
        <w:rPr>
          <w:b/>
          <w:bCs/>
        </w:rPr>
        <w:t xml:space="preserve">Organismi di certificazione e clienti corporate</w:t>
      </w:r>
      <w:r>
        <w:t xml:space="preserve">: in quanto l’a</w:t>
      </w:r>
      <w:r>
        <w:t xml:space="preserve">zienda intende certificare (o mantiene certificato) il proprio SGSSL secondo ISO 45001 e già opera con certificazioni BRC, IFS, ISO 9001, l’ente di certificazione e gli auditor di terza parte rappresentano anch’essi parti interessate. La loro aspettativa è</w:t>
      </w:r>
      <w:r>
        <w:t xml:space="preserve"> di trovare un sistema ben documentato, aderente ai requisiti dello standard, e una effettiva attuazione sul campo. L’azienda prepara adeguatamente gli audit interni e il personale affinché possano mostrare evidenze e consapevolezza durante tali verifiche.</w:t>
      </w:r>
      <w:r/>
    </w:p>
    <w:p>
      <w:pPr>
        <w:pStyle w:val="1012"/>
        <w:pBdr/>
        <w:spacing/>
        <w:ind/>
        <w:rPr/>
      </w:pPr>
      <w:r>
        <w:t xml:space="preserve">Agrumigel</w:t>
      </w:r>
      <w:r>
        <w:t xml:space="preserve"> monitora regolarmente le esigenze delle parti interessate e tiene conto dei loro input nella pianificazione del sistema. Ad esempio, i feedback dei lavoratori e del RLS vengono discussi nelle riunioni periodiche di sicurez</w:t>
      </w:r>
      <w:r>
        <w:t xml:space="preserve">za; i requisiti specifici dei clienti vengono valutati in sede di contrattazione e integrati se opportuno; le prescrizioni degli enti di controllo sono tradotte in azioni correttive interne; il dialogo con la comunità locale avviene tramite le autorità o i</w:t>
      </w:r>
      <w:r>
        <w:t xml:space="preserve">n occasione di eventi pubblici (es. l’azienda comunica i propri risultati ambientali/sicurezza se richiesto). Questa attenzione alle parti interessate garantisce che il SGSSL rimanga rilevante e allineato sia con il contesto esterno che con quello interno.</w:t>
      </w:r>
      <w:r/>
    </w:p>
    <w:p>
      <w:pPr>
        <w:pStyle w:val="1000"/>
        <w:pBdr/>
        <w:spacing/>
        <w:ind/>
        <w:rPr/>
      </w:pPr>
      <w:r/>
      <w:bookmarkStart w:id="16" w:name="_Toc211351947"/>
      <w:r>
        <w:t xml:space="preserve">Campo di applicazione del SGSSL</w:t>
      </w:r>
      <w:bookmarkEnd w:id="16"/>
      <w:r>
        <w:t xml:space="preserve"> </w:t>
      </w:r>
      <w:r/>
    </w:p>
    <w:p>
      <w:pPr>
        <w:pStyle w:val="1011"/>
        <w:pBdr/>
        <w:spacing/>
        <w:ind/>
        <w:rPr/>
      </w:pPr>
      <w:r>
        <w:t xml:space="preserve">Come già descritto nel Capitolo 1, il campo di applicazione del Sistema di Gestione SSL copre </w:t>
      </w:r>
      <w:r>
        <w:rPr>
          <w:b/>
          <w:bCs/>
        </w:rPr>
        <w:t xml:space="preserve">tutte le attività, processi, reparti e sedi</w:t>
      </w:r>
      <w:r>
        <w:t xml:space="preserve"> di </w:t>
      </w:r>
      <w:r>
        <w:t xml:space="preserve">Agrumigel</w:t>
      </w:r>
      <w:r>
        <w:t xml:space="preserve"> S.r.l. attinenti alla salute e sicurezza sul lavoro. In pratica, l’SGSSL interessa l’inte</w:t>
      </w:r>
      <w:r>
        <w:t xml:space="preserve">ro stabilimento produttivo di Barcellona Pozzo di Gotto e tutte le funzioni aziendali ivi operanti. Per chiarezza, si riassumono di seguito i principali processi compresi nel campo di applicazione (con riferimento alle “aree omogenee” individuate nel DVR):</w:t>
      </w:r>
      <w:r/>
    </w:p>
    <w:p>
      <w:pPr>
        <w:numPr>
          <w:ilvl w:val="0"/>
          <w:numId w:val="4"/>
        </w:numPr>
        <w:pBdr/>
        <w:spacing/>
        <w:ind/>
        <w:rPr/>
      </w:pPr>
      <w:r>
        <w:rPr>
          <w:b/>
          <w:bCs/>
        </w:rPr>
        <w:t xml:space="preserve">Produzione succhi ed essenze (Area 1)</w:t>
      </w:r>
      <w:r>
        <w:t xml:space="preserve">: include le fas</w:t>
      </w:r>
      <w:r>
        <w:t xml:space="preserve">i di scarico e accettazione della materia prima (ricezione agrumi e melagrane con mezzi pesanti e movimentazione in area scarico), il lavaggio dei frutti e la cernita/calibratura, l’estrazione del succo (spremitura) e contemporaneamente l’estrazione delle </w:t>
      </w:r>
      <w:r>
        <w:t xml:space="preserve">essenze dagli agrumi (ottenute come emulsione oleosa/acquosa dalle bucce durante la spremitura). Successivamente il succo viene eventualmente pastorizzato e raffreddato (per alcuni prodotti destinati al fresco), il succo grezzo viene separato dalla polpa (</w:t>
      </w:r>
      <w:r>
        <w:t xml:space="preserve">depolpazione</w:t>
      </w:r>
      <w:r>
        <w:t xml:space="preserve">) e il liquido viene inviato alla sezione di concentrazione opp</w:t>
      </w:r>
      <w:r>
        <w:t xml:space="preserve">ure allo stoccaggio refrigerato. Le essenze vengono recuperate dall’emulsione tramite centrifugazione (separazione olio/acqua). </w:t>
      </w:r>
      <w:r>
        <w:t xml:space="preserve">I prodotti finiti (suc</w:t>
      </w:r>
      <w:r>
        <w:t xml:space="preserve">chi pastorizzati, oli essenziali) vengono confezionati (in fusti, cisterne o altri contenitori) e spediti. Alcune linee di succo prevedono il congelamento e stoccaggio in celle frigorifere del succo non pastorizzato, destinato poi a lavorazioni successive.</w:t>
      </w:r>
      <w:r/>
    </w:p>
    <w:p>
      <w:pPr>
        <w:numPr>
          <w:ilvl w:val="0"/>
          <w:numId w:val="4"/>
        </w:numPr>
        <w:pBdr/>
        <w:spacing/>
        <w:ind/>
        <w:rPr>
          <w:highlight w:val="none"/>
        </w:rPr>
      </w:pPr>
      <w:r>
        <w:rPr>
          <w:b/>
          <w:bCs/>
        </w:rPr>
        <w:t xml:space="preserve">Produzione scorze essiccate (Area 2)</w:t>
      </w:r>
      <w:r>
        <w:t xml:space="preserve">:</w:t>
      </w:r>
      <w:r>
        <w:t xml:space="preserve"> riguarda il trattamento dei sottoprodotti solidi degli agrumi (bucce rimaste dopo l’estrazione del succo e dell’essenza). Le fasi comprendono: caricamento delle bucce in tramoggia e macinazione grossolana; lavaggio e torchiatura delle bucce (per estrarre </w:t>
      </w:r>
      <w:r>
        <w:t xml:space="preserve">ulteriore succo residuo e ridurre l’umidità); essiccazione in forni rotativi ad aria calda; raffreddamento del materiale essiccato; quindi insacco o stoccaggio in silos del prodotto (scorza secca destinata ad esempio alla produzione di pellet di agrumi per</w:t>
      </w:r>
      <w:r>
        <w:t xml:space="preserve"> alimentazione animale o per ulteriori estrazioni). Segue lo stoccaggio e la spedizione. Questa area ha impianti caratteristici quali forni alimentati a combustibile, sistemi di raccolta polveri (cicloni, filtri) e </w:t>
      </w:r>
      <w:r>
        <w:rPr>
          <w:highlight w:val="none"/>
        </w:rPr>
        <w:t xml:space="preserve">a</w:t>
      </w:r>
      <w:r>
        <w:rPr>
          <w:highlight w:val="none"/>
        </w:rPr>
        <w:t xml:space="preserve">ttrezzature di confezionamento dedicate.</w:t>
      </w:r>
      <w:r>
        <w:rPr>
          <w:highlight w:val="none"/>
        </w:rPr>
      </w:r>
      <w:r>
        <w:rPr>
          <w:highlight w:val="none"/>
        </w:rPr>
      </w:r>
    </w:p>
    <w:p>
      <w:pPr>
        <w:numPr>
          <w:ilvl w:val="0"/>
          <w:numId w:val="4"/>
        </w:numPr>
        <w:pBdr/>
        <w:spacing/>
        <w:ind/>
        <w:rPr>
          <w:highlight w:val="none"/>
        </w:rPr>
      </w:pPr>
      <w:r>
        <w:rPr>
          <w:highlight w:val="none"/>
        </w:rPr>
      </w:r>
      <w:r>
        <w:rPr>
          <w:b/>
          <w:bCs/>
          <w:highlight w:val="none"/>
        </w:rPr>
        <w:t xml:space="preserve">P</w:t>
      </w:r>
      <w:r>
        <w:rPr>
          <w:b/>
          <w:bCs/>
          <w:highlight w:val="none"/>
        </w:rPr>
        <w:t xml:space="preserve">ro</w:t>
      </w:r>
      <w:r>
        <w:rPr>
          <w:b/>
          <w:bCs/>
        </w:rPr>
        <w:t xml:space="preserve">duzione succhi concentrati (Area 3)</w:t>
      </w:r>
      <w:r>
        <w:t xml:space="preserve">: comprende le lavorazioni in cui il succo fresco viene concentrato tramite evaporazione sotto vuoto. Dopo la </w:t>
      </w:r>
      <w:r>
        <w:t xml:space="preserve">depolpazione</w:t>
      </w:r>
      <w:r>
        <w:t xml:space="preserve">, il succo viene inviato agli evaporatori per la </w:t>
      </w:r>
      <w:r>
        <w:rPr>
          <w:b/>
          <w:bCs/>
        </w:rPr>
        <w:t xml:space="preserve">concentrazione</w:t>
      </w:r>
      <w:r>
        <w:t xml:space="preserve">, dove avviene la rimozione di parte dell’acqua sotto vuoto spinto e con apporto di calore (fornito da vapore).</w:t>
      </w:r>
      <w:r>
        <w:rPr>
          <w:highlight w:val="none"/>
        </w:rPr>
        <w:t xml:space="preserve"> Il succo concentrato viene poi raffreddato e</w:t>
      </w:r>
      <w:r>
        <w:rPr>
          <w:highlight w:val="none"/>
        </w:rPr>
        <w:t xml:space="preserve"> avviato allo stoccaggio (in tank asettici) o direttamente al riempimento in fusti (o altri formati su richiesta del cliente). Il concentrato confezionato viene conservato a temperatura di congelamento (-18 </w:t>
      </w:r>
      <w:r>
        <w:rPr>
          <w:rFonts w:hint="default" w:ascii="Arial" w:hAnsi="Arial" w:eastAsia="Arial" w:cs="Arial"/>
          <w:highlight w:val="none"/>
        </w:rPr>
        <w:t xml:space="preserve">±</w:t>
      </w:r>
      <w:r>
        <w:rPr>
          <w:highlight w:val="none"/>
        </w:rPr>
        <w:t xml:space="preserve">2°C) o nel caso di confezionamento in regime asettico ad una temperatura</w:t>
      </w:r>
      <w:r>
        <w:rPr>
          <w:highlight w:val="none"/>
        </w:rPr>
        <w:t xml:space="preserve"> di refrigerazione (+8/+10°C),</w:t>
      </w:r>
      <w:r>
        <w:t xml:space="preserve"> mentre eventuale succo non concentrato può essere congelato in attesa della vendita.</w:t>
      </w:r>
      <w:r>
        <w:t xml:space="preserve"> Questa area utilizza impianti quali evaporatori multiplo effetto, pastorizzatori, serbatoi asettici e riempitrice automatica.</w:t>
      </w:r>
      <w:r>
        <w:rPr>
          <w:highlight w:val="none"/>
        </w:rPr>
      </w:r>
      <w:r>
        <w:rPr>
          <w:highlight w:val="none"/>
        </w:rPr>
      </w:r>
    </w:p>
    <w:p>
      <w:pPr>
        <w:numPr>
          <w:ilvl w:val="0"/>
          <w:numId w:val="4"/>
        </w:numPr>
        <w:pBdr/>
        <w:spacing/>
        <w:ind/>
        <w:rPr/>
      </w:pPr>
      <w:r>
        <w:rPr>
          <w:b/>
          <w:bCs/>
        </w:rPr>
        <w:t xml:space="preserve">Servizi tecnologici e generali (Area 4)</w:t>
      </w:r>
      <w:r>
        <w:t xml:space="preserve">: raggruppa tutti gli impianti e reparti di supporto alla produzione. Vi rientrano: l’impianto di trattamento delle acque di scarico (</w:t>
      </w:r>
      <w:r>
        <w:rPr>
          <w:b/>
          <w:bCs/>
        </w:rPr>
        <w:t xml:space="preserve">depuratore biologico</w:t>
      </w:r>
      <w:r>
        <w:t xml:space="preserve">), dotato di sezione di digestione anaerobica (biodigestore) per la frazione organica dei reflui con produzione di biogas; il sistema di </w:t>
      </w:r>
      <w:r>
        <w:rPr>
          <w:b/>
          <w:bCs/>
        </w:rPr>
        <w:t xml:space="preserve">cogenerazione</w:t>
      </w:r>
      <w:r>
        <w:t xml:space="preserve"> (motore o caldaia che utilizza combustibile – metano di rete e/o biogas – per generare energia elettrica e termica utile allo stabilimento); l’impianto </w:t>
      </w:r>
      <w:r>
        <w:rPr>
          <w:b/>
          <w:bCs/>
        </w:rPr>
        <w:t xml:space="preserve">frigorifero ad ammoniaca</w:t>
      </w:r>
      <w:r>
        <w:t xml:space="preserve"> per la p</w:t>
      </w:r>
      <w:r>
        <w:t xml:space="preserve">roduzione di freddo (celle frigo, scambiatori per il raffreddamento dei succhi); la centrale termica con caldaie (eventualmente alimentate a gas metano/biogas) per generare vapore tecnologico utilizzato nei processi di pastorizzazione e concentrazione; la </w:t>
      </w:r>
      <w:r>
        <w:rPr>
          <w:b/>
          <w:bCs/>
        </w:rPr>
        <w:t xml:space="preserve">cabina di decompressione del metano</w:t>
      </w:r>
      <w:r>
        <w:t xml:space="preserve"> (punto di consegna del gas naturale con riduzione di pressione e misurazione); il </w:t>
      </w:r>
      <w:r>
        <w:rPr>
          <w:b/>
          <w:bCs/>
        </w:rPr>
        <w:t xml:space="preserve">magazzino ricambi e officina manutenzione</w:t>
      </w:r>
      <w:r>
        <w:t xml:space="preserve"> meccanica, in cui si effettuano lavori di carpenteria, saldature, riparazioni sugli impianti; l’area di </w:t>
      </w:r>
      <w:r>
        <w:rPr>
          <w:b/>
          <w:bCs/>
          <w:highlight w:val="none"/>
        </w:rPr>
        <w:t xml:space="preserve">stoccaggio rifiuti</w:t>
      </w:r>
      <w:r>
        <w:rPr>
          <w:highlight w:val="none"/>
        </w:rPr>
        <w:t xml:space="preserve"> </w:t>
      </w:r>
      <w:r>
        <w:t xml:space="preserve">(dove vengono raccolti temporaneamente i rifiuti speciali prodotti</w:t>
      </w:r>
      <w:r>
        <w:t xml:space="preserve">, imballaggi usati, oli esausti, ecc., in attesa di smaltimento); il sistema di </w:t>
      </w:r>
      <w:r>
        <w:rPr>
          <w:b/>
          <w:bCs/>
        </w:rPr>
        <w:t xml:space="preserve">trattamento acqua</w:t>
      </w:r>
      <w:r>
        <w:t xml:space="preserve"> in entrata</w:t>
      </w:r>
      <w:r>
        <w:t xml:space="preserve"> (</w:t>
      </w:r>
      <w:r>
        <w:t xml:space="preserve">disinfezione dell’acqua di pozzo con successiva filtrazione e osmotizzazione, contestuale utilizzo di acqua di acquedotto</w:t>
      </w:r>
      <w:r>
        <w:t xml:space="preserve">)</w:t>
      </w:r>
      <w:r>
        <w:t xml:space="preserve">;</w:t>
      </w:r>
      <w:r>
        <w:t xml:space="preserve"> gli </w:t>
      </w:r>
      <w:r>
        <w:rPr>
          <w:b/>
          <w:bCs/>
        </w:rPr>
        <w:t xml:space="preserve">uffici amministrativi e commerciali</w:t>
      </w:r>
      <w:r>
        <w:t xml:space="preserve"> e il </w:t>
      </w:r>
      <w:r>
        <w:rPr>
          <w:b/>
          <w:bCs/>
        </w:rPr>
        <w:t xml:space="preserve">laboratorio di analisi qualità</w:t>
      </w:r>
      <w:r>
        <w:t xml:space="preserve"> (dove si effettuano controlli chimico-fisici e microbiologici sui prodotti). Fanno parte dei servizi anche gli impianti di utilità elettrica, come il </w:t>
      </w:r>
      <w:r>
        <w:rPr>
          <w:b/>
          <w:bCs/>
        </w:rPr>
        <w:t xml:space="preserve">parco fotovoltaico</w:t>
      </w:r>
      <w:r>
        <w:t xml:space="preserve"> sul tetto dello stabilimento, che fornisce energia rinnovabile all’impianto, e il quadro di distribuzione elettrica di stabilimento.</w:t>
      </w:r>
      <w:r/>
    </w:p>
    <w:p>
      <w:pPr>
        <w:pStyle w:val="1012"/>
        <w:pBdr/>
        <w:spacing/>
        <w:ind/>
        <w:rPr/>
      </w:pPr>
      <w:r>
        <w:t xml:space="preserve">In sintesi, il SGSSL copre ogni processo e area dall’ingresso delle materie prime fino all’uscita dei prodotti finiti e dei rifiuti, includendo la manutenzione degli impianti e le infrastrutture di servizio critiche per la sicurezza. Non vi sono e</w:t>
      </w:r>
      <w:r>
        <w:t xml:space="preserve">sclusioni geografiche né di attività: anche gli uffici e il laboratorio (dove i rischi sono minori ma presenti, es. utilizzo di attrezzature da ufficio, agenti chimici di laboratorio) rientrano nell’applicazione delle regole e delle procedure di sicurezza.</w:t>
      </w:r>
      <w:r/>
    </w:p>
    <w:p>
      <w:pPr>
        <w:pStyle w:val="1000"/>
        <w:pBdr/>
        <w:spacing/>
        <w:ind/>
        <w:rPr/>
      </w:pPr>
      <w:r/>
      <w:bookmarkStart w:id="17" w:name="_Toc211351948"/>
      <w:r>
        <w:t xml:space="preserve">Sistema di Gestione SSL e integrazione con altri sistemi</w:t>
      </w:r>
      <w:bookmarkEnd w:id="17"/>
      <w:r>
        <w:t xml:space="preserve"> </w:t>
      </w:r>
      <w:r/>
    </w:p>
    <w:p>
      <w:pPr>
        <w:pStyle w:val="1011"/>
        <w:pBdr/>
        <w:spacing/>
        <w:ind/>
        <w:rPr/>
      </w:pPr>
      <w:r>
        <w:t xml:space="preserve">Agrumigel</w:t>
      </w:r>
      <w:r>
        <w:t xml:space="preserve"> ha sviluppato un Sistema di Gestione SSL che si interfaccia e integra strettamente con il proprio sistema di gestione qualità/ambiente/sicurezza alimentare. La struttura documentale è</w:t>
      </w:r>
      <w:r>
        <w:t xml:space="preserve"> unificata ove possibile, per evitare duplicazioni e facilitare la consultazione da parte del personale. Ad esempio, esistono procedure comuni o integrate che coprono sia aspetti di qualità sia di sicurezza (come la procedura di gestione dei fornitori, che</w:t>
      </w:r>
      <w:r>
        <w:t xml:space="preserve"> considera requisiti qualitativi ma anche la verifica dei requisiti di sicurezza dei fornitori di servizi esterni; oppure le istruzioni operative di reparto, che includono sia i controlli di qualità sul prodotto sia le misure di sicurezza per l’operatore).</w:t>
      </w:r>
      <w:r/>
    </w:p>
    <w:p>
      <w:pPr>
        <w:pStyle w:val="1011"/>
        <w:pBdr/>
        <w:spacing/>
        <w:ind/>
        <w:rPr/>
      </w:pPr>
      <w:r>
        <w:t xml:space="preserve">A livello gerarchico, il </w:t>
      </w:r>
      <w:r>
        <w:rPr>
          <w:b/>
          <w:bCs/>
        </w:rPr>
        <w:t xml:space="preserve">Sistema di Gestione SSL</w:t>
      </w:r>
      <w:r>
        <w:t xml:space="preserve"> è articolato nei seguenti elementi documentali principali (gestiti secondo la procedura di controllo documenti aziendale):</w:t>
      </w:r>
      <w:r/>
    </w:p>
    <w:p>
      <w:pPr>
        <w:pStyle w:val="1013"/>
        <w:numPr>
          <w:ilvl w:val="0"/>
          <w:numId w:val="5"/>
        </w:numPr>
        <w:pBdr/>
        <w:spacing/>
        <w:ind/>
        <w:rPr/>
      </w:pPr>
      <w:r>
        <w:rPr>
          <w:b/>
          <w:bCs/>
        </w:rPr>
        <w:t xml:space="preserve">Politica aziendale</w:t>
      </w:r>
      <w:r>
        <w:t xml:space="preserve"> per qualità, sicurezza alimentare, ambiente e sicurezza sul lavoro, emanata dalla Direzione (la quale contiene gli impegni e gli obiettivi generali dell’azienda in tutte queste aree);</w:t>
      </w:r>
      <w:r/>
    </w:p>
    <w:p>
      <w:pPr>
        <w:pStyle w:val="1013"/>
        <w:numPr>
          <w:ilvl w:val="0"/>
          <w:numId w:val="5"/>
        </w:numPr>
        <w:pBdr/>
        <w:spacing/>
        <w:ind/>
        <w:rPr/>
      </w:pPr>
      <w:r>
        <w:rPr>
          <w:b/>
          <w:bCs/>
        </w:rPr>
        <w:t xml:space="preserve">Manuale di Gestione SSL</w:t>
      </w:r>
      <w:r>
        <w:t xml:space="preserve"> (il presente documento), che descrive l’organizzazione e le modalità di attuazione del sistema in conformità alla ISO 45001;</w:t>
      </w:r>
      <w:r/>
    </w:p>
    <w:p>
      <w:pPr>
        <w:pStyle w:val="1013"/>
        <w:numPr>
          <w:ilvl w:val="0"/>
          <w:numId w:val="5"/>
        </w:numPr>
        <w:pBdr/>
        <w:spacing/>
        <w:ind/>
        <w:rPr/>
      </w:pPr>
      <w:r>
        <w:rPr>
          <w:b/>
          <w:bCs/>
        </w:rPr>
        <w:t xml:space="preserve">Procedure gestionali e operative</w:t>
      </w:r>
      <w:r>
        <w:t xml:space="preserve"> che disciplinano specifici processi o requisiti (ad es. gestione della formazione, gestione DPI, gestione delle emergenze, procedura per la valutazione dei rischi e il mantenimento del DVR, procedura per la gestione di infortuni e non conformità, ecc.);</w:t>
      </w:r>
      <w:r/>
    </w:p>
    <w:p>
      <w:pPr>
        <w:pStyle w:val="1013"/>
        <w:numPr>
          <w:ilvl w:val="0"/>
          <w:numId w:val="5"/>
        </w:numPr>
        <w:pBdr/>
        <w:spacing/>
        <w:ind/>
        <w:rPr/>
      </w:pPr>
      <w:r>
        <w:rPr>
          <w:b/>
          <w:bCs/>
        </w:rPr>
        <w:t xml:space="preserve">Istruzioni operative</w:t>
      </w:r>
      <w:r>
        <w:t xml:space="preserve"> dettagliate per attività specifiche nei reparti (ad es. istruzione per la pulizia</w:t>
      </w:r>
      <w:r>
        <w:t xml:space="preserve"> in sicurezza dell’evaporatore, istruzione per la movimentazione sicura di carichi manuali, istruzione per l’uso in sicurezza del muletto, etc.), spesso integrate nelle procedure di processo o nel manuale HACCP quando attengono anche a igiene del prodotto;</w:t>
      </w:r>
      <w:r/>
    </w:p>
    <w:p>
      <w:pPr>
        <w:pStyle w:val="1013"/>
        <w:numPr>
          <w:ilvl w:val="0"/>
          <w:numId w:val="5"/>
        </w:numPr>
        <w:pBdr/>
        <w:spacing/>
        <w:ind/>
        <w:rPr/>
      </w:pPr>
      <w:r>
        <w:rPr>
          <w:b/>
          <w:bCs/>
        </w:rPr>
        <w:t xml:space="preserve">Modulistica e registrazioni</w:t>
      </w:r>
      <w:r>
        <w:t xml:space="preserve"> utilizzate per documentare le attività di SSL (checklist di ispezione, moduli di consegna DPI, verbali di riunioni sulla sicurezza, report di audit interni, registri di manutenzione, schede di formazione partecipanti, rapporti di incidente/</w:t>
      </w:r>
      <w:r>
        <w:t xml:space="preserve">near</w:t>
      </w:r>
      <w:r>
        <w:t xml:space="preserve">-miss, ecc.).</w:t>
      </w:r>
      <w:r/>
    </w:p>
    <w:p>
      <w:pPr>
        <w:pStyle w:val="1012"/>
        <w:pBdr/>
        <w:spacing/>
        <w:ind/>
        <w:rPr/>
      </w:pPr>
      <w:r>
        <w:t xml:space="preserve">Il sistema integrato prevede momenti di coordinamento: ad esempio, la </w:t>
      </w:r>
      <w:r>
        <w:rPr>
          <w:b/>
          <w:bCs/>
        </w:rPr>
        <w:t xml:space="preserve">riunione di riesame della Direzione</w:t>
      </w:r>
      <w:r>
        <w:t xml:space="preserve"> viene condotta in modo integrato affrontando sia le performance qualità/sicurezza alimentare sia quelle di sicurezza sul lavoro e ambiente, in modo che la Direzione possa avere una vi</w:t>
      </w:r>
      <w:r>
        <w:t xml:space="preserve">sione d’insieme e allineare le strategie (ad es. il riesame considera gli indicatori di processo per la sicurezza alimentare e al contempo quelli per la SSL, evidenziando sinergie o conflitti e pianificando azioni correttive globali). Allo stesso modo, il </w:t>
      </w:r>
      <w:r>
        <w:rPr>
          <w:b/>
          <w:bCs/>
        </w:rPr>
        <w:t xml:space="preserve">programma di audit interno</w:t>
      </w:r>
      <w:r>
        <w:t xml:space="preserve"> è spesso condotto in forma integrata (auditor qualificati valutano contestualmente più sistemi, con checklist che coprono requisiti ISO 9001, ISO 45001, ecc., ottimizzando il tempo e rafforzando l’idea che il sistema di gestione è unico).</w:t>
      </w:r>
      <w:r/>
    </w:p>
    <w:p>
      <w:pPr>
        <w:pStyle w:val="1011"/>
        <w:pBdr/>
        <w:spacing/>
        <w:ind/>
        <w:rPr/>
      </w:pPr>
      <w:r>
        <w:t xml:space="preserve">L’approccio integrato non toglie importanza specifica alla SSL – al contrario, ne favorisce l’inserimento nei processi quotidiani: i risulta</w:t>
      </w:r>
      <w:r>
        <w:t xml:space="preserve">ti della valutazione dei rischi SSL sono tenuti in conto quando si introducono modifiche di processo per motivi di qualità o efficienza, e viceversa. Ad esempio, se dal sistema HACCP emerge la necessità di introdurre un nuovo detergente per la sanificazion</w:t>
      </w:r>
      <w:r>
        <w:t xml:space="preserve">e, il sistema SSL provvede a valutarne i rischi chimici per i lavoratori prima dell’uso effettivo; oppure, se per motivi di sicurezza viene installata una protezione su una macchina, il sistema qualità verifica che ciò non pregiudichi la lavorabilità o la </w:t>
      </w:r>
      <w:r>
        <w:t xml:space="preserve">pulibilità</w:t>
      </w:r>
      <w:r>
        <w:t xml:space="preserve"> per l’igiene. Questo garantisce coerenza e nessun compromesso: sia la sicurezza alimentare che la sicurezza del lavoro vengono perseguite congiuntamente.</w:t>
      </w:r>
      <w:r/>
    </w:p>
    <w:p>
      <w:pPr>
        <w:pStyle w:val="1011"/>
        <w:pBdr/>
        <w:spacing/>
        <w:ind/>
        <w:rPr/>
      </w:pPr>
      <w:r>
        <w:t xml:space="preserve">Il SGSSL è dimensionato e calibrato sulla realtà di </w:t>
      </w:r>
      <w:r>
        <w:t xml:space="preserve">Agrumigel</w:t>
      </w:r>
      <w:r>
        <w:t xml:space="preserve">: la documentazione è snella e mirata all’efficacia più che alla forma, al fine di essere realmente applicata dal personale operativo. Il sistema è inoltre uno </w:t>
      </w:r>
      <w:r>
        <w:rPr>
          <w:b/>
          <w:bCs/>
        </w:rPr>
        <w:t xml:space="preserve">strumento dinamico</w:t>
      </w:r>
      <w:r>
        <w:t xml:space="preserve">: attraverso l’analisi del contesto e il coinvolgimento delle parti interessate (visti sopra), esso viene periodicamente aggiornato. </w:t>
      </w:r>
      <w:r>
        <w:t xml:space="preserve">Ogniqualvolta vi siano cambiamenti significativi (nuovi processi, variazioni normative, cambi organizzativi, incidenti rilevanti, ecc.), la Direzione assicura che il SGSSL venga riconsiderato e adeguato di consegu</w:t>
      </w:r>
      <w:r>
        <w:t xml:space="preserve">enza. In tal modo, il Sistema di Gestione SSL supporta attivamente l’azienda nel raggiungere i propri obiettivi di business in modo sostenibile, proteggendo la salute e la sicurezza delle persone e consolidando la fiducia di clienti, lavoratori e comunità.</w:t>
      </w:r>
      <w:r/>
    </w:p>
    <w:p>
      <w:pPr>
        <w:pStyle w:val="999"/>
        <w:pBdr/>
        <w:spacing/>
        <w:ind/>
        <w:rPr/>
      </w:pPr>
      <w:r/>
      <w:bookmarkStart w:id="18" w:name="X9ebbc9a380f6450831ef9707697755c6a4c3e27"/>
      <w:r/>
      <w:bookmarkStart w:id="19" w:name="_Toc211351949"/>
      <w:r/>
      <w:bookmarkEnd w:id="12"/>
      <w:r>
        <w:t xml:space="preserve">Leadership e Partecipazione dei Lavoratori</w:t>
      </w:r>
      <w:bookmarkEnd w:id="19"/>
      <w:r/>
      <w:r/>
    </w:p>
    <w:p>
      <w:pPr>
        <w:pStyle w:val="1000"/>
        <w:pBdr/>
        <w:spacing/>
        <w:ind/>
        <w:rPr/>
      </w:pPr>
      <w:r/>
      <w:bookmarkStart w:id="20" w:name="impegno-della-direzione"/>
      <w:r/>
      <w:bookmarkStart w:id="21" w:name="_Toc211351950"/>
      <w:r>
        <w:t xml:space="preserve">Impegno della Direzione</w:t>
      </w:r>
      <w:bookmarkEnd w:id="21"/>
      <w:r/>
      <w:r/>
    </w:p>
    <w:p>
      <w:pPr>
        <w:pStyle w:val="1012"/>
        <w:pBdr/>
        <w:spacing/>
        <w:ind/>
        <w:rPr/>
      </w:pPr>
      <w:r>
        <w:t xml:space="preserve">La Direzione di </w:t>
      </w:r>
      <w:r>
        <w:t xml:space="preserve">Agrumigel</w:t>
      </w:r>
      <w:r>
        <w:t xml:space="preserve"> S.r.l. assume un ruolo di guida fondamentale nell’attuazione e nel miglioramento del Sistema di Gestione SSL. L’Amministratore Unico, in qualità di Datore di Lavoro, ha formalmen</w:t>
      </w:r>
      <w:r>
        <w:t xml:space="preserve">te dichiarato il proprio impegno a fornire un ambiente di lavoro sicuro e salubre per tutti i lavoratori, nel rispetto delle leggi vigenti e in linea con i migliori standard applicabili. Questo impegno si concretizza nelle seguenti azioni e principi guida:</w:t>
      </w:r>
      <w:r/>
    </w:p>
    <w:p>
      <w:pPr>
        <w:numPr>
          <w:ilvl w:val="0"/>
          <w:numId w:val="6"/>
        </w:numPr>
        <w:pBdr/>
        <w:spacing/>
        <w:ind/>
        <w:rPr/>
      </w:pPr>
      <w:r>
        <w:rPr>
          <w:b/>
          <w:bCs/>
        </w:rPr>
        <w:t xml:space="preserve">Priorità alla salute e sicurezza</w:t>
      </w:r>
      <w:r>
        <w:t xml:space="preserve">: la sicurezza dei lavoratori viene considerata prioritaria rispetto alle esigenze produttive. La Direzione promuove attivamente la mentalità secondo cui ne</w:t>
      </w:r>
      <w:r>
        <w:t xml:space="preserve">ssun obiettivo di produzione o commerciale può giustificare il sacrificio della sicurezza. In caso di situazione di rischio, i lavoratori sono incoraggiati a sospendere l’attività e segnalare il problema, sapendo di avere il pieno supporto della Direzione.</w:t>
      </w:r>
      <w:r/>
    </w:p>
    <w:p>
      <w:pPr>
        <w:numPr>
          <w:ilvl w:val="0"/>
          <w:numId w:val="6"/>
        </w:numPr>
        <w:pBdr/>
        <w:spacing/>
        <w:ind/>
        <w:rPr/>
      </w:pPr>
      <w:r>
        <w:rPr>
          <w:b/>
          <w:bCs/>
        </w:rPr>
        <w:t xml:space="preserve">Conformità legale e normativa</w:t>
      </w:r>
      <w:r>
        <w:t xml:space="preserve">: la Direzione garantisce che l’azienda rispetti in modo puntuale e r</w:t>
      </w:r>
      <w:r>
        <w:t xml:space="preserve">igoroso tutte le prescrizioni di legge in materia di SSL e gli altri requisiti sottoscritti. Questo include, ad esempio, l’adempimento agli obblighi formativi, sanitari, tecnico-strutturali (manutenzioni, verifiche periodiche) e organizzativi previsti dal </w:t>
      </w:r>
      <w:r>
        <w:t xml:space="preserve">D.Lgs.</w:t>
      </w:r>
      <w:r>
        <w:t xml:space="preserve"> 81/08. In caso di ispezioni o </w:t>
      </w:r>
      <w:r>
        <w:t xml:space="preserve">osservazioni da parte delle autorità, la Direzione assicura tempestività e completezza nelle azioni correttive. L’impegno al rispetto delle normative sulla sicurezza dei lavoratori è espresso chiaramente anche nei documenti di Politica aziendale integrata.</w:t>
      </w:r>
      <w:r/>
    </w:p>
    <w:p>
      <w:pPr>
        <w:numPr>
          <w:ilvl w:val="0"/>
          <w:numId w:val="6"/>
        </w:numPr>
        <w:pBdr/>
        <w:spacing/>
        <w:ind/>
        <w:rPr/>
      </w:pPr>
      <w:r>
        <w:rPr>
          <w:b/>
          <w:bCs/>
        </w:rPr>
        <w:t xml:space="preserve">Risorse e mezzi</w:t>
      </w:r>
      <w:r>
        <w:t xml:space="preserve">: il management aziendale mette a disposizione risorse adeguate (umane, tecniche, economiche) per implementare le misure di prevenzione e protezione necessarie. Nel budget annuale aziendale vengono allocate somme per gli investimenti in sicurezza (ad es.</w:t>
      </w:r>
      <w:r>
        <w:t xml:space="preserve"> miglioramento macchinari, acquisto DPI di qualità, implementazione di dispositivi di sicurezza, formazione continua). La Direzione verifica regolarmente che tali risorse siano effettivamente fruite e che eventuali necessità aggiuntive vengano soddisfatte.</w:t>
      </w:r>
      <w:r/>
    </w:p>
    <w:p>
      <w:pPr>
        <w:numPr>
          <w:ilvl w:val="0"/>
          <w:numId w:val="6"/>
        </w:numPr>
        <w:pBdr/>
        <w:spacing/>
        <w:ind/>
        <w:rPr/>
      </w:pPr>
      <w:r>
        <w:rPr>
          <w:b/>
          <w:bCs/>
        </w:rPr>
        <w:t xml:space="preserve">Esempio e coinvolgimento diretto</w:t>
      </w:r>
      <w:r>
        <w:t xml:space="preserve">: i membri della Direzione e i responsabili di funzio</w:t>
      </w:r>
      <w:r>
        <w:t xml:space="preserve">ne danno il buon esempio rispettando essi stessi in prima persona le norme di sicurezza (uso dei DPI in stabilimento, rispetto delle procedure) e partecipando attivamente alle iniziative di SSL (audit interni, riunioni periodiche, corsi formativi). Questo </w:t>
      </w:r>
      <w:r>
        <w:t xml:space="preserve">comportamento esemplare è fondamentale per instaurare fiducia e far comprendere a tutto il personale che la sicurezza è valore aziendale autentico, sostenuto “dall’alto”.</w:t>
      </w:r>
      <w:r/>
    </w:p>
    <w:p>
      <w:pPr>
        <w:numPr>
          <w:ilvl w:val="0"/>
          <w:numId w:val="6"/>
        </w:numPr>
        <w:pBdr/>
        <w:spacing/>
        <w:ind/>
        <w:rPr/>
      </w:pPr>
      <w:r>
        <w:rPr>
          <w:b/>
          <w:bCs/>
        </w:rPr>
        <w:t xml:space="preserve">Politica e obiettivi chiari</w:t>
      </w:r>
      <w:r>
        <w:t xml:space="preserve">: la Direzione ha approvato la Politica per la SSL (vedi sezione successiva) e stabilis</w:t>
      </w:r>
      <w:r>
        <w:t xml:space="preserve">ce obiettivi di miglioramento misurabili in ambito sicurezza. Tali obiettivi – ad esempio ridurre gli infortuni, aumentare le segnalazioni di quasi-incidenti, migliorare alcuni indicatori – sono allineati con gli obiettivi strategici generali dell’azienda </w:t>
      </w:r>
      <w:r>
        <w:t xml:space="preserve">e vengono comunicati a tutti i livelli. La Direzione monitora regolarmente i progressi verso questi obiettivi (tramite report periodici del RSPP e del Team Qualità) e discute gli esiti nel Riesame di Direzione, identificando ulteriori azioni se necessario.</w:t>
      </w:r>
      <w:r/>
    </w:p>
    <w:p>
      <w:pPr>
        <w:numPr>
          <w:ilvl w:val="0"/>
          <w:numId w:val="6"/>
        </w:numPr>
        <w:pBdr/>
        <w:spacing/>
        <w:ind/>
        <w:rPr/>
      </w:pPr>
      <w:r>
        <w:rPr>
          <w:b/>
          <w:bCs/>
        </w:rPr>
        <w:t xml:space="preserve">Miglioramento continuo e cultura della sicurezza</w:t>
      </w:r>
      <w:r>
        <w:t xml:space="preserve">: la Direzione incoraggia ogni stimolo migliorativo proveniente sia dall’esterno (clienti, enti di controllo) sia dall’i</w:t>
      </w:r>
      <w:r>
        <w:t xml:space="preserve">nterno (dipendenti e collaboratori). Viene promosso un approccio di ascolto attivo: ad esempio, c’è apertura verso suggerimenti dei lavoratori per rendere più sicuro un processo, o verso nuove tecnologie più sicure proposte dai fornitori. Ogni incidente o </w:t>
      </w:r>
      <w:r>
        <w:t xml:space="preserve">near</w:t>
      </w:r>
      <w:r>
        <w:t xml:space="preserve">-miss viene visto come opportunità di apprendimento e non per cercare colpe, in modo da rafforzare una cultura non punitiva ma orientata alla risoluzione dei problemi.</w:t>
      </w:r>
      <w:r/>
    </w:p>
    <w:p>
      <w:pPr>
        <w:pStyle w:val="1012"/>
        <w:pBdr/>
        <w:spacing/>
        <w:ind/>
        <w:rPr/>
      </w:pPr>
      <w:r>
        <w:t xml:space="preserve">In conclusione, l’alta Direzione fornisce leadership visibile e impegno concreto nella ge</w:t>
      </w:r>
      <w:r>
        <w:t xml:space="preserve">stione della sicurezza. Ciò crea le condizioni affinché tutto il sistema funzioni efficacemente: i lavoratori percepiscono la serietà dell’azienda sul tema e sono motivati a collaborare, i responsabili intermedi sanno di avere sostegno nelle iniziative di </w:t>
      </w:r>
      <w:r>
        <w:t xml:space="preserve">sicurezza, e le parti esterne riconoscono la credibilità dell’azienda nei comportamenti tenuti. Questo impegno è formalizzato e comunicato attraverso la Politica SSL e risulta evidente nei fatti, ovvero nelle risorse investite e nelle decisioni quotidiane.</w:t>
      </w:r>
      <w:r/>
    </w:p>
    <w:p>
      <w:pPr>
        <w:pStyle w:val="1000"/>
        <w:pBdr/>
        <w:spacing/>
        <w:ind/>
        <w:rPr/>
      </w:pPr>
      <w:r/>
      <w:bookmarkStart w:id="22" w:name="X56ffdd2cea04ad7f722cd035075da369bab3812"/>
      <w:r/>
      <w:bookmarkStart w:id="23" w:name="_Toc211351951"/>
      <w:r/>
      <w:bookmarkEnd w:id="20"/>
      <w:r>
        <w:t xml:space="preserve">Politica per la Salute e Sicurezza sul Lavoro (SSL)</w:t>
      </w:r>
      <w:bookmarkEnd w:id="23"/>
      <w:r/>
      <w:r/>
    </w:p>
    <w:p>
      <w:pPr>
        <w:pStyle w:val="1012"/>
        <w:pBdr/>
        <w:spacing/>
        <w:ind/>
        <w:rPr/>
      </w:pPr>
      <w:r>
        <w:t xml:space="preserve">Di seguito si riporta la </w:t>
      </w:r>
      <w:r>
        <w:rPr>
          <w:b/>
          <w:bCs/>
        </w:rPr>
        <w:t xml:space="preserve">Politica SSL</w:t>
      </w:r>
      <w:r>
        <w:t xml:space="preserve"> ufficiale di </w:t>
      </w:r>
      <w:r>
        <w:t xml:space="preserve">Agrumigel</w:t>
      </w:r>
      <w:r>
        <w:t xml:space="preserve"> S.r.l., emanata dalla Direzione. Essa esprime i principi e gli </w:t>
      </w:r>
      <w:r>
        <w:t xml:space="preserve">impegni dell’azienda nei confronti della tutela della salute e sicurezza dei lavoratori. La Politica è diffusa a tutto il personale, affissa in bacheca e disponibile per gli stakeholder; viene rivista periodicamente per assicurarne la continua adeguatezza.</w:t>
      </w:r>
      <w:r/>
    </w:p>
    <w:p>
      <w:pPr>
        <w:pStyle w:val="1011"/>
        <w:pBdr/>
        <w:spacing/>
        <w:ind/>
        <w:rPr/>
      </w:pPr>
      <w:r>
        <w:rPr>
          <w:i/>
          <w:iCs/>
        </w:rPr>
        <w:t xml:space="preserve">Politica Aziendale per la Salute e Sicurezza sul Lavoro</w:t>
      </w:r>
      <w:r/>
    </w:p>
    <w:p>
      <w:pPr>
        <w:pStyle w:val="1011"/>
        <w:pBdr/>
        <w:spacing/>
        <w:ind/>
        <w:rPr/>
      </w:pPr>
      <w:r>
        <w:rPr>
          <w:b/>
          <w:bCs/>
        </w:rPr>
        <w:t xml:space="preserve">Agrumigel</w:t>
      </w:r>
      <w:r>
        <w:rPr>
          <w:b/>
          <w:bCs/>
        </w:rPr>
        <w:t xml:space="preserve"> S.r.l.</w:t>
      </w:r>
      <w:r>
        <w:t xml:space="preserve"> riconosce che i propri lavoratori e collaboratori rappresentano il patrimonio più importante d</w:t>
      </w:r>
      <w:r>
        <w:t xml:space="preserve">ell’organizzazione. Garantire la loro salute e sicurezza sul lavoro è un dovere morale primario, oltre che un fattore essenziale per il successo e la sostenibilità dell’azienda. A tal fine, la Direzione Aziendale si impegna sui seguenti punti fondamentali:</w:t>
      </w:r>
      <w:r/>
    </w:p>
    <w:p>
      <w:pPr>
        <w:numPr>
          <w:ilvl w:val="0"/>
          <w:numId w:val="7"/>
        </w:numPr>
        <w:pBdr/>
        <w:spacing/>
        <w:ind/>
        <w:rPr/>
      </w:pPr>
      <w:r>
        <w:rPr>
          <w:b/>
          <w:bCs/>
        </w:rPr>
        <w:t xml:space="preserve">Conformità legislativa e miglioramento continuo</w:t>
      </w:r>
      <w:r>
        <w:t xml:space="preserve">: Rispettare rigorosamente tutte le leggi e i regolamenti applicabili in materia di salute e sicurezza nei luoghi di lavoro, nonché altri requisiti sottoscritti dall’azienda (es. standard volontari, richieste dei clienti). Oltre alla semplice conformità, </w:t>
      </w:r>
      <w:r>
        <w:t xml:space="preserve">Agrumigel</w:t>
      </w:r>
      <w:r>
        <w:t xml:space="preserve"> persegue il miglioramento continuo delle </w:t>
      </w:r>
      <w:r>
        <w:t xml:space="preserve">proprie prestazioni di SSL, attraverso obiettivi sfidanti, audit periodici, riesami e adozione delle migliori pratiche disponibili. L’azienda intende mantenere e migliorare nel tempo un sistema di gestione conforme alla norma UNI ISO 45001:2023.</w:t>
      </w:r>
      <w:r/>
    </w:p>
    <w:p>
      <w:pPr>
        <w:numPr>
          <w:ilvl w:val="0"/>
          <w:numId w:val="7"/>
        </w:numPr>
        <w:pBdr/>
        <w:spacing/>
        <w:ind/>
        <w:rPr/>
      </w:pPr>
      <w:r>
        <w:rPr>
          <w:b/>
          <w:bCs/>
        </w:rPr>
        <w:t xml:space="preserve">Eliminazione dei pericoli e riduzione dei rischi</w:t>
      </w:r>
      <w:r>
        <w:t xml:space="preserve">: Identificare sistematicamente i pericoli presenti nelle attività lavorative e valutare i relativi rischi per la sicurezza e la salute. Dare priorità alle misure di </w:t>
      </w:r>
      <w:r>
        <w:rPr>
          <w:b/>
          <w:bCs/>
        </w:rPr>
        <w:t xml:space="preserve">eliminazione dei pericoli</w:t>
      </w:r>
      <w:r>
        <w:t xml:space="preserve"> alla fonte ogniqualvolta possibile e, quando ciò non sia attuabile, attuare misure di </w:t>
      </w:r>
      <w:r>
        <w:rPr>
          <w:b/>
          <w:bCs/>
        </w:rPr>
        <w:t xml:space="preserve">prevenzione e protezione</w:t>
      </w:r>
      <w:r>
        <w:t xml:space="preserve"> adeguate per ridurre i rischi al livello più basso ragionevolmente praticabile. Applicare il principio gerarchico delle misure di controllo: prima interventi tecnici (sostituzione di sos</w:t>
      </w:r>
      <w:r>
        <w:t xml:space="preserve">tanze/attrezzature pericolose, miglioramenti impiantistici, automazioni), poi organizzativi (procedure di lavoro sicuro, rotazione compiti, limitazione delle esposizioni) ed infine, come ultima barriera, i dispositivi di protezione individuale appropriati.</w:t>
      </w:r>
      <w:r/>
    </w:p>
    <w:p>
      <w:pPr>
        <w:numPr>
          <w:ilvl w:val="0"/>
          <w:numId w:val="7"/>
        </w:numPr>
        <w:pBdr/>
        <w:spacing/>
        <w:ind/>
        <w:rPr/>
      </w:pPr>
      <w:r>
        <w:rPr>
          <w:b/>
          <w:bCs/>
        </w:rPr>
        <w:t xml:space="preserve">Obiettivo “zero infortuni” e tutela della salute</w:t>
      </w:r>
      <w:r>
        <w:t xml:space="preserve">: Perseguire con determinazione l’obiettivo di azzerare gli infortuni e le malattie p</w:t>
      </w:r>
      <w:r>
        <w:t xml:space="preserve">rofessionali tra il personale. Anche un singolo incidente è considerato inaccettabile e si farà tutto il necessario per prevenirne il verificarsi. In parallelo, l’azienda si impegna a promuovere la salute dei lavoratori in senso ampio, implementando progra</w:t>
      </w:r>
      <w:r>
        <w:t xml:space="preserve">mmi di sorveglianza sanitaria efficaci, misure ergonomiche per prevenire disturbi muscolo-scheletrici, iniziative di promozione del benessere psicofisico sul luogo di lavoro e monitoraggi periodici degli agenti di rischio (rumore, sostanze chimiche, ecc.).</w:t>
      </w:r>
      <w:r/>
    </w:p>
    <w:p>
      <w:pPr>
        <w:numPr>
          <w:ilvl w:val="0"/>
          <w:numId w:val="7"/>
        </w:numPr>
        <w:pBdr/>
        <w:spacing/>
        <w:ind/>
        <w:rPr/>
      </w:pPr>
      <w:r>
        <w:rPr>
          <w:b/>
          <w:bCs/>
        </w:rPr>
        <w:t xml:space="preserve">Formazione, consapevolezza e cultura della sicurezza</w:t>
      </w:r>
      <w:r>
        <w:t xml:space="preserve">: Diffondere</w:t>
      </w:r>
      <w:r>
        <w:t xml:space="preserve">, a tutti i livelli aziendali, la consapevolezza dell’importanza della sicurezza sul lavoro. Ogni lavoratore riceve informazione, formazione e addestramento adeguati e aggiornati in materia di SSL, proporzionati ai rischi specifici delle proprie mansioni. </w:t>
      </w:r>
      <w:r>
        <w:t xml:space="preserve">Agrumigel</w:t>
      </w:r>
      <w:r>
        <w:t xml:space="preserve"> si impegna a sviluppare una forte </w:t>
      </w:r>
      <w:r>
        <w:rPr>
          <w:b/>
          <w:bCs/>
        </w:rPr>
        <w:t xml:space="preserve">cultura della sicurezza</w:t>
      </w:r>
      <w:r>
        <w:t xml:space="preserve"> dove ogni dipendente, dal nuovo assunto alla figura dirigente, comprenda i propri compiti in materia di prevenzione e si senta parte attiva nel mantener</w:t>
      </w:r>
      <w:r>
        <w:t xml:space="preserve">e un ambiente sicuro. La Politica SSL e le procedure aziendali vengono comunicate in modo chiaro e rese facilmente accessibili; vengono inoltre organizzate periodiche campagne di sensibilizzazione e simulazioni di emergenza per mantenere alta l’attenzione.</w:t>
      </w:r>
      <w:r/>
    </w:p>
    <w:p>
      <w:pPr>
        <w:numPr>
          <w:ilvl w:val="0"/>
          <w:numId w:val="7"/>
        </w:numPr>
        <w:pBdr/>
        <w:spacing/>
        <w:ind/>
        <w:rPr/>
      </w:pPr>
      <w:r>
        <w:rPr>
          <w:b/>
          <w:bCs/>
        </w:rPr>
        <w:t xml:space="preserve">Consultazione e partecipazione dei lavoratori</w:t>
      </w:r>
      <w:r>
        <w:t xml:space="preserve">: Garantire opportunità effettive di consultazione e coinvolgimento per i lavoratori e i loro rappresentanti (RLS) in tema di</w:t>
      </w:r>
      <w:r>
        <w:t xml:space="preserve"> SSL. Prima di introdurre cambiamenti che possano influire sulla sicurezza (nuovi impianti, nuove sostanze, modifiche organizzative), la Direzione si consulta con le parti interessate interne per coglierne suggerimenti e valutazioni. Viene incoraggiata la </w:t>
      </w:r>
      <w:r>
        <w:rPr>
          <w:b/>
          <w:bCs/>
        </w:rPr>
        <w:t xml:space="preserve">segnalazione spontanea</w:t>
      </w:r>
      <w:r>
        <w:t xml:space="preserve"> da parte dei lavoratori di condizioni pericolose, quasi-incidenti e proposte di miglioramento, senza alcun timore di subire conseguenze negative (principio di “no </w:t>
      </w:r>
      <w:r>
        <w:t xml:space="preserve">blame</w:t>
      </w:r>
      <w:r>
        <w:t xml:space="preserve"> culture”). La Direzione si impegna a prendere in debita considerazione tutti i contributi ricevuti, in uno spirito di collaborazione e fiducia reciproca.</w:t>
      </w:r>
      <w:r/>
    </w:p>
    <w:p>
      <w:pPr>
        <w:numPr>
          <w:ilvl w:val="0"/>
          <w:numId w:val="7"/>
        </w:numPr>
        <w:pBdr/>
        <w:spacing/>
        <w:ind/>
        <w:rPr/>
      </w:pPr>
      <w:r>
        <w:rPr>
          <w:b/>
          <w:bCs/>
        </w:rPr>
        <w:t xml:space="preserve">Responsabilità e leadership</w:t>
      </w:r>
      <w:r>
        <w:t xml:space="preserve">: Tutti i livelli dell’organizzazione, dalla Direzione ai prepost</w:t>
      </w:r>
      <w:r>
        <w:t xml:space="preserve">i, fino ai singoli lavoratori, hanno specifiche responsabilità in materia di SSL. La Direzione assume la leadership nel promuovere i valori di salute e sicurezza, e delega compiti e autorità in modo chiaro a personale competente (RSPP, dirigenti, preposti,</w:t>
      </w:r>
      <w:r>
        <w:t xml:space="preserve"> addetti alle emergenze) perché il sistema di prevenzione sia efficace. Ciascun lavoratore, dal canto suo, è chiamato ad operare in sicurezza e a prendersi cura non solo di sé stesso ma anche dei colleghi, secondo quanto stabilito dall’art.20 D.Lgs.81/08. </w:t>
      </w:r>
      <w:r>
        <w:t xml:space="preserve">Agrumigel</w:t>
      </w:r>
      <w:r>
        <w:t xml:space="preserve"> chiede a tutti i suoi collaboratori, fornitori e visitatori di rispettare le norme di sicurezza in vigore nello stabilimento, integrando così gli sforzi per un ambiente sicuro a 360 gradi.</w:t>
      </w:r>
      <w:r/>
    </w:p>
    <w:p>
      <w:pPr>
        <w:numPr>
          <w:ilvl w:val="0"/>
          <w:numId w:val="7"/>
        </w:numPr>
        <w:pBdr/>
        <w:spacing/>
        <w:ind/>
        <w:rPr/>
      </w:pPr>
      <w:r>
        <w:rPr>
          <w:b/>
          <w:bCs/>
        </w:rPr>
        <w:t xml:space="preserve">Tutela dell’ambiente e approccio integrato</w:t>
      </w:r>
      <w:r>
        <w:t xml:space="preserve">: Pur essendo focalizzata sulla sicurezza sul lavoro, la presente Politica si inseri</w:t>
      </w:r>
      <w:r>
        <w:t xml:space="preserve">sce in un quadro più ampio di sostenibilità. L’azienda persegue obiettivi di tutela ambientale (riduzione rifiuti, uso energie rinnovabili) che spesso si coniugano con migliori condizioni di sicurezza per i lavoratori. Ad esempio, l’uso del fotovoltaico ri</w:t>
      </w:r>
      <w:r>
        <w:t xml:space="preserve">duce la dipendenza da generatori diesel rumorosi/inquinanti; la corretta gestione dei rifiuti mantiene puliti gli ambienti di lavoro; la riduzione degli sprechi e il miglioramento dell’ordine e pulizia (principi di “5S”) creano posti di lavoro più sicuri. </w:t>
      </w:r>
      <w:r>
        <w:t xml:space="preserve">Agrumigel</w:t>
      </w:r>
      <w:r>
        <w:t xml:space="preserve"> adotta quindi un approccio integrato Qualità-Sicurezza-Ambiente per massimizzare le sinergie positive e assicurare la coerenza tra gli impegni presi in queste aree.</w:t>
      </w:r>
      <w:r/>
    </w:p>
    <w:p>
      <w:pPr>
        <w:pStyle w:val="1012"/>
        <w:pBdr/>
        <w:spacing/>
        <w:ind/>
        <w:rPr/>
      </w:pPr>
      <w:r>
        <w:t xml:space="preserve">Questa Politica per la Salute e Sicurezza sul Lavoro è comunicata a tutto il personale </w:t>
      </w:r>
      <w:r>
        <w:t xml:space="preserve">Agrumigel</w:t>
      </w:r>
      <w:r>
        <w:t xml:space="preserve"> e resa disponibile alle parti interessate. Essa funge da riferimento per fissare e riesaminare gli </w:t>
      </w:r>
      <w:r>
        <w:rPr>
          <w:b/>
          <w:bCs/>
        </w:rPr>
        <w:t xml:space="preserve">obiettivi di miglioramento</w:t>
      </w:r>
      <w:r>
        <w:t xml:space="preserve"> in materia di SSL. La Direzione riesamina periodicamente la presente Politica per accertarne l’attualità ed efficacia, impegnandosi ad a</w:t>
      </w:r>
      <w:r>
        <w:t xml:space="preserve">ggiornarla in caso di cambiamenti significativi o nuove sfide. Ogni dipendente dell’azienda è chiamato a sostenere attivamente i principi qui esposti, affinché la sicurezza sul lavoro diventi parte integrante della cultura e dell’operatività quotidiana di </w:t>
      </w:r>
      <w:r>
        <w:t xml:space="preserve">Agrumigel</w:t>
      </w:r>
      <w:r>
        <w:t xml:space="preserve"> S.r.l.</w:t>
      </w:r>
      <w:r/>
    </w:p>
    <w:p>
      <w:pPr>
        <w:pStyle w:val="1011"/>
        <w:pBdr/>
        <w:spacing/>
        <w:ind/>
        <w:rPr/>
      </w:pPr>
      <w:r>
        <w:rPr>
          <w:i/>
          <w:iCs/>
        </w:rPr>
        <w:t xml:space="preserve">Barcellona P.G., [data]</w:t>
      </w:r>
      <w:r>
        <w:br/>
      </w:r>
      <w:r>
        <w:rPr>
          <w:i/>
          <w:iCs/>
        </w:rPr>
        <w:t xml:space="preserve">La Direzione </w:t>
      </w:r>
      <w:r>
        <w:rPr>
          <w:i/>
          <w:iCs/>
        </w:rPr>
        <w:t xml:space="preserve">Agrumigel</w:t>
      </w:r>
      <w:r>
        <w:rPr>
          <w:i/>
          <w:iCs/>
        </w:rPr>
        <w:t xml:space="preserve"> S.r.l.</w:t>
      </w:r>
      <w:r/>
    </w:p>
    <w:p>
      <w:pPr>
        <w:pStyle w:val="1011"/>
        <w:pBdr/>
        <w:spacing/>
        <w:ind/>
        <w:rPr/>
      </w:pPr>
      <w:r>
        <w:rPr>
          <w:i/>
          <w:iCs/>
        </w:rPr>
        <w:t xml:space="preserve">(Firma)</w:t>
      </w:r>
      <w:r/>
    </w:p>
    <w:p>
      <w:pPr>
        <w:pStyle w:val="1011"/>
        <w:pBdr/>
        <w:spacing/>
        <w:ind/>
        <w:rPr/>
      </w:pPr>
      <w:r>
        <w:rPr>
          <w:i/>
          <w:iCs/>
        </w:rPr>
        <w:t xml:space="preserve">(Questo documento è firmato in originale dall’Amministratore Unico ed è affisso in bacheca aziendale.)</w:t>
      </w:r>
      <w:r/>
    </w:p>
    <w:p>
      <w:pPr>
        <w:pStyle w:val="1000"/>
        <w:pBdr/>
        <w:spacing/>
        <w:ind/>
        <w:rPr/>
      </w:pPr>
      <w:r/>
      <w:bookmarkStart w:id="24" w:name="X329059f87ec68065f85270c490848318d894087"/>
      <w:r/>
      <w:bookmarkStart w:id="25" w:name="_Toc211351952"/>
      <w:r/>
      <w:bookmarkEnd w:id="22"/>
      <w:r>
        <w:t xml:space="preserve">Ruoli, responsabilità e autorità in materia di SSL</w:t>
      </w:r>
      <w:bookmarkEnd w:id="25"/>
      <w:r/>
      <w:r/>
    </w:p>
    <w:p>
      <w:pPr>
        <w:pStyle w:val="1012"/>
        <w:pBdr/>
        <w:spacing/>
        <w:ind/>
        <w:rPr/>
      </w:pPr>
      <w:r>
        <w:t xml:space="preserve">Un efficace Sistema di Gestione SSL richiede che siano chiaramente definiti i </w:t>
      </w:r>
      <w:r>
        <w:rPr>
          <w:b/>
          <w:bCs/>
        </w:rPr>
        <w:t xml:space="preserve">ruoli</w:t>
      </w:r>
      <w:r>
        <w:t xml:space="preserve"> e le </w:t>
      </w:r>
      <w:r>
        <w:rPr>
          <w:b/>
          <w:bCs/>
        </w:rPr>
        <w:t xml:space="preserve">responsabilità</w:t>
      </w:r>
      <w:r>
        <w:t xml:space="preserve"> delle varie figure aziendali in relazione alla salute e sicurezza. In </w:t>
      </w:r>
      <w:r>
        <w:t xml:space="preserve">Agrumigel</w:t>
      </w:r>
      <w:r>
        <w:t xml:space="preserve">, tali ruoli sono stati identificati e formalizzati, sia nell’organigramma funzionale aziendale sia in specifici mansionari e lettere di nomina. Di seguito si descrivono le principali figure coinvolte e i relativi compiti/autorità:</w:t>
      </w:r>
      <w:r/>
    </w:p>
    <w:p>
      <w:pPr>
        <w:numPr>
          <w:ilvl w:val="0"/>
          <w:numId w:val="8"/>
        </w:numPr>
        <w:pBdr/>
        <w:spacing/>
        <w:ind/>
        <w:rPr/>
      </w:pPr>
      <w:r>
        <w:rPr>
          <w:b/>
          <w:bCs/>
        </w:rPr>
        <w:t xml:space="preserve">Datore di Lavoro (</w:t>
      </w:r>
      <w:r>
        <w:rPr>
          <w:b/>
          <w:bCs/>
        </w:rPr>
        <w:t xml:space="preserve">DdL</w:t>
      </w:r>
      <w:r>
        <w:rPr>
          <w:b/>
          <w:bCs/>
        </w:rPr>
        <w:t xml:space="preserve">)</w:t>
      </w:r>
      <w:r>
        <w:t xml:space="preserve"> – Coincide con l’Amministratore Unico della società. È la figura a</w:t>
      </w:r>
      <w:r>
        <w:t xml:space="preserve">picale che ha la responsabilità ultima della sicurezza in azienda, ai sensi di legge. In particolare, il Datore di Lavoro: definisce la politica SSL e approva gli obiettivi; nomina per iscritto le figure chiave del Servizio di Prevenzione e Protezione (RSP</w:t>
      </w:r>
      <w:r>
        <w:t xml:space="preserve">P, eventuali ASPP) e il Medico Competente; provvede alla nomina degli Addetti alle emergenze (antincendio e primo soccorso); assicura le risorse necessarie all’attuazione delle misure di sicurezza; firma il Documento di Valutazione dei Rischi e ne approva </w:t>
      </w:r>
      <w:r>
        <w:t xml:space="preserve">gli aggiornamenti; adotta le misure di prevenzione necessarie e vigila sulla loro attuazione attraverso i dirigenti e preposti; in caso di non conformità gravi o infortuni, si attiva affinché siano prese azioni correttive immediate. Il Datore di Lavoro di </w:t>
      </w:r>
      <w:r>
        <w:t xml:space="preserve">Agrumigel</w:t>
      </w:r>
      <w:r>
        <w:t xml:space="preserve"> mantiene inoltre rapporti diretti con la Direzione Provinciale del Lavoro e altri enti, assumendo in prima persona – ove richiesto – gli adempimenti non delegabili (es. elaborazione DVR </w:t>
      </w:r>
      <w:r>
        <w:t xml:space="preserve">e nomina RSPP come da art.17 D.Lgs.81/08, che in questo caso sono comunque svolti con l’ausilio di consulenti competenti). Pur delegando operativamente molte attività, egli conserva un ruolo di supervisione e decisione finale sulle scelte rilevanti di SSL.</w:t>
      </w:r>
      <w:r/>
    </w:p>
    <w:p>
      <w:pPr>
        <w:numPr>
          <w:ilvl w:val="0"/>
          <w:numId w:val="8"/>
        </w:numPr>
        <w:pBdr/>
        <w:spacing/>
        <w:ind/>
        <w:rPr/>
      </w:pPr>
      <w:r>
        <w:rPr>
          <w:b/>
          <w:bCs/>
        </w:rPr>
        <w:t xml:space="preserve">Responsabile del Servizio di Prevenzione e Protezione (RSPP)</w:t>
      </w:r>
      <w:r>
        <w:t xml:space="preserve"> – È il professionista (interno o esterno) nominato dal Datore di Lavoro ai sensi dell’art. 32 D.Lgs.81/08, incaricato di coordinare il Servizio di Prevenzione e Protezione dai rischi. In </w:t>
      </w:r>
      <w:r>
        <w:t xml:space="preserve">Agrumigel</w:t>
      </w:r>
      <w:r>
        <w:t xml:space="preserve"> il RSPP collabora strettamente con la Direzione e con il Team Qualità/Ambiente. I suoi compiti includono: individuare i fattori di rischio, valutare i rischi e proporre misure di prevenzione e protezione (in pratica, redazione </w:t>
      </w:r>
      <w:r>
        <w:t xml:space="preserve">e continuo aggiornamento del DVR insieme al Datore di Lavoro e al Medico Competente); elaborare le procedure di sicurezza per le varie attività aziendali; proporre programmi di informazione e formazione per i lavoratori; partecipare alle consultazioni in m</w:t>
      </w:r>
      <w:r>
        <w:t xml:space="preserve">ateria di sicurezza e alle riunioni periodiche; monitorare l’efficacia delle misure adottate e l’andamento infortunistico, riferendo alla Direzione; supportare i dirigenti e preposti nella corretta applicazione delle norme di sicurezza; collaborare nella g</w:t>
      </w:r>
      <w:r>
        <w:t xml:space="preserve">estione delle emergenze e nell’organizzazione delle prove di evacuazione. Il RSPP ha autorità nel richiedere interventi correttivi urgenti in caso di situazioni di pericolo grave e imminente e nel consigliare il fermo di macchinari/impianti non sicuri. In </w:t>
      </w:r>
      <w:r>
        <w:t xml:space="preserve">Agrumigel</w:t>
      </w:r>
      <w:r>
        <w:t xml:space="preserve"> il RSPP è una figura qualificata (in possesso dei requisiti f</w:t>
      </w:r>
      <w:r>
        <w:t xml:space="preserve">ormativi previsti) ed è adeguatamente supportato dalla Direzione; laddove non possieda competenze specialistiche su temi specifici (es. rischio chimico avanzato, ATEX), può avvalersi di consulenti esterni specialistici, previa approvazione della Direzione.</w:t>
      </w:r>
      <w:r/>
    </w:p>
    <w:p>
      <w:pPr>
        <w:numPr>
          <w:ilvl w:val="0"/>
          <w:numId w:val="8"/>
        </w:numPr>
        <w:pBdr/>
        <w:spacing/>
        <w:ind/>
        <w:rPr/>
      </w:pPr>
      <w:r>
        <w:rPr>
          <w:b/>
          <w:bCs/>
        </w:rPr>
        <w:t xml:space="preserve">Addetti del SPP (ASPP)</w:t>
      </w:r>
      <w:r>
        <w:t xml:space="preserve"> – Se nominati, coadiuvano il RSPP nello svolgimento dei compiti. In una realtà come </w:t>
      </w:r>
      <w:r>
        <w:t xml:space="preserve">Agrumigel</w:t>
      </w:r>
      <w:r>
        <w:t xml:space="preserve">, di dimensione media, può non esserci un ASPP formale; in tal caso il RSPP gestisce con il supporto di altri incaricati interni (es. spesso il Responsabile Qualità o il Responsabile di Produzione collabor</w:t>
      </w:r>
      <w:r>
        <w:t xml:space="preserve">a di fatto come referente interno sicurezza). Qualora nominato, l’ASPP svolge attività delegate dal RSPP, come effettuare sopralluoghi periodici nei reparti, preparare la documentazione di sicurezza, seguire la manutenzione di estintori e dispositivi, ecc.</w:t>
      </w:r>
      <w:r/>
    </w:p>
    <w:p>
      <w:pPr>
        <w:numPr>
          <w:ilvl w:val="0"/>
          <w:numId w:val="8"/>
        </w:numPr>
        <w:pBdr/>
        <w:spacing/>
        <w:ind/>
        <w:rPr/>
      </w:pPr>
      <w:r>
        <w:rPr>
          <w:b/>
          <w:bCs/>
        </w:rPr>
        <w:t xml:space="preserve">Medico Competente (MC)</w:t>
      </w:r>
      <w:r>
        <w:t xml:space="preserve"> – Professionista medico del lavoro nominato dal Datore di Lavoro. Il MC e</w:t>
      </w:r>
      <w:r>
        <w:t xml:space="preserve">ffettua la sorveglianza sanitaria sui lavoratori esposti a rischi che la richiedono (rumore, movimenti ripetitivi, lavoro notturno, movimentazione carichi, vibrazioni, sostanze chimiche, ecc., secondo la valutazione dei rischi) attraverso protocolli sanita</w:t>
      </w:r>
      <w:r>
        <w:t xml:space="preserve">ri definiti in funzione dei rischi. Realizza visite mediche preventive (prima dell’assunzione o cambio mansione) e periodiche, esami clinici e biologici (es. esami audiometrici per i lavoratori esposti a rumore, spirometrie se esposti a polveri, ecc.), ril</w:t>
      </w:r>
      <w:r>
        <w:t xml:space="preserve">asciando il giudizio di idoneità alla mansione. Il MC collabora con Datore di Lavoro e RSPP alla valutazione dei rischi (in particolare per i rischi ergonomici e da agenti chimici/biologici) e alla predisposizione del DVR. Partecipa obbligatoriamente alla </w:t>
      </w:r>
      <w:r>
        <w:t xml:space="preserve">riunione periodica annuale. Fornisce inoltre informazioni ai lavoratori sul significato della sorveglianza sanitaria e sui risultati collettivi (nel rispetto della privacy). In caso evidenzi situazioni di malattia professionale o problemi di salute correla</w:t>
      </w:r>
      <w:r>
        <w:t xml:space="preserve">ti al lavoro, suggerisce misure preventive (cambio mansione temporaneo, adattamenti ergonomici, ecc.). Il MC ha accesso a tutti gli ambienti di lavoro per effettuare sopralluoghi almeno annuali, utile a correlare i rischi con gli accertamenti sanitari. In </w:t>
      </w:r>
      <w:r>
        <w:t xml:space="preserve">Agrumigel</w:t>
      </w:r>
      <w:r>
        <w:t xml:space="preserve"> il MC, oltre</w:t>
      </w:r>
      <w:r>
        <w:t xml:space="preserve"> a quanto richiesto per legge, fornisce consulenza su programmi di promozione della salute (esercizi per prevenire mal di schiena, consigli su alimentazione e idratazione in ambienti caldi, ecc.) e collabora nella gestione dei primi soccorsi se necessario.</w:t>
      </w:r>
      <w:r/>
    </w:p>
    <w:p>
      <w:pPr>
        <w:numPr>
          <w:ilvl w:val="0"/>
          <w:numId w:val="8"/>
        </w:numPr>
        <w:pBdr/>
        <w:spacing/>
        <w:ind/>
        <w:rPr/>
      </w:pPr>
      <w:r>
        <w:rPr>
          <w:b/>
          <w:bCs/>
        </w:rPr>
        <w:t xml:space="preserve">Dirigenti e Preposti</w:t>
      </w:r>
      <w:r>
        <w:t xml:space="preserve"> – Ai sensi del D.Lgs.81/08, </w:t>
      </w:r>
      <w:r>
        <w:t xml:space="preserve">Agrumigel</w:t>
      </w:r>
      <w:r>
        <w:t xml:space="preserve"> ha individuato le figure di </w:t>
      </w:r>
      <w:r>
        <w:rPr>
          <w:b/>
          <w:bCs/>
        </w:rPr>
        <w:t xml:space="preserve">dirigente</w:t>
      </w:r>
      <w:r>
        <w:t xml:space="preserve"> (chi, in azienda, attua le direttive del datore di lavoro organizzando l’attività lavorativa e vigilando su di essa) e di </w:t>
      </w:r>
      <w:r>
        <w:rPr>
          <w:b/>
          <w:bCs/>
        </w:rPr>
        <w:t xml:space="preserve">preposto</w:t>
      </w:r>
      <w:r>
        <w:t xml:space="preserve"> (chi sovrintende direttamente a</w:t>
      </w:r>
      <w:r>
        <w:t xml:space="preserve">lla attività altrui, garantendone la corretta esecuzione secondo le norme di sicurezza). Nel contesto aziendale, possono essere considerati dirigenti ad esempio il Direttore di Stabilimento o il Responsabile di Produzione (se formalmente investiti di tali </w:t>
      </w:r>
      <w:r>
        <w:t xml:space="preserve">funzioni), mentre come preposti si configurano i capi reparto o capireparto e i capi squadra che seguono gli operai nei vari turni. Le responsabilità dei dirigenti includono: curare l’attuazione delle misure di sicurezza organizzative e procedurali nell’ar</w:t>
      </w:r>
      <w:r>
        <w:t xml:space="preserve">ea sotto il loro controllo; assicurare che i preposti e i lavoratori abbiano ricevuto formazione adeguata; coordinarsi con RSPP e MC per l’attuazione di sorveglianza sanitaria, formazione e misure tecniche; informare tempestivamente il Datore di Lavoro/RSP</w:t>
      </w:r>
      <w:r>
        <w:t xml:space="preserve">P di eventuali problemi o esigenze particolari. I preposti, più a contatto con l’operatività giornaliera, hanno l’obbligo di vigilare sul rispetto da parte dei lavoratori delle disposizioni di sicurezza e uso DPI; segnalare comportamenti non sicuri o situa</w:t>
      </w:r>
      <w:r>
        <w:t xml:space="preserve">zioni anomale; intervenire immediatamente in caso di emergenza dando l’allarme e mettendo in sicurezza le persone; partecipare attivamente alla formazione di nuovi lavoratori sul campo e all’addestramento pratico; contribuire alle indagini di infortunio o </w:t>
      </w:r>
      <w:r>
        <w:t xml:space="preserve">near</w:t>
      </w:r>
      <w:r>
        <w:t xml:space="preserve">-miss con la loro conoscenza diretta delle dinamiche di reparto. Dirigenti e preposti in </w:t>
      </w:r>
      <w:r>
        <w:t xml:space="preserve">Agrumigel</w:t>
      </w:r>
      <w:r>
        <w:t xml:space="preserve"> sono formati come previsto (corso per dirigenti, corso per preposti art.37) e consapevoli delle responsabilità anche penali che assumono nell’accettare il loro ruolo.</w:t>
      </w:r>
      <w:r/>
    </w:p>
    <w:p>
      <w:pPr>
        <w:numPr>
          <w:ilvl w:val="0"/>
          <w:numId w:val="8"/>
        </w:numPr>
        <w:pBdr/>
        <w:spacing/>
        <w:ind/>
        <w:rPr/>
      </w:pPr>
      <w:r>
        <w:rPr>
          <w:b/>
          <w:bCs/>
        </w:rPr>
        <w:t xml:space="preserve">Rappresentante dei Lavoratori per la Sicurezza (RLS)</w:t>
      </w:r>
      <w:r>
        <w:t xml:space="preserve"> – È il rappresentante eletto (o designato) dai lavoratori per tutelare i loro interessi in materia di SSL. In </w:t>
      </w:r>
      <w:r>
        <w:t xml:space="preserve">Agrumigel</w:t>
      </w:r>
      <w:r>
        <w:t xml:space="preserve"> vi è almeno un RLS (il numero è proporzionato al totale dipendenti, come da normativa, ad es. 1 RLS </w:t>
      </w:r>
      <w:r>
        <w:t xml:space="preserve">fino a 200 lavoratori). L’RLS: viene consultato preventivamente su ogni questione rilevante (valutazione dei rischi, organizzazione della formazione, nomina degli addetti primo soccorso/antincendio, introduzione di nuove tecnologie); partecipa alla riunion</w:t>
      </w:r>
      <w:r>
        <w:t xml:space="preserve">e periodica annuale; ha il diritto di accesso ai luoghi di lavoro per fare verifiche (previa accordo sulle modalità con il Datore di Lavoro); può fare proposte in merito all’attività di prevenzione; riceve informazioni e documentazione (copia DVR, rapporti</w:t>
      </w:r>
      <w:r>
        <w:t xml:space="preserve"> di infortunio, etc.); promuove l’elaborazione, l’individuazione e l’attuazione delle misure di prevenzione. In azienda, l’RLS collabora in modo costruttivo con il RSPP e la Direzione, rappresentando le segnalazioni dei colleghi e contribuendo a trovare so</w:t>
      </w:r>
      <w:r>
        <w:t xml:space="preserve">luzioni praticabili. Ad esempio, se i lavoratori di un reparto riferiscono un problema (es. rumore elevato di una macchina), l’RLS porta la questione all’attenzione del RSPP e insieme valutano come intervenire (tecnicamente o organizzativamente). L’RLS in </w:t>
      </w:r>
      <w:r>
        <w:t xml:space="preserve">Agrumigel</w:t>
      </w:r>
      <w:r>
        <w:t xml:space="preserve"> è coinvolto anche nella fase di individuazione degli obiettivi di miglioramento SSL e nel monitoraggio del loro raggiungimento.</w:t>
      </w:r>
      <w:r/>
    </w:p>
    <w:p>
      <w:pPr>
        <w:numPr>
          <w:ilvl w:val="0"/>
          <w:numId w:val="8"/>
        </w:numPr>
        <w:pBdr/>
        <w:spacing/>
        <w:ind/>
        <w:rPr/>
      </w:pPr>
      <w:r>
        <w:rPr>
          <w:b/>
          <w:bCs/>
        </w:rPr>
        <w:t xml:space="preserve">Addetti alle emergenze (antincendio e primo soccorso)</w:t>
      </w:r>
      <w:r>
        <w:t xml:space="preserve"> – Il Datore</w:t>
      </w:r>
      <w:r>
        <w:t xml:space="preserve"> di Lavoro ha designato formalmente un numero adeguato di lavoratori incaricati di attuare le misure di emergenza in caso di incendio ed evacuazione e di primo soccorso sanitario (come da artt. 18 e 43 D.Lgs.81/08). Questi addetti sono distribuiti tra i va</w:t>
      </w:r>
      <w:r>
        <w:t xml:space="preserve">ri turni e reparti, in modo da garantire sempre la presenza di qualcuno formato durante l’orario di lavoro. Gli addetti antincendio hanno frequentato corsi specifici (rischio incendio medio/elevato, dato che in stabilimento vi sono sostanze infiammabili) e</w:t>
      </w:r>
      <w:r>
        <w:t xml:space="preserve"> si occupano di: collaborare nell’organizzazione delle prove di evacuazione; controllare periodicamente la segnaletica di sicurezza e l’accessibilità dei presidi antincendio; in caso di principio di incendio, intervenire con gli estintori o altri mezzi ant</w:t>
      </w:r>
      <w:r>
        <w:t xml:space="preserve">incendio solo se in sicurezza e se addestrati a farlo, altrimenti assicurarsi che tutti evacuino e fornire informazioni ai Vigili del Fuoco all’arrivo. Gli addetti di primo soccorso, formati con apposito corso (DM 388/03), in caso di infortunio prestano le</w:t>
      </w:r>
      <w:r>
        <w:t xml:space="preserve"> prime cure compatibilmente con quanto appreso (ad es. mettere in sicurezza l’infortunato, chiamare il 118, effettuare interventi di base come compressione emorragie, rianimazione cardiopolmonare se necessario, utilizzo cassetta PS e defibrillatore se disp</w:t>
      </w:r>
      <w:r>
        <w:t xml:space="preserve">onibile). Tali addetti, sia antincendio sia primo soccorso, svolgono anche un ruolo importante di riferimento per i colleghi: la loro presenza è nota (elenchi esposti) e rassicura i lavoratori sul fatto che esiste capacità di gestire le emergenze interne. </w:t>
      </w:r>
      <w:r>
        <w:t xml:space="preserve">Agrumigel</w:t>
      </w:r>
      <w:r>
        <w:t xml:space="preserve"> garantisce loro aggiornamenti formativi periodici e li coinvolge attivamente nelle valutazioni delle esigenze (es. se servono attrezzature aggiuntive di emergenza).</w:t>
      </w:r>
      <w:r/>
    </w:p>
    <w:p>
      <w:pPr>
        <w:numPr>
          <w:ilvl w:val="0"/>
          <w:numId w:val="8"/>
        </w:numPr>
        <w:pBdr/>
        <w:spacing/>
        <w:ind/>
        <w:rPr/>
      </w:pPr>
      <w:r>
        <w:rPr>
          <w:b/>
          <w:bCs/>
        </w:rPr>
        <w:t xml:space="preserve">Lavoratori</w:t>
      </w:r>
      <w:r>
        <w:t xml:space="preserve"> (tutti i lavoratori non in ruolo di preposto/dirigente) – Ogni lavoratore ha obblighi e responsabilità individuali per la propria sicurezza e quella delle altre persone presenti sul luogo di lavoro, in linea con l’art. 20 del </w:t>
      </w:r>
      <w:r>
        <w:t xml:space="preserve">D.Lgs.</w:t>
      </w:r>
      <w:r>
        <w:t xml:space="preserve"> 81/08. In </w:t>
      </w:r>
      <w:r>
        <w:t xml:space="preserve">Agrumigel</w:t>
      </w:r>
      <w:r>
        <w:t xml:space="preserve"> ai </w:t>
      </w:r>
      <w:r>
        <w:t xml:space="preserve">lavora</w:t>
      </w:r>
      <w:r>
        <w:t xml:space="preserve">tori è richiesto di: eseguire le proprie mansioni attenendosi scrupolosamente alle procedure di sicurezza e alle istruzioni ricevute durante la formazione e addestramento; utilizzare correttamente macchinari, attrezzature, sostanze e DPI messi a disposizio</w:t>
      </w:r>
      <w:r>
        <w:t xml:space="preserve">ne; non rimuovere o modificare i dispositivi di sicurezza o segnaletica; segnalare immediatamente a preposti/RSPP qualsiasi condizione di pericolo di cui vengano a conoscenza (anche situazioni anomale o quasi infortuni); prendersi cura, per quanto concerne</w:t>
      </w:r>
      <w:r>
        <w:t xml:space="preserve"> il proprio operato, della sicurezza propria e altrui. Agli operatori è inoltre richiesto di partecipare in modo attivo ai programmi di formazione e agli incontri inerenti la sicurezza, e di sottoporsi ai controlli sanitari previsti in modo collaborativo. </w:t>
      </w:r>
      <w:r>
        <w:t xml:space="preserve">Agrumigel</w:t>
      </w:r>
      <w:r>
        <w:t xml:space="preserve"> enfatizza molto questo aspetto: ogni lavoratore deve sentirsi parte del sistema di prevenzione. Come affermato nella politica, la sicurezza è responsabilità condivisa e il contributo di tutti è fondamentale per raggiungere gli obiettivi.</w:t>
      </w:r>
      <w:r/>
    </w:p>
    <w:p>
      <w:pPr>
        <w:numPr>
          <w:ilvl w:val="0"/>
          <w:numId w:val="8"/>
        </w:numPr>
        <w:pBdr/>
        <w:spacing/>
        <w:ind/>
        <w:rPr/>
      </w:pPr>
      <w:r>
        <w:rPr>
          <w:b/>
          <w:bCs/>
        </w:rPr>
        <w:t xml:space="preserve">Altre figure e ruoli specifici</w:t>
      </w:r>
      <w:r>
        <w:t xml:space="preserve">: in funzione delle necessità l’azienda può istituire ulteriori ruoli. Ad esempio, un </w:t>
      </w:r>
      <w:r>
        <w:rPr>
          <w:b/>
          <w:bCs/>
        </w:rPr>
        <w:t xml:space="preserve">Coordinatore delle emergenze</w:t>
      </w:r>
      <w:r>
        <w:t xml:space="preserve"> (che in caso di allarme assume il controllo delle operazioni di evacuazione e fa da collegamento con i soccorsi esterni), tipicamente scelto tra personale di livello dirigente o preposto; un </w:t>
      </w:r>
      <w:r>
        <w:rPr>
          <w:b/>
          <w:bCs/>
        </w:rPr>
        <w:t xml:space="preserve">Responsabile dei Lavori</w:t>
      </w:r>
      <w:r>
        <w:t xml:space="preserve"> per cantieri interni temporanei (se ci sono lavori edili/manutenzioni affidati all’esterno che configurano un cantiere, ai sensi del Titolo IV del D.Lgs.81/08); un </w:t>
      </w:r>
      <w:r>
        <w:rPr>
          <w:b/>
          <w:bCs/>
        </w:rPr>
        <w:t xml:space="preserve">Referente di reparto per la sicurezza</w:t>
      </w:r>
      <w:r>
        <w:t xml:space="preserve"> (quasi un “preposto aggiunto” che aiuta a diffondere le comunicazioni di sicurezza nel team di reparto). Inoltre, per gli aspetti di interazione con il sistema di gestione qualità/ambiente, si evidenzia che il </w:t>
      </w:r>
      <w:r>
        <w:rPr>
          <w:b/>
          <w:bCs/>
        </w:rPr>
        <w:t xml:space="preserve">Team Qualità &amp; HACCP</w:t>
      </w:r>
      <w:r>
        <w:t xml:space="preserve"> e il </w:t>
      </w:r>
      <w:r>
        <w:rPr>
          <w:b/>
          <w:bCs/>
        </w:rPr>
        <w:t xml:space="preserve">Responsabile Gestione Ambientale</w:t>
      </w:r>
      <w:r>
        <w:t xml:space="preserve"> collaborano con il RSPP per assicurare coerenza nelle procedure e gestione dei rischi trasversali (es. rischi igienico-sanitari e ambientali che possano avere riflessi sui lavoratori).</w:t>
      </w:r>
      <w:r/>
    </w:p>
    <w:p>
      <w:pPr>
        <w:pStyle w:val="1012"/>
        <w:pBdr/>
        <w:spacing/>
        <w:ind/>
        <w:rPr/>
      </w:pPr>
      <w:r>
        <w:t xml:space="preserve">Tutte le figure sopra descritte sono a conoscenza dei propri compiti e autorità, come formalizzato tramite lettere di incarico o mansionari. L’organigramma con la stru</w:t>
      </w:r>
      <w:r>
        <w:t xml:space="preserve">ttura funzionale (in cui sono evidenziate anche le linee di riporto in materia di sicurezza) è affisso in bacheca e riportato in apposito documento codificato. La Direzione assicura che non vi siano sovrapposizioni né lacune: ciascun ambito di rischio ha q</w:t>
      </w:r>
      <w:r>
        <w:t xml:space="preserve">ualcuno che se ne occupa. Ad esempio, la sicurezza degli impianti di sollevamento è seguita dal Responsabile Manutenzione in coordinamento con il RSPP; la gestione dei dispositivi di protezione individuale è affidata al RSPP con il supporto dei preposti ch</w:t>
      </w:r>
      <w:r>
        <w:t xml:space="preserve">e verificano sul campo l’uso; la sicurezza alimentare è seguita dal Team HACCP ma qualora un rischio alimentare comporti anche un rischio chimico per i lavoratori (ad es. uso di prodotti per sanificazione), il RSPP e il MC sono coinvolti nella valutazione.</w:t>
      </w:r>
      <w:r/>
    </w:p>
    <w:p>
      <w:pPr>
        <w:pStyle w:val="1011"/>
        <w:pBdr/>
        <w:spacing/>
        <w:ind/>
        <w:rPr/>
      </w:pPr>
      <w:r>
        <w:t xml:space="preserve">Agrumigel</w:t>
      </w:r>
      <w:r>
        <w:t xml:space="preserve"> promuove una </w:t>
      </w:r>
      <w:r>
        <w:rPr>
          <w:b/>
          <w:bCs/>
        </w:rPr>
        <w:t xml:space="preserve">gestione partecipativa</w:t>
      </w:r>
      <w:r>
        <w:t xml:space="preserve">: sebbene ruoli e responsabilità siano definiti, la collaborazione e la comunicazione tra le diverse figure è incoraggiata e facilitata. Riunioni periodiche (mensili o t</w:t>
      </w:r>
      <w:r>
        <w:t xml:space="preserve">rimestrali) tra RSPP, rappresentanti dei reparti e RLS sono organizzate per fare il punto sulle iniziative di sicurezza, scambiare informazioni e reagire prontamente a eventuali problemi emergenti. Questo garantisce che la “catena” della sicurezza – dalla </w:t>
      </w:r>
      <w:r>
        <w:t xml:space="preserve">Direzione fino all’operatore sul campo – funzioni senza interruzioni, mantenendo tutti allineati sugli obiettivi comuni di prevenzione.</w:t>
      </w:r>
      <w:r/>
    </w:p>
    <w:p>
      <w:pPr>
        <w:pStyle w:val="1000"/>
        <w:pBdr/>
        <w:spacing/>
        <w:ind/>
        <w:rPr/>
      </w:pPr>
      <w:r/>
      <w:bookmarkStart w:id="26" w:name="X8ede44ef05569b4b7a3bf1264f0aa6fe09704d7"/>
      <w:r/>
      <w:bookmarkStart w:id="27" w:name="_Toc211351953"/>
      <w:r/>
      <w:bookmarkEnd w:id="24"/>
      <w:r>
        <w:t xml:space="preserve">Consultazione e partecipazione dei lavoratori</w:t>
      </w:r>
      <w:bookmarkEnd w:id="27"/>
      <w:r/>
      <w:r/>
    </w:p>
    <w:p>
      <w:pPr>
        <w:pStyle w:val="1012"/>
        <w:pBdr/>
        <w:spacing/>
        <w:ind/>
        <w:rPr/>
      </w:pPr>
      <w:r>
        <w:t xml:space="preserve">Agrumigel</w:t>
      </w:r>
      <w:r>
        <w:t xml:space="preserve"> S.r.l. attribuisce grande importanza alla </w:t>
      </w:r>
      <w:r>
        <w:rPr>
          <w:b/>
          <w:bCs/>
        </w:rPr>
        <w:t xml:space="preserve">partecipazione attiva dei lavoratori</w:t>
      </w:r>
      <w:r>
        <w:t xml:space="preserve"> alla gestione della sicurezza. Si è compreso infatti che, oltre ad essere un requisito della ISO 45001, il coinvolgimento dei dipendenti è un elemento chiave per creare un ambiente di lavoro realmente sicuro:</w:t>
      </w:r>
      <w:r>
        <w:t xml:space="preserve"> i lavoratori sul campo hanno spesso la migliore conoscenza dei problemi pratici e possono contribuire in modo determinante all’individuazione di soluzioni efficaci. Le modalità attraverso cui l’azienda assicura consultazione e partecipazione sono diverse:</w:t>
      </w:r>
      <w:r/>
    </w:p>
    <w:p>
      <w:pPr>
        <w:numPr>
          <w:ilvl w:val="0"/>
          <w:numId w:val="9"/>
        </w:numPr>
        <w:pBdr/>
        <w:spacing/>
        <w:ind/>
        <w:rPr/>
      </w:pPr>
      <w:r>
        <w:rPr>
          <w:b/>
          <w:bCs/>
        </w:rPr>
        <w:t xml:space="preserve">Rappresentanza dei lavoratori</w:t>
      </w:r>
      <w:r>
        <w:t xml:space="preserve">: come già descritto, l’RLS gioca un ruolo istituzionale di tramite tra forza lavoro e Datore di Lavoro. </w:t>
      </w:r>
      <w:r>
        <w:t xml:space="preserve">Agrumigel</w:t>
      </w:r>
      <w:r>
        <w:t xml:space="preserve"> si assicura ch</w:t>
      </w:r>
      <w:r>
        <w:t xml:space="preserve">e l’RLS disponga di tempo e mezzi per svolgere la sua funzione (ad esempio, l’RLS viene coinvolto nelle ispezioni aziendali su sicurezza, può accedere alla documentazione e ai luoghi di lavoro, e non subisce pregiudizio per il tempo dedicato a tali attivit</w:t>
      </w:r>
      <w:r>
        <w:t xml:space="preserve">à). L’RSPP ed il Datore di Lavoro incontrano l’RLS con cadenza regolare, oltre alla riunione annuale, per discutere insieme piani e problematiche. Le osservazioni formali dell’RLS (es. trascritte sul registro delle visite) ricevono sempre risposta scritta.</w:t>
      </w:r>
      <w:r/>
    </w:p>
    <w:p>
      <w:pPr>
        <w:numPr>
          <w:ilvl w:val="0"/>
          <w:numId w:val="9"/>
        </w:numPr>
        <w:pBdr/>
        <w:spacing/>
        <w:ind/>
        <w:rPr/>
      </w:pPr>
      <w:r>
        <w:rPr>
          <w:b/>
          <w:bCs/>
        </w:rPr>
        <w:t xml:space="preserve">Riunione periodica sulla sicurezza</w:t>
      </w:r>
      <w:r>
        <w:t xml:space="preserve">: come da art.35 D.Lgs.81/08, annualmente (e comunque ogniqualvolta le circostanze lo rendano necessario, es. dopo un evento serio) si tiene l</w:t>
      </w:r>
      <w:r>
        <w:t xml:space="preserve">a riunione con Datore di Lavoro, RSPP, Medico Competente e RLS. In tale sede si discutono il DVR, l’andamento di infortuni e malattie, i risultati della sorveglianza sanitaria, l’efficacia dei DPI e della formazione, e si raccolgono proposte migliorative. </w:t>
      </w:r>
      <w:r>
        <w:t xml:space="preserve">Agrumigel</w:t>
      </w:r>
      <w:r>
        <w:t xml:space="preserve"> estende spesso l’invito a questa riunione anche ad alcuni preposti o responsabili di reparto, così da ampliare la base di consulta</w:t>
      </w:r>
      <w:r>
        <w:t xml:space="preserve">zione. Dal verbale della riunione scaturiscono decisioni operative (es. acquistare un nuovo tipo di guanto, intensificare la formazione su un macchinario, modificare un turno per ridurre la fatica) che poi la Direzione recepisce nel piano di miglioramento.</w:t>
      </w:r>
      <w:r/>
    </w:p>
    <w:p>
      <w:pPr>
        <w:numPr>
          <w:ilvl w:val="0"/>
          <w:numId w:val="9"/>
        </w:numPr>
        <w:pBdr/>
        <w:spacing/>
        <w:ind/>
        <w:rPr/>
      </w:pPr>
      <w:r>
        <w:rPr>
          <w:b/>
          <w:bCs/>
        </w:rPr>
        <w:t xml:space="preserve">Coinvolgimento nella valutazione dei rischi</w:t>
      </w:r>
      <w:r>
        <w:t xml:space="preserve">: i lavoratori sono coinvolti nell’identificazione dei pericoli e nella valutazione dei rischi delle propr</w:t>
      </w:r>
      <w:r>
        <w:t xml:space="preserve">ie mansioni. Questo avviene sia formalmente, ad esempio tramite questionari o interviste condotte dal RSPP/MC in fase di aggiornamento DVR (chiedendo ai lavoratori di descrivere la loro attività, se hanno riscontrato situazioni pericolose, suggerimenti, et</w:t>
      </w:r>
      <w:r>
        <w:t xml:space="preserve">c.), sia informalmente tramite il dialogo quotidiano con preposti e capi. Ad esempio, nel valutare il rischio da movimentazione manuale, si è tenuto conto del feedback degli operatori del magazzino su quali fasi fossero più gravose. Oppure, prima di introd</w:t>
      </w:r>
      <w:r>
        <w:t xml:space="preserve">urre un nuovo detergente sanificante in reparto, alcuni addetti hanno provato il prodotto in piccola scala, segnalando al RSPP le loro impressioni (odore irritante, ecc.), influenzando così le misure preventive (uso di mascherine, miglioramento aerazione).</w:t>
      </w:r>
      <w:r/>
    </w:p>
    <w:p>
      <w:pPr>
        <w:numPr>
          <w:ilvl w:val="0"/>
          <w:numId w:val="9"/>
        </w:numPr>
        <w:pBdr/>
        <w:spacing/>
        <w:ind/>
        <w:rPr/>
      </w:pPr>
      <w:r>
        <w:rPr>
          <w:b/>
          <w:bCs/>
        </w:rPr>
        <w:t xml:space="preserve">Segnalazioni e suggerimenti</w:t>
      </w:r>
      <w:r>
        <w:t xml:space="preserve">: l’azienda incoraggia i lavoratori a farsi avanti con </w:t>
      </w:r>
      <w:r>
        <w:rPr>
          <w:b/>
          <w:bCs/>
        </w:rPr>
        <w:t xml:space="preserve">segnalazioni spontanee</w:t>
      </w:r>
      <w:r>
        <w:t xml:space="preserve"> di quasi-incidenti, </w:t>
      </w:r>
      <w:r>
        <w:t xml:space="preserve">condizioni insicure o proposte per migliorare sicurezza e salute. Per facilitare ciò, sono stati predisposti canali di comunicazione accessibili:</w:t>
      </w:r>
      <w:r>
        <w:rPr>
          <w:highlight w:val="none"/>
        </w:rPr>
        <w:t xml:space="preserve"> ad esempio un modulo di segnalazione disponibile in </w:t>
      </w:r>
      <w:r>
        <w:rPr>
          <w:highlight w:val="none"/>
        </w:rPr>
        <w:t xml:space="preserve">reparto</w:t>
      </w:r>
      <w:r>
        <w:rPr>
          <w:highlight w:val="none"/>
        </w:rPr>
        <w:t xml:space="preserve"> (a</w:t>
      </w:r>
      <w:r>
        <w:t xml:space="preserve">nche anonimo, da imbucare in una cassetta dedica</w:t>
      </w:r>
      <w:r>
        <w:t xml:space="preserve">ta) per riportare pericoli o idee; in alternativa, molti preferiscono segnalare verbalmente al proprio preposto o all’RSPP durante i giri in stabilimento. Ogni segnalazione è </w:t>
      </w:r>
      <w:r>
        <w:rPr>
          <w:highlight w:val="none"/>
        </w:rPr>
        <w:t xml:space="preserve">presa </w:t>
      </w:r>
      <w:r>
        <w:t xml:space="preserve">in considerazione seriamente: il RSPP le raccoglie e le registra, valutando</w:t>
      </w:r>
      <w:r>
        <w:t xml:space="preserve">le e discutendole con la Direzione. Le azioni intraprese a seguito di segnalazioni sono poi comunicate, così da far vedere ai lavoratori che il loro contributo porta a risultati concreti. Un esempio: un operaio ha segnalato che durante la pulizia di un mac</w:t>
      </w:r>
      <w:r>
        <w:t xml:space="preserve">chinario vi era rischio di scivolare a causa dell’acqua e olio sul pavimento; l’azienda ha risposto acquistando tappeti assorbenti antiscivolo per quella fase e aggiornando l’istruzione operativa, ringraziando pubblicamente l’operatore per la segnalazione.</w:t>
      </w:r>
      <w:r/>
    </w:p>
    <w:p>
      <w:pPr>
        <w:numPr>
          <w:ilvl w:val="0"/>
          <w:numId w:val="9"/>
        </w:numPr>
        <w:pBdr/>
        <w:spacing/>
        <w:ind/>
        <w:rPr/>
      </w:pPr>
      <w:r>
        <w:rPr>
          <w:b/>
          <w:bCs/>
        </w:rPr>
        <w:t xml:space="preserve">Partecipazione alle indagini di incidente</w:t>
      </w:r>
      <w:r>
        <w:t xml:space="preserve">: qualora si verifichi un infortunio o un incidente signif</w:t>
      </w:r>
      <w:r>
        <w:t xml:space="preserve">icativo, l’azienda effettua un’analisi approfondita delle cause. In tale analisi vengono coinvolti, oltre al RSPP e al preposto, anche il lavoratore infortunato (se possibile) e/o suoi colleghi, per ricostruire dinamica e contesto. La loro partecipazione è</w:t>
      </w:r>
      <w:r>
        <w:t xml:space="preserve"> fondamentale per identificare non solo l’errore immediato ma anche eventuali cause organizzative o carenze di formazione. Questo processo, condotto in modo non colpevolizzante, aiuta a elaborare soluzioni accettate e condivise da chi dovrà poi applicarle.</w:t>
      </w:r>
      <w:r/>
    </w:p>
    <w:p>
      <w:pPr>
        <w:numPr>
          <w:ilvl w:val="0"/>
          <w:numId w:val="9"/>
        </w:numPr>
        <w:pBdr/>
        <w:spacing/>
        <w:ind/>
        <w:rPr/>
      </w:pPr>
      <w:r>
        <w:rPr>
          <w:b/>
          <w:bCs/>
        </w:rPr>
        <w:t xml:space="preserve">Formazione interattiva</w:t>
      </w:r>
      <w:r>
        <w:t xml:space="preserve">: durante i corsi di formazione interni sulla sicurezza (generale o specifica), </w:t>
      </w:r>
      <w:r>
        <w:t xml:space="preserve">Agrumigel</w:t>
      </w:r>
      <w:r>
        <w:t xml:space="preserve"> adotta metodologie partecipative: discussione di casi aziendali, brainstorming di gruppo su come m</w:t>
      </w:r>
      <w:r>
        <w:t xml:space="preserve">igliorare una certa attività, simulazioni pratiche dove i lavoratori sono chiamati a proporre il modo corretto di operare. Ciò trasforma la formazione in un’occasione di ascolto delle idee dei partecipanti e di valorizzazione della loro esperienza pratica.</w:t>
      </w:r>
      <w:r/>
    </w:p>
    <w:p>
      <w:pPr>
        <w:numPr>
          <w:ilvl w:val="0"/>
          <w:numId w:val="9"/>
        </w:numPr>
        <w:pBdr/>
        <w:spacing/>
        <w:ind/>
        <w:rPr/>
      </w:pPr>
      <w:r>
        <w:rPr>
          <w:b/>
          <w:bCs/>
        </w:rPr>
        <w:t xml:space="preserve">Clima di fiducia e “just culture”</w:t>
      </w:r>
      <w:r>
        <w:t xml:space="preserve">: l’azienda si impegna a mantenere un clima aziendale nel quale i lavoratori non abbiano paura di riferire errori o infrazioni di sicurezza proprie o altrui, sapendo che lo scopo è co</w:t>
      </w:r>
      <w:r>
        <w:t xml:space="preserve">rreggere il sistema e non punire. Certo, comportamenti negligenti o violazioni intenzionali delle norme non sono tollerati, ma si cerca sempre di distinguere l’errore comprensibile (da trattare con supporto e formazione) dal mancato rispetto doloso o reite</w:t>
      </w:r>
      <w:r>
        <w:t xml:space="preserve">rato (che richiede poi i necessari provvedimenti disciplinari). Questa impostazione, comunicata chiaramente, fa sì che i dipendenti si sentano parte di una squadra che coopera per il bene comune, piuttosto che soggetti a un regime di controllo unilaterale.</w:t>
      </w:r>
      <w:r/>
    </w:p>
    <w:p>
      <w:pPr>
        <w:numPr>
          <w:ilvl w:val="0"/>
          <w:numId w:val="9"/>
        </w:numPr>
        <w:pBdr/>
        <w:spacing/>
        <w:ind/>
        <w:rPr/>
      </w:pPr>
      <w:r>
        <w:rPr>
          <w:b/>
          <w:bCs/>
        </w:rPr>
        <w:t xml:space="preserve">Iniziative di gruppo</w:t>
      </w:r>
      <w:r>
        <w:t xml:space="preserve">: </w:t>
      </w:r>
      <w:r>
        <w:t xml:space="preserve">Agrumigel</w:t>
      </w:r>
      <w:r>
        <w:t xml:space="preserve"> ha introdotto momenti periodici dedicati alla sicurezza, come ad esempio il “</w:t>
      </w:r>
      <w:r>
        <w:t xml:space="preserve">Safety</w:t>
      </w:r>
      <w:r>
        <w:t xml:space="preserve"> Day” annuale, in cui vengono presentati i risultati di sicurezza </w:t>
      </w:r>
      <w:r>
        <w:t xml:space="preserve">dell’anno, premiati i reparti o i gruppi che si sono distinti (ad es. zero infortuni,</w:t>
      </w:r>
      <w:r>
        <w:t xml:space="preserve"> miglior segnalazione dell’anno) e organizzati piccoli workshop tematici. Inoltre, in alcuni reparti si tengono brevi riunioni settimanali (5-10 minuti prima dell’inizio turno) dove il preposto ricorda una regola di sicurezza o discute un evento accaduto (</w:t>
      </w:r>
      <w:r>
        <w:t xml:space="preserve">safety</w:t>
      </w:r>
      <w:r>
        <w:t xml:space="preserve"> toolbox talk). Queste pratiche favoriscono la </w:t>
      </w:r>
      <w:r>
        <w:rPr>
          <w:b/>
          <w:bCs/>
        </w:rPr>
        <w:t xml:space="preserve">condivisione di informazioni</w:t>
      </w:r>
      <w:r>
        <w:t xml:space="preserve"> e l’allineamento quotidiano sul tema sicurezza.</w:t>
      </w:r>
      <w:r/>
    </w:p>
    <w:p>
      <w:pPr>
        <w:pStyle w:val="1012"/>
        <w:pBdr/>
        <w:spacing/>
        <w:ind/>
        <w:rPr/>
      </w:pPr>
      <w:r>
        <w:t xml:space="preserve">In conclusione, la partecipazione dei lavoratori non è vista come un adempimento formale, ma come un vero pilastro del sistema di sicurezza aziendale. L’azienda è convinta – e l’esperienza lo confer</w:t>
      </w:r>
      <w:r>
        <w:t xml:space="preserve">ma – che un lavoratore coinvolto e responsabilizzato è più propenso ad adottare comportamenti sicuri e a farsi promotore egli stesso di prevenzione con i colleghi. Questo trasforma la sicurezza da “compito imposto” a parte integrante del lavoro ben fatto. </w:t>
      </w:r>
      <w:r>
        <w:t xml:space="preserve">Agrumigel</w:t>
      </w:r>
      <w:r>
        <w:t xml:space="preserve"> continuerà quindi a investire in programmi e strumenti che rafforzino sempre di più il coinvolgimento e la consultazione dei propri lavoratori in ogni aspetto della gestione SSL.</w:t>
      </w:r>
      <w:r/>
    </w:p>
    <w:p>
      <w:pPr>
        <w:pStyle w:val="999"/>
        <w:pBdr/>
        <w:spacing/>
        <w:ind/>
        <w:rPr/>
      </w:pPr>
      <w:r/>
      <w:bookmarkStart w:id="28" w:name="pianificazione"/>
      <w:r/>
      <w:bookmarkStart w:id="29" w:name="_Toc211351954"/>
      <w:r/>
      <w:bookmarkEnd w:id="26"/>
      <w:r/>
      <w:bookmarkEnd w:id="18"/>
      <w:r>
        <w:t xml:space="preserve">Pianificazione</w:t>
      </w:r>
      <w:bookmarkEnd w:id="29"/>
      <w:r/>
      <w:r/>
    </w:p>
    <w:p>
      <w:pPr>
        <w:pStyle w:val="1000"/>
        <w:pBdr/>
        <w:spacing/>
        <w:ind/>
        <w:rPr/>
      </w:pPr>
      <w:r/>
      <w:bookmarkStart w:id="30" w:name="Xd8306f660c914834e18bc0d1500fa240ee467fe"/>
      <w:r/>
      <w:bookmarkStart w:id="31" w:name="_Toc211351955"/>
      <w:r>
        <w:t xml:space="preserve">Identificazione dei pericoli e valutazione dei rischi per la SSL</w:t>
      </w:r>
      <w:bookmarkEnd w:id="31"/>
      <w:r/>
      <w:r/>
    </w:p>
    <w:p>
      <w:pPr>
        <w:pStyle w:val="1012"/>
        <w:pBdr/>
        <w:spacing/>
        <w:ind/>
        <w:rPr/>
      </w:pPr>
      <w:r>
        <w:t xml:space="preserve">Agrumigel</w:t>
      </w:r>
      <w:r>
        <w:t xml:space="preserve"> adotta un approccio strutturato e proattivo per la </w:t>
      </w:r>
      <w:r>
        <w:rPr>
          <w:b/>
          <w:bCs/>
        </w:rPr>
        <w:t xml:space="preserve">identificazione dei pericoli</w:t>
      </w:r>
      <w:r>
        <w:t xml:space="preserve"> presenti nelle proprie attività e la </w:t>
      </w:r>
      <w:r>
        <w:rPr>
          <w:b/>
          <w:bCs/>
        </w:rPr>
        <w:t xml:space="preserve">valutazione dei rischi</w:t>
      </w:r>
      <w:r>
        <w:t xml:space="preserve"> ad essi associati. Questo processo è formalizzato attraverso la redazione e l’aggiornamento del </w:t>
      </w:r>
      <w:r>
        <w:rPr>
          <w:b/>
          <w:bCs/>
        </w:rPr>
        <w:t xml:space="preserve">Documento di Valutazione dei Rischi (DVR)</w:t>
      </w:r>
      <w:r>
        <w:t xml:space="preserve">, in conformità all’art. 28 del </w:t>
      </w:r>
      <w:r>
        <w:t xml:space="preserve">D.Lgs.</w:t>
      </w:r>
      <w:r>
        <w:t xml:space="preserve"> 81/08, e costituisce uno degli elementi portanti della pianificazione in materia di SSL.</w:t>
      </w:r>
      <w:r/>
    </w:p>
    <w:p>
      <w:pPr>
        <w:pStyle w:val="1011"/>
        <w:pBdr/>
        <w:spacing/>
        <w:ind/>
        <w:rPr/>
      </w:pPr>
      <w:r>
        <w:t xml:space="preserve">Il DVR di </w:t>
      </w:r>
      <w:r>
        <w:t xml:space="preserve">Agrumigel</w:t>
      </w:r>
      <w:r>
        <w:t xml:space="preserve"> (Rev. 15 del 15/07/2025, ultima revisione) è un docume</w:t>
      </w:r>
      <w:r>
        <w:t xml:space="preserve">nto approfondito che analizza ogni fase delle lavorazioni, ogni ambiente di lavoro e ogni mansione, identificando per ciascuno i potenziali pericoli per la sicurezza e la salute dei lavoratori. Nel processo di valutazione si tiene conto sia delle attività </w:t>
      </w:r>
      <w:r>
        <w:rPr>
          <w:b/>
          <w:bCs/>
        </w:rPr>
        <w:t xml:space="preserve">ordinarie</w:t>
      </w:r>
      <w:r>
        <w:t xml:space="preserve"> che di quelle </w:t>
      </w:r>
      <w:r>
        <w:rPr>
          <w:b/>
          <w:bCs/>
        </w:rPr>
        <w:t xml:space="preserve">straordinarie/non di routine</w:t>
      </w:r>
      <w:r>
        <w:t xml:space="preserve"> (ad esempio manutenzioni, pulizie speciali degli impianti, interventi in emergenza), nonché di situazioni </w:t>
      </w:r>
      <w:r>
        <w:rPr>
          <w:b/>
          <w:bCs/>
        </w:rPr>
        <w:t xml:space="preserve">anomale</w:t>
      </w:r>
      <w:r>
        <w:t xml:space="preserve"> prevedibili (guasti, malfunzionamenti). Inoltre vengono considerati i diversi gruppi di lavoratori che potrebbero ess</w:t>
      </w:r>
      <w:r>
        <w:t xml:space="preserve">ere esposti, incluse categorie particolari come lavoratrici in gravidanza, lavoratori giovani o inesperti, personale esterno in appalto, ecc., conformemente a quanto richiesto dalla normativa. La metodologia di valutazione adottata combina l’analisi della </w:t>
      </w:r>
      <w:r>
        <w:rPr>
          <w:b/>
          <w:bCs/>
        </w:rPr>
        <w:t xml:space="preserve">probabilità</w:t>
      </w:r>
      <w:r>
        <w:t xml:space="preserve"> o frequenza di accadimento e della </w:t>
      </w:r>
      <w:r>
        <w:rPr>
          <w:b/>
          <w:bCs/>
        </w:rPr>
        <w:t xml:space="preserve">gravità</w:t>
      </w:r>
      <w:r>
        <w:t xml:space="preserve"> delle conseguenze, con eventuali fattori di percezione/</w:t>
      </w:r>
      <w:r>
        <w:t xml:space="preserve">detectability</w:t>
      </w:r>
      <w:r>
        <w:t xml:space="preserve"> (rilevabilità) del pericolo e di esposizione. Ciò consente di attribuire a ciascun rischio un livello di </w:t>
      </w:r>
      <w:r>
        <w:rPr>
          <w:b/>
          <w:bCs/>
        </w:rPr>
        <w:t xml:space="preserve">rischio iniziale</w:t>
      </w:r>
      <w:r>
        <w:t xml:space="preserve"> che viene confrontato con le misure di prevenzione/protezione esistenti, ottenendo così un livello di </w:t>
      </w:r>
      <w:r>
        <w:rPr>
          <w:b/>
          <w:bCs/>
        </w:rPr>
        <w:t xml:space="preserve">rischio residuo</w:t>
      </w:r>
      <w:r>
        <w:t xml:space="preserve">. La classificazione dei rischi avviene su scala qualitativa (es. rischio Accettabile, Migliorabile, Significativo, Intollerabile) o semi-quantitativa (tramite punteggi) per stabilire priorità di intervento.</w:t>
      </w:r>
      <w:r/>
    </w:p>
    <w:p>
      <w:pPr>
        <w:pStyle w:val="1011"/>
        <w:pBdr/>
        <w:spacing/>
        <w:ind/>
        <w:rPr/>
      </w:pPr>
      <w:r>
        <w:t xml:space="preserve">Vale la pena evidenziare che </w:t>
      </w:r>
      <w:r>
        <w:t xml:space="preserve">Agrumigel</w:t>
      </w:r>
      <w:r>
        <w:t xml:space="preserve"> applica il principio di </w:t>
      </w:r>
      <w:r>
        <w:rPr>
          <w:b/>
          <w:bCs/>
        </w:rPr>
        <w:t xml:space="preserve">precauzione immediata per i rischi gravi e noti</w:t>
      </w:r>
      <w:r>
        <w:t xml:space="preserve">: se durante l’analisi emergono rischi considerati molto gravi per i quali </w:t>
      </w:r>
      <w:r>
        <w:t xml:space="preserve">esistono soluzioni di controllo evidenti, queste vengono implementate subito, senza attendere ulteriori analisi. Ad esempio, se si individua che un macchinario ha un organo rotante esposto (rischio di </w:t>
      </w:r>
      <w:r>
        <w:t xml:space="preserve">cesoiamento</w:t>
      </w:r>
      <w:r>
        <w:t xml:space="preserve">), la pro</w:t>
      </w:r>
      <w:r>
        <w:t xml:space="preserve">tezione viene installata immediatamente in conformità normativa, senza necessità di complesse valutazioni numeriche. Per i rischi più complessi o meno noti invece viene condotta una valutazione più dettagliata, eventualmente ricorrendo a misurazioni strume</w:t>
      </w:r>
      <w:r>
        <w:t xml:space="preserve">ntali o consulenze tecniche (ad es. monitoraggi fonometrici per valutare l’esposizione a rumore, campionamenti per agenti chimici, calcoli di stress termico secondo ISO 7243, ecc.). Questo approccio differenziato è in linea con le linee guida europee che s</w:t>
      </w:r>
      <w:r>
        <w:t xml:space="preserve">uggeriscono di separare i “rischi ben noti con misure prontamente identificabili” dai “rischi che necessitano di un esame più attento e dettagliato”. In tal modo, si garantisce tempestività d’azione sui fronti critici e approfondimento su quelli meno ovvi.</w:t>
      </w:r>
      <w:r/>
    </w:p>
    <w:p>
      <w:pPr>
        <w:pStyle w:val="1011"/>
        <w:pBdr/>
        <w:spacing/>
        <w:ind/>
        <w:rPr/>
      </w:pPr>
      <w:r>
        <w:rPr>
          <w:b/>
          <w:bCs/>
        </w:rPr>
        <w:t xml:space="preserve">Principali pericoli identificati</w:t>
      </w:r>
      <w:r>
        <w:t xml:space="preserve"> – Dalla valutazione dei rischi condotta emergono numerosi pericoli inerenti ai processi di </w:t>
      </w:r>
      <w:r>
        <w:t xml:space="preserve">Agrumigel</w:t>
      </w:r>
      <w:r>
        <w:t xml:space="preserve">. Si riassumono i più rilevanti per categorie, insieme alle misure di prevenzione previste (che saranno dettagliate in sez. 8):</w:t>
      </w:r>
      <w:r/>
    </w:p>
    <w:p>
      <w:pPr>
        <w:numPr>
          <w:ilvl w:val="0"/>
          <w:numId w:val="10"/>
        </w:numPr>
        <w:pBdr/>
        <w:spacing/>
        <w:ind/>
        <w:rPr/>
      </w:pPr>
      <w:r>
        <w:rPr>
          <w:b/>
          <w:bCs/>
        </w:rPr>
        <w:t xml:space="preserve">Pericoli meccanici e da macchine</w:t>
      </w:r>
      <w:r>
        <w:t xml:space="preserve">: presenti in vari reparti sotto forma di organi in movimento, parti rotanti, nastri trasportatori, organi di pressatura o taglio, ecc. Ad esempio: le presse e torchi per la spremitura delle bucce (rischio di schiacciamento, </w:t>
      </w:r>
      <w:r>
        <w:t xml:space="preserve">cesoiamento</w:t>
      </w:r>
      <w:r>
        <w:t xml:space="preserve">), i nastri trasportatori di agrumi (rischio di trascinamento), le centrifughe per le emulsioni (rischio di </w:t>
      </w:r>
      <w:r>
        <w:t xml:space="preserve">impigliamento</w:t>
      </w:r>
      <w:r>
        <w:t xml:space="preserve">, proiezione di parti in caso di rottura), gli agitatori nei serbatoi, le pompe e valvole dell’impianto di concentrazione (rischio di </w:t>
      </w:r>
      <w:r>
        <w:t xml:space="preserve">impigliamento</w:t>
      </w:r>
      <w:r>
        <w:t xml:space="preserve">, spruzzi di liquido caldo). Misure: tutte le macchine sono dotate di </w:t>
      </w:r>
      <w:r>
        <w:rPr>
          <w:b/>
          <w:bCs/>
        </w:rPr>
        <w:t xml:space="preserve">ripari fissi o mobili interbloccati</w:t>
      </w:r>
      <w:r>
        <w:t xml:space="preserve"> a norma CE, laddove vi siano organi pericolosi accessibili; dispositivi di arresto di emergenza facilmente raggiungibili; manutenzione preventiva e controlli periodici sull’efficienza dei ripari. </w:t>
      </w:r>
      <w:r>
        <w:rPr>
          <w:highlight w:val="none"/>
        </w:rPr>
        <w:t xml:space="preserve">Gli operatori vengono formati sulle </w:t>
      </w:r>
      <w:r>
        <w:rPr>
          <w:b/>
          <w:bCs/>
          <w:highlight w:val="none"/>
        </w:rPr>
        <w:t xml:space="preserve">procedure di lock-out/tag-out</w:t>
      </w:r>
      <w:r>
        <w:rPr>
          <w:highlight w:val="none"/>
        </w:rPr>
        <w:t xml:space="preserve"> </w:t>
      </w:r>
      <w:r>
        <w:rPr>
          <w:highlight w:val="none"/>
        </w:rPr>
        <w:t xml:space="preserve">(</w:t>
      </w:r>
      <w:r>
        <w:t xml:space="preserve">isolare le fonti di energia prima di interventi di pulizia o manutenzione) e sull’uso corretto delle attrezzature. Segnaletica di avvertimento e marcature a terra indicano le zone pericolose (es. raggio d’azione di macchine).</w:t>
      </w:r>
      <w:r/>
    </w:p>
    <w:p>
      <w:pPr>
        <w:numPr>
          <w:ilvl w:val="0"/>
          <w:numId w:val="10"/>
        </w:numPr>
        <w:pBdr/>
        <w:spacing/>
        <w:ind/>
        <w:rPr/>
      </w:pPr>
      <w:r>
        <w:rPr>
          <w:b/>
          <w:bCs/>
        </w:rPr>
        <w:t xml:space="preserve">Pericoli di movimentazione e trasporto</w:t>
      </w:r>
      <w:r>
        <w:t xml:space="preserve">: l’azienda movimenta grandi quantità di materie prime e prodotti tramite mezzi come </w:t>
      </w:r>
      <w:r>
        <w:rPr>
          <w:b/>
          <w:bCs/>
        </w:rPr>
        <w:t xml:space="preserve">carrelli elevatori (muletti)</w:t>
      </w:r>
      <w:r>
        <w:t xml:space="preserve">, transpallet elettrici</w:t>
      </w:r>
      <w:r>
        <w:t xml:space="preserve">, oltre al traffico di camion nell’area esterna. I rischi associati sono investimenti di pedoni, ribaltamenti del carrello, collisioni, caduta di carichi. Misure: </w:t>
      </w:r>
      <w:r>
        <w:rPr>
          <w:highlight w:val="none"/>
        </w:rPr>
        <w:t xml:space="preserve">esiste una chiara separazione tra per</w:t>
      </w:r>
      <w:r>
        <w:rPr>
          <w:highlight w:val="none"/>
        </w:rPr>
        <w:t xml:space="preserve">corsi pedonali e viari in stabilimento (strisce a terra, barriere)</w:t>
      </w:r>
      <w:r>
        <w:rPr>
          <w:highlight w:val="none"/>
        </w:rPr>
        <w:t xml:space="preserve">; </w:t>
      </w:r>
      <w:r>
        <w:t xml:space="preserve">i carrellisti sono formati e patentati; limite di velocità interno e obbligo di usare segnalatori acustici ai passaggi ciechi; manutenzione e checklist giornaliere per i carrelli; carichi </w:t>
      </w:r>
      <w:r>
        <w:t xml:space="preserve">palletizzati</w:t>
      </w:r>
      <w:r>
        <w:t xml:space="preserve"> correttamente e assicurati. Inoltre, la movimentazione manuale di carichi (es. sacchi di scorze, cassette di agrumi) com</w:t>
      </w:r>
      <w:r>
        <w:t xml:space="preserve">porta rischio ergonomico (mal di schiena, sforzi); a mitigazione: impiego di ausili (transpallet, sollevatori), formazione sulle posture corrette, rotazione dei compiti per evitare sovraccarichi e analisi NIOSH/OCRA per definire limiti di peso e frequenza.</w:t>
      </w:r>
      <w:r/>
    </w:p>
    <w:p>
      <w:pPr>
        <w:numPr>
          <w:ilvl w:val="0"/>
          <w:numId w:val="10"/>
        </w:numPr>
        <w:pBdr/>
        <w:spacing/>
        <w:ind/>
        <w:rPr/>
      </w:pPr>
      <w:r>
        <w:rPr>
          <w:b/>
          <w:bCs/>
        </w:rPr>
        <w:t xml:space="preserve">Pericoli di caduta dall’alto e scivolamenti</w:t>
      </w:r>
      <w:r>
        <w:t xml:space="preserve">: presenti ad esempio durante </w:t>
      </w:r>
      <w:r>
        <w:t xml:space="preserve">l’accesso a punti elevati (manutenzione su macchine alte, es. evaporatori, cicloni, silos di stoccaggio scorze; attività su scale portatili per pulizia di impianti; ispezione del tetto dove sono installati i pannelli fotovoltaici). C’è anche il rischio di </w:t>
      </w:r>
      <w:r>
        <w:rPr>
          <w:b/>
          <w:bCs/>
        </w:rPr>
        <w:t xml:space="preserve">caduta di oggetti dall’alto</w:t>
      </w:r>
      <w:r>
        <w:t xml:space="preserve"> (es. utensili durante manutenzioni in quota). Misure: predisposizione di </w:t>
      </w:r>
      <w:r>
        <w:rPr>
          <w:b/>
          <w:bCs/>
        </w:rPr>
        <w:t xml:space="preserve">linee vita e punti di ancoraggio</w:t>
      </w:r>
      <w:r>
        <w:t xml:space="preserve"> permanenti sui punti di lavoro elevati frequenti (es. tetto, botole di accesso digestore, sommità evaporatori); u</w:t>
      </w:r>
      <w:r>
        <w:t xml:space="preserve">so obbligatorio di imbracature di sicurezza anticaduta collegate a detti ancoraggi quando si lavora oltre i 2 m di altezza senza parapetto; uso di piattaforme elevabili (PLE) o trabattelli a norma per lavori in quota, evitando l’uso improprio di scale port</w:t>
      </w:r>
      <w:r>
        <w:t xml:space="preserve">atili se non per attività di breve durata e basso rischio; formazione specifica DPI 3a categoria anticaduta agli operatori manutenzione; delimitazione dell’area sottostante un lavoro in quota per prevenire rischio di caduta oggetti su altri. Per prevenire </w:t>
      </w:r>
      <w:r>
        <w:rPr>
          <w:b/>
          <w:bCs/>
        </w:rPr>
        <w:t xml:space="preserve">scivolamenti e inciampi</w:t>
      </w:r>
      <w:r>
        <w:t xml:space="preserve">: mantenimento dell’ordine e pulizia (sistema 5S) – corsie sgombre, pulizia immediata di sversamenti di liquidi (es. succo, olio) con materiali as</w:t>
      </w:r>
      <w:r>
        <w:t xml:space="preserve">sorbenti; pavimenti con superficie antiscivolo nelle zone umide (zona lavaggio frutta, area pastorizzatori); grigliati di raccolta per evitare accumuli d’acqua; pendenze e canaline per drenare liquidi. Calzature antiscivolo sono fornite a tutti gli operai.</w:t>
      </w:r>
      <w:r/>
    </w:p>
    <w:p>
      <w:pPr>
        <w:numPr>
          <w:ilvl w:val="0"/>
          <w:numId w:val="10"/>
        </w:numPr>
        <w:pBdr/>
        <w:spacing/>
        <w:ind/>
        <w:rPr/>
      </w:pPr>
      <w:r>
        <w:rPr>
          <w:b/>
          <w:bCs/>
        </w:rPr>
        <w:t xml:space="preserve">Pericoli elettrici</w:t>
      </w:r>
      <w:r>
        <w:t xml:space="preserve">: legati alla presenza di quadri elettrici di potenza, linee elettriche, motori e apparecchiature elettriche varie, nonché all’impianto di produzione e distribuzione energia (cogener</w:t>
      </w:r>
      <w:r>
        <w:t xml:space="preserve">atore, fotovoltaico). I rischi includono folgorazione diretta o indiretta e corto circuiti/incendi elettrici. Misure: l’impianto elettrico è progettato e mantenuto a regola d’arte, con verifiche periodiche della messa a terra e dei dispositivi differenzial</w:t>
      </w:r>
      <w:r>
        <w:t xml:space="preserve">i come da D.P.R. 462/01; solo personale elettrico qualificato e autorizzato può accedere ai quadri elettrici e compiere interventi sotto tensione (con adozione di procedure e DPI idonei);</w:t>
      </w:r>
      <w:r>
        <w:rPr>
          <w:highlight w:val="none"/>
        </w:rPr>
        <w:t xml:space="preserve"> </w:t>
      </w:r>
      <w:r>
        <w:rPr>
          <w:highlight w:val="none"/>
        </w:rPr>
        <w:t xml:space="preserve">i quadri sono chiusi e muniti di segnaletica di pericolo</w:t>
      </w:r>
      <w:r>
        <w:rPr>
          <w:highlight w:val="none"/>
        </w:rPr>
        <w:t xml:space="preserve">;</w:t>
      </w:r>
      <w:r>
        <w:t xml:space="preserve"> attrezzi e</w:t>
      </w:r>
      <w:r>
        <w:t xml:space="preserve"> strumenti portatili utilizzati in produzione sono a doppio isolamento o con protezione adeguata; in ambienti umidi o all’aperto si usano apparecchiature a bassa tensione di sicurezza (es. 24V) o idonee con differenziale ad alta sensibilità. Il personale r</w:t>
      </w:r>
      <w:r>
        <w:t xml:space="preserve">iceve formazione sui rischi elettrici indiretti (ad es. non toccare quadri aperti, non usare acqua su apparecchiature elettriche in tensione, etc.). Inoltre, per il fotovoltaico si tiene conto che i pannelli restano in tensione anche disconnessi: le squadr</w:t>
      </w:r>
      <w:r>
        <w:t xml:space="preserve">e di manutenzione PV sono istruite sulle procedure di sicurezza (lavori eseguiti preferibilmente di sera/notte o con copertura dei pannelli per evitare tensione). Ci sono piani e sezionatori per spegnimento emergenza in caso di intervento Vigili del Fuoco.</w:t>
      </w:r>
      <w:r/>
    </w:p>
    <w:p>
      <w:pPr>
        <w:numPr>
          <w:ilvl w:val="0"/>
          <w:numId w:val="10"/>
        </w:numPr>
        <w:pBdr/>
        <w:spacing/>
        <w:ind/>
        <w:rPr/>
      </w:pPr>
      <w:r>
        <w:rPr>
          <w:b/>
          <w:bCs/>
        </w:rPr>
        <w:t xml:space="preserve">Pericoli chimici</w:t>
      </w:r>
      <w:r>
        <w:t xml:space="preserve">: numerosi agenti chimici sono presenti in stabilimento, con rischi diversi (tossicità, infiammabilità, corrosività). Tra i principali:</w:t>
      </w:r>
      <w:r/>
    </w:p>
    <w:p>
      <w:pPr>
        <w:pStyle w:val="1013"/>
        <w:numPr>
          <w:ilvl w:val="0"/>
          <w:numId w:val="10"/>
        </w:numPr>
        <w:pBdr/>
        <w:spacing/>
        <w:ind/>
        <w:rPr/>
      </w:pPr>
      <w:r>
        <w:rPr>
          <w:b/>
          <w:bCs/>
        </w:rPr>
        <w:t xml:space="preserve">Ammoniaca anidra</w:t>
      </w:r>
      <w:r>
        <w:t xml:space="preserve"> (NH₃) utilizzata come refrigerante nell’impianto frigorifero. È tossica e corro</w:t>
      </w:r>
      <w:r>
        <w:t xml:space="preserve">siva, con rischio di intossicazione acuta per inalazione in caso di fuga consistente, oltre che rischio di ustioni chimiche per contatto cutaneo con il liquido refrigerante (ammoniaca liquida molto fredda). Inoltre l’ammoniaca è classificata come sostanza </w:t>
      </w:r>
      <w:r>
        <w:t xml:space="preserve">pericolosa ai fini incidenti rilevanti (in certe quantità) e comporta rischio ambientale. Misure: l’impianto frigorifero ad ammoniaca è confinato in una </w:t>
      </w:r>
      <w:r>
        <w:rPr>
          <w:b/>
          <w:bCs/>
        </w:rPr>
        <w:t xml:space="preserve">sala macchine</w:t>
      </w:r>
      <w:r>
        <w:t xml:space="preserve"> dedicata, dotata di sistemi di sicurezza: sensori fissi di rilevazione ammoniaca con allarme sia locale che remoto; ventilazione di emergenza automatica in caso di rilevamento di perdite (estrattori); valvole di sicurezza e sistemi di</w:t>
      </w:r>
      <w:r>
        <w:t xml:space="preserve"> intercettazione sezionali; area esterna di sfogo sicura per eventuali scarichi di ammoniaca (torchio o vasca di contenimento). Il personale frigorista e di manutenzione ha DPI specifici (maschere con filtro per ammoniaca o autorespiratori per interventi d</w:t>
      </w:r>
      <w:r>
        <w:t xml:space="preserve">i emergenza, guanti e occhiali per maneggiare olio/ammoniaca, tute). Procedure di sicurezza rigorose limitano l’accesso alla sala compressori solo a personale autorizzato. Vengono svolte esercitazioni periodiche su scenari di fuga di ammoniaca. In caso di </w:t>
      </w:r>
      <w:r>
        <w:rPr>
          <w:b/>
          <w:bCs/>
        </w:rPr>
        <w:t xml:space="preserve">evento incidentale</w:t>
      </w:r>
      <w:r>
        <w:t xml:space="preserve"> di fuoriuscita significativa, è previsto l’allarme generale ed evacuazione dello stabilimento, con l’intervento immediato dei Vigili del Fuoco specializzati</w:t>
      </w:r>
      <w:hyperlink r:id="rId17" w:tooltip="file://file-HL7xRNs4nnxAmUZAujdMJ7#:~:text=1o1%20Sostanze%20pericolose%20dell%E2%80%99impianto%20di,pastorizzazione%20%205%201%20C" w:anchor=":~:text=1o1%20Sostanze%20pericolose%20dell%E2%80%99impianto%20di,pastorizzazione%20%205%201%20C" w:history="1">
        <w:r>
          <w:rPr>
            <w:rStyle w:val="1047"/>
          </w:rPr>
          <w:t xml:space="preserve">[14]</w:t>
        </w:r>
      </w:hyperlink>
      <w:r>
        <w:t xml:space="preserve">. L’azienda ha valutato questo scenario come uno dei rischi più significativi e ha predisposto il Piano di Emergenza in coordinamento con le autorità al riguardo.</w:t>
      </w:r>
      <w:r/>
    </w:p>
    <w:p>
      <w:pPr>
        <w:pStyle w:val="1013"/>
        <w:numPr>
          <w:ilvl w:val="0"/>
          <w:numId w:val="10"/>
        </w:numPr>
        <w:pBdr/>
        <w:spacing/>
        <w:ind/>
        <w:rPr/>
      </w:pPr>
      <w:r>
        <w:rPr>
          <w:b/>
          <w:bCs/>
        </w:rPr>
        <w:t xml:space="preserve">Anidride carbonica (CO₂)</w:t>
      </w:r>
      <w:r>
        <w:t xml:space="preserve">: </w:t>
      </w:r>
      <w:r>
        <w:t xml:space="preserve">Misure: bombole di CO₂ (se utilizzate) stoccate in luoghi ventilati e sicuri</w:t>
      </w:r>
      <w:r>
        <w:t xml:space="preserve">. </w:t>
      </w:r>
      <w:r>
        <w:t xml:space="preserve">In generale, l’accumulo di CO₂ può avvenire i</w:t>
      </w:r>
      <w:r>
        <w:t xml:space="preserve">n depressioni o locali bassi – per questo i gas più pesanti come CO₂ e lo stesso NH₃ (che è più leggero dell’aria ma in caso di liquido pesante può stratificare basso) sono considerati nei piani di evacuazione (non sostare in avvallamenti in caso di fuga).</w:t>
      </w:r>
      <w:r/>
    </w:p>
    <w:p>
      <w:pPr>
        <w:pStyle w:val="1013"/>
        <w:numPr>
          <w:ilvl w:val="0"/>
          <w:numId w:val="10"/>
        </w:numPr>
        <w:pBdr/>
        <w:spacing/>
        <w:ind/>
        <w:rPr/>
      </w:pPr>
      <w:r>
        <w:rPr>
          <w:b/>
          <w:bCs/>
        </w:rPr>
        <w:t xml:space="preserve">Glicole</w:t>
      </w:r>
      <w:r>
        <w:t xml:space="preserve"> (tipicamente glicole etilenico o propilenico): usato come fluido termovettore in circuiti di raffreddamento secondari (ad esempio nell’impianto di refrigerazione per portare il freddo alle utenze, riducendo la quantità di ammoniaca circoscritta alla centr</w:t>
      </w:r>
      <w:r>
        <w:t xml:space="preserve">ale). Il glicole è un liquido moderatamente tossico se ingerito (specie l’etilenico) e può causare irritazione cutanea o agli occhi in caso di contatto. Ha anche rischio scivolamento se sversato e in alcuni casi è infiammabile a temperature elevate. Misure</w:t>
      </w:r>
      <w:r>
        <w:t xml:space="preserve">: l’impianto a glicole è a circuito chiuso; vengono comunque maneggiate taniche/fusti per il rabbocco o sostituzione periodica – queste operazioni sono svolte con guanti e occhiali protettivi. Si presta attenzione allo stoccaggio (locale ventilato, lontano</w:t>
      </w:r>
      <w:r>
        <w:t xml:space="preserve"> da fonti di ignizione) e allo smaltimento del glicole esausto come rifiuto pericoloso. In caso di sversamento accidentale, c’è una procedura per contenere (barriere assorbenti) e raccogliere il liquido, eliminando residui per evitare scivolate e contatti.</w:t>
      </w:r>
      <w:r/>
    </w:p>
    <w:p>
      <w:pPr>
        <w:numPr>
          <w:ilvl w:val="0"/>
          <w:numId w:val="10"/>
        </w:numPr>
        <w:pBdr/>
        <w:spacing/>
        <w:ind/>
        <w:rPr/>
      </w:pPr>
      <w:r>
        <w:rPr>
          <w:b/>
          <w:bCs/>
        </w:rPr>
        <w:t xml:space="preserve">Altre sostanze chimiche</w:t>
      </w:r>
      <w:r>
        <w:t xml:space="preserve">: includono detergenti e sanificanti utilizzati nei CIP (</w:t>
      </w:r>
      <w:r>
        <w:t xml:space="preserve">clean</w:t>
      </w:r>
      <w:r>
        <w:t xml:space="preserve">-in-place) degli impianti alimentari (es. soda caustica </w:t>
      </w:r>
      <w:r>
        <w:t xml:space="preserve">NaOH</w:t>
      </w:r>
      <w:r>
        <w:t xml:space="preserve">, acido nitrico o peracetico per sanificazione – corrosivi); gas metano (CH₄) e biogas (CH₄+CO₂) combustibili per caldaie e cogeneratore – rischio incendio/esplosione; gasolio o GPL per eventuali generatori di </w:t>
      </w:r>
      <w:r>
        <w:t xml:space="preserve">riserva – infiammabili; oli idraulici e lub</w:t>
      </w:r>
      <w:r>
        <w:t xml:space="preserve">rificanti per macchine – infiammabili e irritanti; reagenti di laboratorio (solventi, acidi, ecc. in piccole quantità). Per ognuno di essi la valutazione del rischio chimico (effettuata secondo le metodiche nazionali) stabilisce il livello di rischio e le </w:t>
      </w:r>
      <w:r>
        <w:t xml:space="preserve">misure: ad esempio, per gli acidi/basi forti si usano pompe e circuiti chiusi per i travasi e si forniscono doccia oculare e doccia di emergenza vicino ai punti di utilizzo; per i vapori di peracetico (disinfettante) che sono irritanti, si prevede ventilaz</w:t>
      </w:r>
      <w:r>
        <w:t xml:space="preserve">ione locale e maschere facciali con filtri adeguati se necessario; </w:t>
      </w:r>
      <w:r>
        <w:rPr>
          <w:highlight w:val="none"/>
        </w:rPr>
        <w:t xml:space="preserve">per il </w:t>
      </w:r>
      <w:r>
        <w:rPr>
          <w:highlight w:val="none"/>
        </w:rPr>
        <w:t xml:space="preserve">gas metano la centrale termica ha rilevatori di metano</w:t>
      </w:r>
      <w:r>
        <w:rPr>
          <w:highlight w:val="none"/>
        </w:rPr>
        <w:t xml:space="preserve"> e ventilazione</w:t>
      </w:r>
      <w:r>
        <w:rPr>
          <w:highlight w:val="none"/>
        </w:rPr>
        <w:t xml:space="preserve"> naturale</w:t>
      </w:r>
      <w:r>
        <w:rPr>
          <w:highlight w:val="none"/>
        </w:rPr>
        <w:t xml:space="preserve">,</w:t>
      </w:r>
      <w:r>
        <w:t xml:space="preserve"> oltre a procedure di permissive per lavori su linee gas. Tutte le sostanze chimiche possiedono </w:t>
      </w:r>
      <w:r>
        <w:rPr>
          <w:b/>
          <w:bCs/>
        </w:rPr>
        <w:t xml:space="preserve">Schede Dati di Sicurezza (SDS)</w:t>
      </w:r>
      <w:r>
        <w:t xml:space="preserve"> a disposizione dei lavoratori e la segnaletica indicante i pericoli (pittogrammi CLP) è apposta sui contenitori e nei locali di stoccaggio. I lavoratori addetti (manutentori, addetti pulizie)</w:t>
      </w:r>
      <w:r>
        <w:t xml:space="preserve"> ricevono formazione specifica sul rischio chimico e sull’uso dei DPI chimici (guanti resistenti, visiere, grembiuli, autorespiratore per emergenze in digestore, ecc.). Inoltre, sono stati identificati eventuali agenti cancerogeni o mutageni: nel contesto </w:t>
      </w:r>
      <w:r>
        <w:t xml:space="preserve">Agrumigel</w:t>
      </w:r>
      <w:r>
        <w:t xml:space="preserve"> l’esposizione diretta a tali agenti è minima (forse tracce di benzene nelle emissioni di combustione, ma non esposizione diretta; oppure l’olio di l</w:t>
      </w:r>
      <w:r>
        <w:t xml:space="preserve">imone che contiene limonene, irritante ma non cancerogeno se non ossidato). Comunque, se introdotto un prodotto classificato cancerogeno (es. formaldeide come disinfettante, ipotesi), l’azienda attuerebbe le misure rigidissime di eliminazione/sostituzione.</w:t>
      </w:r>
      <w:r/>
    </w:p>
    <w:p>
      <w:pPr>
        <w:numPr>
          <w:ilvl w:val="0"/>
          <w:numId w:val="10"/>
        </w:numPr>
        <w:pBdr/>
        <w:spacing/>
        <w:ind/>
        <w:rPr/>
      </w:pPr>
      <w:r>
        <w:rPr>
          <w:b/>
          <w:bCs/>
        </w:rPr>
        <w:t xml:space="preserve">Pericoli fisici (rumore, vibrazioni, microclima)</w:t>
      </w:r>
      <w:r>
        <w:t xml:space="preserve">: il ciclo produttivo comporta macchine rumorose come i frantumatori e</w:t>
      </w:r>
      <w:r>
        <w:t xml:space="preserve"> forni per scorze, compressori d’aria, cogeneratore, centrifughe – il rumore ambientale in alcune zone può superare gli 80 dB(A). La valutazione fonometrica ha individuato i lavoratori esposti oltre 85 dB(A) e ha definito le misure: zone rumorose segnalate</w:t>
      </w:r>
      <w:r>
        <w:t xml:space="preserve"> e accesso regolamentato; dimezzamento del tempo di esposizione con rotazioni; fornitura di DPI uditivi (cuffie o inserti) a chi opera nelle vicinanze di macchine rumorose (es. essiccatoio scorze, compressori) con obbligo di utilizzo; manutenzione di cusci</w:t>
      </w:r>
      <w:r>
        <w:t xml:space="preserve">netti e parti meccaniche per ridurre rumorosità; cabine insonorizzate per compressori e cogeneratore. I valori di esposizione sono registrati e i lavoratori interessati sono sottoposti a controllo audiometrico periodico dal MC. Le vibrazioni meccaniche pos</w:t>
      </w:r>
      <w:r>
        <w:t xml:space="preserve">sono riguardare gli operatori carrellisti (vibrazioni corpo intero da muletto su pavimentazione a volte irregolare) e operatori che usano utensili manuali (trapani, flessibili per manutenzione – vibrazioni mano-braccio). Anche qui, valutazioni strumentali </w:t>
      </w:r>
      <w:r>
        <w:t xml:space="preserve">e misure: l’acquisto di carrelli con sedili ammortizzati e manutenzione pavimenti, limitazione del tempo di guida continuo; per utensili, scelta di modelli a basso impatto e limiti di utilizzo giornalieri, con guanti antivibranti forniti se necessario. Il </w:t>
      </w:r>
      <w:r>
        <w:rPr>
          <w:b/>
          <w:bCs/>
        </w:rPr>
        <w:t xml:space="preserve">microclima</w:t>
      </w:r>
      <w:r>
        <w:t xml:space="preserve"> varia nelle aree: chi lavora nelle celle frigorifere (congelamento succo) è esposto a freddo intenso; viceversa, vicino ai forni di essiccazione e alle caldaie c’è caldo e possibili colpi</w:t>
      </w:r>
      <w:r>
        <w:t xml:space="preserve"> di calore in estate. Misure: pause regolari e abbigliamento protettivo (tute termiche) per chi entra in celle a -20°C; procedure di lavoro a coppie e tempo limitato. Nelle aree calde, ventilazione forzata e zone d’ombra, disponibilità di acqua fresca per </w:t>
      </w:r>
      <w:r>
        <w:t xml:space="preserve">idratazione, orari di lavoro nelle ore più fresche per alcune attività esterne estive; il MC monitora eventuali effetti del microclima su pressione/condizioni degli esposti.</w:t>
      </w:r>
      <w:r/>
    </w:p>
    <w:p>
      <w:pPr>
        <w:numPr>
          <w:ilvl w:val="0"/>
          <w:numId w:val="10"/>
        </w:numPr>
        <w:pBdr/>
        <w:spacing/>
        <w:ind/>
        <w:rPr/>
      </w:pPr>
      <w:r>
        <w:rPr>
          <w:b/>
          <w:bCs/>
        </w:rPr>
        <w:t xml:space="preserve">Pericoli biologici</w:t>
      </w:r>
      <w:r>
        <w:t xml:space="preserve">: moderati in questo tipo di industria, ma non assenti. Fonti: i </w:t>
      </w:r>
      <w:r>
        <w:rPr>
          <w:b/>
          <w:bCs/>
        </w:rPr>
        <w:t xml:space="preserve">reflui e fanghi</w:t>
      </w:r>
      <w:r>
        <w:t xml:space="preserve"> del depuratore contengono cariche batteriche (es. batteri fecali, ecc.) e microrganismi della decomposizione; la manipolazione di </w:t>
      </w:r>
      <w:r>
        <w:rPr>
          <w:b/>
          <w:bCs/>
        </w:rPr>
        <w:t xml:space="preserve">frutta ammuffita o marcescente</w:t>
      </w:r>
      <w:r>
        <w:t xml:space="preserve"> (può capitare su partite di agrumi avariati) espone a muffe e spore fungine; gli </w:t>
      </w:r>
      <w:r>
        <w:rPr>
          <w:b/>
          <w:bCs/>
        </w:rPr>
        <w:t xml:space="preserve">ambienti umidi</w:t>
      </w:r>
      <w:r>
        <w:t xml:space="preserve"> (es. area vasche depuratore, aree di lavaggio) possono</w:t>
      </w:r>
      <w:r>
        <w:t xml:space="preserve"> favorire proliferazione di leptospira (urine di roditori). </w:t>
      </w:r>
      <w:r>
        <w:t xml:space="preserve">Inoltre, nel digestore anaerobico il biogas contiene idrogeno solforato (H₂S) prodotto dai batteri, che è tossico (chimico) ma anche indicatore di </w:t>
      </w:r>
      <w:r>
        <w:t xml:space="preserve">bio</w:t>
      </w:r>
      <w:r>
        <w:t xml:space="preserve">-rischio. Misure: i lavoratori che maneggiano fanghi o materiali organici indossano DPI come guanti impermeabili, stivali, facciali filtranti FFP2 se polveroso (ad es. fanghi secchi), e occhiali; viene effettuata la </w:t>
      </w:r>
      <w:r>
        <w:rPr>
          <w:b/>
          <w:bCs/>
        </w:rPr>
        <w:t xml:space="preserve">vaccinazione antitetanica</w:t>
      </w:r>
      <w:r>
        <w:t xml:space="preserve"> per tutti gli operai e, per chi opera in depuratore, si valuta vaccino antiepatite e </w:t>
      </w:r>
      <w:r>
        <w:t xml:space="preserve">antileptospirosi</w:t>
      </w:r>
      <w:r>
        <w:t xml:space="preserve"> secondo MC. Pulizia e disinfezione ambientale regolare per prevenire infestazioni di roditori/insetti (piano derattizzazione attivo, che indirettamente riduce rischi biologici).</w:t>
      </w:r>
      <w:r>
        <w:rPr>
          <w:highlight w:val="none"/>
        </w:rPr>
        <w:t xml:space="preserve"> </w:t>
      </w:r>
      <w:r>
        <w:rPr>
          <w:highlight w:val="none"/>
        </w:rPr>
        <w:t xml:space="preserve">Il rischio legionella è ge</w:t>
      </w:r>
      <w:r>
        <w:rPr>
          <w:highlight w:val="none"/>
        </w:rPr>
        <w:t xml:space="preserve">stito con piani di controllo dell’acqua sanitaria e di raffreddamento (monitoraggi periodici e </w:t>
      </w:r>
      <w:r>
        <w:rPr>
          <w:highlight w:val="none"/>
        </w:rPr>
        <w:t xml:space="preserve">sanificazioni</w:t>
      </w:r>
      <w:r>
        <w:rPr>
          <w:highlight w:val="none"/>
        </w:rPr>
        <w:t xml:space="preserve">)</w:t>
      </w:r>
      <w:r>
        <w:t xml:space="preserve">. Nel complesso il livello di rischio biologico è considerato non alto (agenti prevalentemente di gruppo 1 o 2, prevenibili con igiene e DPI base).</w:t>
      </w:r>
      <w:r/>
    </w:p>
    <w:p>
      <w:pPr>
        <w:numPr>
          <w:ilvl w:val="0"/>
          <w:numId w:val="10"/>
        </w:numPr>
        <w:pBdr/>
        <w:spacing/>
        <w:ind/>
        <w:rPr/>
      </w:pPr>
      <w:r>
        <w:rPr>
          <w:b/>
          <w:bCs/>
        </w:rPr>
        <w:t xml:space="preserve">Pericoli di incendio ed esplosione</w:t>
      </w:r>
      <w:r>
        <w:t xml:space="preserve">: lo stabilimento presenta diverse sorgenti di innesco e materiali combustibili. Rischi di incendio significativi sono associati a: presenza di strutture in legno (pallet, imballaggi), olio essenziale di agrumi (limonene) che è infiammabile, alcool etili</w:t>
      </w:r>
      <w:r>
        <w:t xml:space="preserve">co se prodotto in distillazione (anche se in minima quantità), depositi di polveri di scorza secca (che in concentrazione opportuna possono dare esplosioni di polvere), gas combustibili (metano/biogas) e liquidi infiammabili (gasolio). Particolarmente, il </w:t>
      </w:r>
      <w:r>
        <w:rPr>
          <w:b/>
          <w:bCs/>
        </w:rPr>
        <w:t xml:space="preserve">reparto essiccazione scorze</w:t>
      </w:r>
      <w:r>
        <w:t xml:space="preserve"> è critico: forni ad alta temperatura, polveri di scorza in sospensione, ventilatori e cicloni – c’è un rischio di incendio o esplosione in caso di accumulo e innesco di polveri. Misure: è stato sviluppato </w:t>
      </w:r>
      <w:r>
        <w:rPr>
          <w:b/>
          <w:bCs/>
          <w:highlight w:val="none"/>
        </w:rPr>
        <w:t xml:space="preserve">Documento di Protezione contro le Esplosioni (DPE – inserito in DVR)</w:t>
      </w:r>
      <w:r>
        <w:rPr>
          <w:highlight w:val="none"/>
        </w:rPr>
        <w:t xml:space="preserve"> </w:t>
      </w:r>
      <w:r>
        <w:t xml:space="preserve"> </w:t>
      </w:r>
      <w:r>
        <w:rPr>
          <w:highlight w:val="none"/>
        </w:rPr>
        <w:t xml:space="preserve">il</w:t>
      </w:r>
      <w:r>
        <w:rPr>
          <w:highlight w:val="none"/>
        </w:rPr>
        <w:t xml:space="preserve"> </w:t>
      </w:r>
      <w:r>
        <w:rPr>
          <w:highlight w:val="none"/>
        </w:rPr>
        <w:t xml:space="preserve">anal</w:t>
      </w:r>
      <w:r>
        <w:t xml:space="preserve">izzando le aree ATEX – si sono classificate zone con pericolo polvere (interno</w:t>
      </w:r>
      <w:r>
        <w:t xml:space="preserve"> cicloni, tramoggia) e zone con gas (sala biogas, cabina gas metano) e adottate misure: impianti elettrici antideflagranti in zone a rischio, sistemi di messa a terra per evitare elettricità statica su silos e tubazioni, sensori di temperatura e flusso per</w:t>
      </w:r>
      <w:r>
        <w:t xml:space="preserve"> rilevare surriscaldamenti anomali nei forni, valvole di sfogo e pannelli di rottura sui cicloni per alleggerire eventuali esplosioni di polvere. Rigorosa pulizia periodica per evitare accumulo di polvere combustibile su superfici calde. Divieto assoluto d</w:t>
      </w:r>
      <w:r>
        <w:t xml:space="preserve">i fiamme libere e fumo in stabilimento (se non in aree fumatori esterne designate). Per i gas: la centrale biogas è dotata di torcia di emergenza per bruciare l’eccesso e sensori di metano per allarmi rapidi; la caldaia e cogeneratore hanno sistemi di sicu</w:t>
      </w:r>
      <w:r>
        <w:t xml:space="preserve">rezza (interblocchi di flusso gas, valvole di sicurezza).</w:t>
      </w:r>
      <w:r>
        <w:t xml:space="preserve"> Tutto il personale è formato sul rischio incendio, sugli estintori </w:t>
      </w:r>
      <w:r>
        <w:t xml:space="preserve">(numerosi e di tipo adegu</w:t>
      </w:r>
      <w:r>
        <w:t xml:space="preserve">ato alle varie classi di fuoco, controllati a norma) e sulle procedure di evacuazione. L’azienda possiede un piano antincendio approvato dai VV.F. con uscite di sicurezza segnalate</w:t>
      </w:r>
      <w:r>
        <w:rPr>
          <w:highlight w:val="none"/>
        </w:rPr>
        <w:t xml:space="preserve">,</w:t>
      </w:r>
      <w:r>
        <w:rPr>
          <w:highlight w:val="none"/>
        </w:rPr>
        <w:t xml:space="preserve"> illuminazione di emergenza</w:t>
      </w:r>
      <w:r>
        <w:rPr>
          <w:highlight w:val="none"/>
        </w:rPr>
        <w:t xml:space="preserve">, punti di raccolta esterni.</w:t>
      </w:r>
      <w:r>
        <w:t xml:space="preserve"> Vengono effettuate </w:t>
      </w:r>
      <w:r>
        <w:rPr>
          <w:b/>
          <w:bCs/>
        </w:rPr>
        <w:t xml:space="preserve">prove di evacuazione</w:t>
      </w:r>
      <w:r>
        <w:t xml:space="preserve"> almeno annuali per addestrare il personale.</w:t>
      </w:r>
      <w:r/>
    </w:p>
    <w:p>
      <w:pPr>
        <w:numPr>
          <w:ilvl w:val="0"/>
          <w:numId w:val="10"/>
        </w:numPr>
        <w:pBdr/>
        <w:spacing/>
        <w:ind/>
        <w:rPr/>
      </w:pPr>
      <w:r>
        <w:rPr>
          <w:b/>
          <w:bCs/>
        </w:rPr>
        <w:t xml:space="preserve">Pericoli organizzativi e psicosociali</w:t>
      </w:r>
      <w:r>
        <w:t xml:space="preserve">: </w:t>
      </w:r>
      <w:r>
        <w:t xml:space="preserve">Agrumigel</w:t>
      </w:r>
      <w:r>
        <w:t xml:space="preserve"> considera anche rischi meno tangibili come lo stress lavoro-correlato, il carico di lavoro e i turni, aspetti di monotonia o conflitto. In fasi di picco produttivo (campagna agrumi) i ritmi sono elevati e vengono ric</w:t>
      </w:r>
      <w:r>
        <w:t xml:space="preserve">hieste ore straordinarie e lavoro su turni multipli: ciò può affaticare i lavoratori e aumentare la probabilità di incidenti per disattenzione. Misure: programmazione di turni che rispettino pause e riposi, evitare se possibile doppi turni consecutivi; ins</w:t>
      </w:r>
      <w:r>
        <w:t xml:space="preserve">erimento di personale aggiuntivo stagionale per distribuire il carico; monitoraggio dello straordinario individuale. La valutazione dello stress lavoro correlato (effettuata secondo le indicazioni INAIL con questionari ai lavoratori) non ha evidenziato cri</w:t>
      </w:r>
      <w:r>
        <w:t xml:space="preserve">ticità gravi, ma l’azienda continua a monitorare e ha aperto canali di comunicazione con i dipendenti (es. colloqui con RSPP/HR in caso di lamentele di sovraccarico, possibilità di rotazione su mansioni meno pesanti per chi accusa affaticamento). Anche il </w:t>
      </w:r>
      <w:r>
        <w:rPr>
          <w:b/>
          <w:bCs/>
        </w:rPr>
        <w:t xml:space="preserve">fenomeno delle molestie o violenze</w:t>
      </w:r>
      <w:r>
        <w:t xml:space="preserve"> sul lavoro viene considerato a rischio molto basso data la realtà aziendale coesa</w:t>
      </w:r>
      <w:r>
        <w:t xml:space="preserve">. Un buon clima lavorativo, promosso dalla Direzione, è visto come parte integrante di un luogo di lavoro sicuro.</w:t>
      </w:r>
      <w:r/>
    </w:p>
    <w:p>
      <w:pPr>
        <w:numPr>
          <w:ilvl w:val="0"/>
          <w:numId w:val="10"/>
        </w:numPr>
        <w:pBdr/>
        <w:spacing/>
        <w:ind/>
        <w:rPr/>
      </w:pPr>
      <w:r>
        <w:t xml:space="preserve">Nell'ambito della valutazione dei rischi e delle opportunità, </w:t>
      </w:r>
      <w:r>
        <w:t xml:space="preserve">Agrumigel</w:t>
      </w:r>
      <w:r>
        <w:t xml:space="preserve"> considera sistematicamente gli aspetti legati al cambiamen</w:t>
      </w:r>
      <w:r>
        <w:t xml:space="preserve">to climatico, identificando rischi emergenti quali l'aumento della probabilità di colpi di calore e disidratazione per i lavoratori esposti, stress psicofisico correlato a condizioni climatiche estreme, rischi di scivolamento e caduta durante eventi meteor</w:t>
      </w:r>
      <w:r>
        <w:t xml:space="preserve">ologici intensi, e potenziali interruzioni delle forniture energetiche durante eventi estremi con impatti sulla sicurezza degli impianti. Parallelamente, l'azienda coglie le opportunità derivanti dall'adattamento climatico attraverso l'implementazione di s</w:t>
      </w:r>
      <w:r>
        <w:t xml:space="preserve">istemi di monitoraggio meteorologico avanzati, l'introduzione di pause programmate</w:t>
      </w:r>
      <w:r>
        <w:t xml:space="preserve"> e lo sviluppo di protocolli specifici per condizioni climatiche estreme, e investimenti in tecnologie che riducono l'esposizione dei lavoratori</w:t>
      </w:r>
      <w:r/>
    </w:p>
    <w:p>
      <w:pPr>
        <w:pStyle w:val="1012"/>
        <w:pBdr/>
        <w:spacing/>
        <w:ind/>
        <w:rPr/>
      </w:pPr>
      <w:r>
        <w:t xml:space="preserve">Il risultato finale della valutazione dei rischi è un elenco di </w:t>
      </w:r>
      <w:r>
        <w:rPr>
          <w:b/>
          <w:bCs/>
        </w:rPr>
        <w:t xml:space="preserve">misure di prevenzione e protezione</w:t>
      </w:r>
      <w:r>
        <w:t xml:space="preserve"> da attuare o mantenere. Queste misure sono poi tradotte in un vero e proprio </w:t>
      </w:r>
      <w:r>
        <w:rPr>
          <w:b/>
          <w:bCs/>
        </w:rPr>
        <w:t xml:space="preserve">Piano di interventi</w:t>
      </w:r>
      <w:r>
        <w:t xml:space="preserve"> (programma di miglioramento) alleg</w:t>
      </w:r>
      <w:r>
        <w:t xml:space="preserve">ato al DVR, con indicazione di responsabili, risorse e tempistiche. Ad esempio, nel </w:t>
      </w:r>
      <w:r>
        <w:rPr>
          <w:highlight w:val="none"/>
        </w:rPr>
        <w:t xml:space="preserve">programma di miglioramento attuale</w:t>
      </w:r>
      <w:r>
        <w:rPr>
          <w:highlight w:val="yellow"/>
        </w:rPr>
        <w:t xml:space="preserve"> </w:t>
      </w:r>
      <w:r>
        <w:t xml:space="preserve">figurano azioni come: installazione di un ulteriore estrattore nel locale ammoniaca (da completare entro fine anno, resp. Ufficio Tecnico</w:t>
      </w:r>
      <w:r>
        <w:t xml:space="preserve">), </w:t>
      </w:r>
      <w:r>
        <w:rPr>
          <w:highlight w:val="none"/>
        </w:rPr>
        <w:t xml:space="preserve">sostituzione dei guanti per il reparto essenze con modello più resistente agli oli</w:t>
      </w:r>
      <w:r>
        <w:rPr>
          <w:highlight w:val="none"/>
        </w:rPr>
        <w:t xml:space="preserve"> </w:t>
      </w:r>
      <w:r>
        <w:t xml:space="preserve">(resp. RSPP, entro mese prossimo), implementazione di un sistema di arresto di emergenza a cavo lungo i nastri trasportatori (resp. Manutenzione, in corso). Il DVR viene </w:t>
      </w:r>
      <w:r>
        <w:rPr>
          <w:b/>
          <w:bCs/>
        </w:rPr>
        <w:t xml:space="preserve">riesaminato periodicamente</w:t>
      </w:r>
      <w:r>
        <w:t xml:space="preserve"> almeno una volta l’anno e comunque aggiornato ogniqualvolta intervenga una modifica significativa (nuovi macchinari, cambi di layout, introduzione nuovi prodotti chimici, infortuni rilevanti, variazion</w:t>
      </w:r>
      <w:r>
        <w:t xml:space="preserve">i nel personale). Tale revisione coinvolge nuovamente RLS e lavoratori interessati, nonché tiene conto di eventuali nuove normative o linee guida tecniche. In questo modo la valutazione dei rischi rimane sempre attuale e il sistema di prevenzione adeguato.</w:t>
      </w:r>
      <w:r/>
    </w:p>
    <w:p>
      <w:pPr>
        <w:pStyle w:val="1001"/>
        <w:pBdr/>
        <w:spacing/>
        <w:ind/>
        <w:rPr/>
      </w:pPr>
      <w:r/>
      <w:bookmarkStart w:id="32" w:name="X1383b3f3f37f9d0f6a77f8f0dac5a805e3a5c07"/>
      <w:r/>
      <w:bookmarkStart w:id="33" w:name="_Toc211351956"/>
      <w:r/>
      <w:bookmarkEnd w:id="30"/>
      <w:r>
        <w:t xml:space="preserve">Opportunità per la SSL e analisi dei rischi/opportunità</w:t>
      </w:r>
      <w:bookmarkEnd w:id="33"/>
      <w:r/>
      <w:r/>
    </w:p>
    <w:p>
      <w:pPr>
        <w:pStyle w:val="1012"/>
        <w:pBdr/>
        <w:spacing/>
        <w:ind/>
        <w:rPr/>
      </w:pPr>
      <w:r>
        <w:t xml:space="preserve">Oltre a gestire i rischi, Agrumigel considera anche le </w:t>
      </w:r>
      <w:r>
        <w:rPr>
          <w:b/>
          <w:bCs/>
        </w:rPr>
        <w:t xml:space="preserve">opportunità</w:t>
      </w:r>
      <w:r>
        <w:t xml:space="preserve"> che si presentano per migliorare la salute e sicurezza sul lavoro e le presta attenzione già in fase di pianif</w:t>
      </w:r>
      <w:r>
        <w:t xml:space="preserve">icazione. L’analisi del contesto (Cap.4) e il coinvolgimento delle parti interessate consentono di individuare possibili spunti che, se colti, possono tradursi in benefici tangibili per i lavoratori e l’azienda. Alcune opportunità identificate comprendono:</w:t>
      </w:r>
      <w:r/>
    </w:p>
    <w:p>
      <w:pPr>
        <w:numPr>
          <w:ilvl w:val="0"/>
          <w:numId w:val="11"/>
        </w:numPr>
        <w:pBdr/>
        <w:spacing/>
        <w:ind/>
        <w:rPr/>
      </w:pPr>
      <w:r>
        <w:rPr>
          <w:b/>
          <w:bCs/>
        </w:rPr>
        <w:t xml:space="preserve">Miglioramenti tecnologici e di processo</w:t>
      </w:r>
      <w:r>
        <w:t xml:space="preserve">: ogni investimento in nuovi impianti o automazione viene visto come un’opportunità per eliminare vecchi pericoli. </w:t>
      </w:r>
      <w:r/>
    </w:p>
    <w:p>
      <w:pPr>
        <w:numPr>
          <w:ilvl w:val="0"/>
          <w:numId w:val="11"/>
        </w:numPr>
        <w:pBdr/>
        <w:spacing/>
        <w:ind/>
        <w:rPr/>
      </w:pPr>
      <w:r>
        <w:rPr>
          <w:b/>
          <w:bCs/>
        </w:rPr>
        <w:t xml:space="preserve">Opportunità formative e culturali</w:t>
      </w:r>
      <w:r>
        <w:t xml:space="preserve">: la crescente sensibilità dei lavoratori e l’adesione ai sistemi di certificazione offrono la chance di </w:t>
      </w:r>
      <w:r>
        <w:rPr>
          <w:b/>
          <w:bCs/>
        </w:rPr>
        <w:t xml:space="preserve">creare Safety Leaders interni</w:t>
      </w:r>
      <w:r>
        <w:t xml:space="preserve">. L’azienda ha l’opportunità di formare alcuni dipendenti appassionati come “tutor sicurezza” o referenti di reparto, che possano guidare i colleghi nei comportamenti corretti. Questo migliora la cultura della sicurezza e può ridurre la necessità di con</w:t>
      </w:r>
      <w:r>
        <w:t xml:space="preserve">trollo top-down. Inoltre, partecipare a progetti o reti di imprese per la sicurezza (ad esempio gruppi di confronto territoriali promossi da Confindustria) è visto come opportunità di apprendere best practice da altri e motivare ancora di più il personale.</w:t>
      </w:r>
      <w:r/>
    </w:p>
    <w:p>
      <w:pPr>
        <w:numPr>
          <w:ilvl w:val="0"/>
          <w:numId w:val="11"/>
        </w:numPr>
        <w:pBdr/>
        <w:spacing/>
        <w:ind/>
        <w:rPr/>
      </w:pPr>
      <w:r>
        <w:rPr>
          <w:b/>
          <w:bCs/>
        </w:rPr>
        <w:t xml:space="preserve">Digitalizzazione e monitoraggio</w:t>
      </w:r>
      <w:r>
        <w:t xml:space="preserve">: l’adozione di strumenti digitali (un software HSE, sistemi IoT) è un’opportunità per gestire meglio la sicurezza: si possono implementare </w:t>
      </w:r>
      <w:r>
        <w:rPr>
          <w:b/>
          <w:bCs/>
        </w:rPr>
        <w:t xml:space="preserve">sistemi di sensori</w:t>
      </w:r>
      <w:r>
        <w:t xml:space="preserve"> per monitorare in tempo reale condizioni di pericolo (ad es. braccialetti che vibrano in prossimità di macchine in movimento o zone vietate, sensori indos</w:t>
      </w:r>
      <w:r>
        <w:t xml:space="preserve">sabili per monitorare la postura e segnalare sollevamenti scorretti, app per segnalare near-miss rapidamente col cellulare). Tali innovazioni, sebbene abbiano un costo, offrono opportunità di prevenzione attiva e analisi dati (big data sui quasi incidenti </w:t>
      </w:r>
      <w:r>
        <w:t xml:space="preserve">per individuare trend). Agrumigel sta valutando alcune di queste soluzioni come possibili progetti pilota futuri.</w:t>
      </w:r>
      <w:r/>
    </w:p>
    <w:p>
      <w:pPr>
        <w:numPr>
          <w:ilvl w:val="0"/>
          <w:numId w:val="11"/>
        </w:numPr>
        <w:pBdr/>
        <w:spacing/>
        <w:ind/>
        <w:rPr/>
      </w:pPr>
      <w:r>
        <w:rPr>
          <w:b/>
          <w:bCs/>
        </w:rPr>
        <w:t xml:space="preserve">Miglioramento condizioni ambientali a beneficio sicurezza</w:t>
      </w:r>
      <w:r>
        <w:t xml:space="preserve">: i programmi ambientali ed energetici dell’azienda (fotovoltaico, efficienza energetica, riduzione emissioni) portano benefici collaterali alla sicurezza dei lavoratori. Ad esempio, l’opportunità di </w:t>
      </w:r>
      <w:r>
        <w:rPr>
          <w:b/>
          <w:bCs/>
        </w:rPr>
        <w:t xml:space="preserve">ridurre l’uso di ammoniaca</w:t>
      </w:r>
      <w:r>
        <w:t xml:space="preserve"> nel frigorifero integrandolo con un impianto secondario a CO₂ in cascata (scelta tecnologica innovativa) migliorerebbe la sicurezza generale riducendo la quantità di sostanza tossica; l’</w:t>
      </w:r>
      <w:r>
        <w:rPr>
          <w:b/>
          <w:bCs/>
        </w:rPr>
        <w:t xml:space="preserve">utilizzo del biogas</w:t>
      </w:r>
      <w:r>
        <w:t xml:space="preserve"> autoprodotto come combustibile riduce l’uso di combustibili fossili in stab</w:t>
      </w:r>
      <w:r>
        <w:t xml:space="preserve">ilimento.</w:t>
      </w:r>
      <w:r>
        <w:t xml:space="preserve"> Sono esempi di opportunità di integrazione S&amp;SL-ambiente: l’azienda le valuta e le pianifica in un’ottica di sviluppo sostenibile complessivo.</w:t>
      </w:r>
      <w:r/>
    </w:p>
    <w:p>
      <w:pPr>
        <w:numPr>
          <w:ilvl w:val="0"/>
          <w:numId w:val="11"/>
        </w:numPr>
        <w:pBdr/>
        <w:spacing/>
        <w:ind/>
        <w:rPr/>
      </w:pPr>
      <w:r>
        <w:rPr>
          <w:b/>
          <w:bCs/>
        </w:rPr>
        <w:t xml:space="preserve">Coinvolgimento attivo dei lavoratori</w:t>
      </w:r>
      <w:r>
        <w:t xml:space="preserve">: un’altra opportunità è valorizzare il contributo dei dipendenti dando loro responsabilità crescenti. Ad esempio, implementare un </w:t>
      </w:r>
      <w:r>
        <w:rPr>
          <w:b/>
          <w:bCs/>
        </w:rPr>
        <w:t xml:space="preserve">sistema di osservazioni di sicurezza tra pari</w:t>
      </w:r>
      <w:r>
        <w:t xml:space="preserve"> (BBS, Behavior Based Safety) può opportunamente coinvolgere i lavoratori nel migliorare i comportamenti, trasformandoli in parte della sol</w:t>
      </w:r>
      <w:r>
        <w:t xml:space="preserve">uzione. Questo è possibile grazie al buon clima interno: c’è opportunità di far evolvere la cultura dalla semplice adesione alla regola a un impegno volontario e convinto di ognuno (safety ownership). Ciò aumenterà la proattività e ridurrà l’incidentalità.</w:t>
      </w:r>
      <w:r/>
    </w:p>
    <w:p>
      <w:pPr>
        <w:pStyle w:val="1012"/>
        <w:pBdr/>
        <w:spacing/>
        <w:ind/>
        <w:rPr/>
      </w:pPr>
      <w:r>
        <w:t xml:space="preserve">Nel documento “Tabella dei rischi e opportunità” vengono riportati questi spunti: ad esempio è indicata come opportunità strategica la “crescita aziendale” correlata al </w:t>
      </w:r>
      <w:r>
        <w:rPr>
          <w:b/>
          <w:bCs/>
        </w:rPr>
        <w:t xml:space="preserve">miglioramento delle condizioni di sicurezza</w:t>
      </w:r>
      <w:r>
        <w:t xml:space="preserve">, in quanto un’azienda sicura è più efficiente e attrattiva. La strategia di Agrumigel per cogliere tali opportunità prevede di </w:t>
      </w:r>
      <w:r>
        <w:rPr>
          <w:b/>
          <w:bCs/>
        </w:rPr>
        <w:t xml:space="preserve">pianificare progetti specifici</w:t>
      </w:r>
      <w:r>
        <w:t xml:space="preserve"> (con budget, responsabili e tempi) che trasformino le opportunità in realtà. Ogni anno, in sede di riesame, oltre a verificare i rischi si valutano anche quali opportunità si sono presentate e quali si possono inserire nei piani futuri.</w:t>
      </w:r>
      <w:r/>
    </w:p>
    <w:p>
      <w:pPr>
        <w:pStyle w:val="1000"/>
        <w:pBdr/>
        <w:spacing/>
        <w:ind/>
        <w:rPr/>
      </w:pPr>
      <w:r/>
      <w:bookmarkStart w:id="34" w:name="X26ccd95ed8dc89da2be89dd0801195083c7adaf"/>
      <w:r/>
      <w:bookmarkStart w:id="35" w:name="_Toc211351957"/>
      <w:r/>
      <w:bookmarkEnd w:id="32"/>
      <w:r>
        <w:t xml:space="preserve">Obblighi legali e altri requisiti (conformità normativa)</w:t>
      </w:r>
      <w:bookmarkEnd w:id="35"/>
      <w:r/>
      <w:r/>
    </w:p>
    <w:p>
      <w:pPr>
        <w:pStyle w:val="1012"/>
        <w:pBdr/>
        <w:spacing/>
        <w:ind/>
        <w:rPr/>
      </w:pPr>
      <w:r>
        <w:t xml:space="preserve">Parte integrante della fase di pianificazione è la gestione degli </w:t>
      </w:r>
      <w:r>
        <w:rPr>
          <w:b/>
          <w:bCs/>
        </w:rPr>
        <w:t xml:space="preserve">obblighi di conformità</w:t>
      </w:r>
      <w:r>
        <w:t xml:space="preserve">: Agrumigel tiene aggiornato un </w:t>
      </w:r>
      <w:r>
        <w:rPr>
          <w:b/>
          <w:bCs/>
        </w:rPr>
        <w:t xml:space="preserve">registro dei requisiti legali applicabili</w:t>
      </w:r>
      <w:r>
        <w:t xml:space="preserve"> in materia di SSL (leggi, decreti, norme tecniche cogenti, regolamenti locali) e degli </w:t>
      </w:r>
      <w:r>
        <w:rPr>
          <w:b/>
          <w:bCs/>
        </w:rPr>
        <w:t xml:space="preserve">altri requisiti sottoscritti</w:t>
      </w:r>
      <w:r>
        <w:t xml:space="preserve"> (impegni volontari, contrattuali) pertinenti. Questo registro viene gestito dal RSPP in collaborazione con l’Ufficio Legale/HR e copre, ad esempio:</w:t>
      </w:r>
      <w:r/>
    </w:p>
    <w:p>
      <w:pPr>
        <w:pStyle w:val="1013"/>
        <w:numPr>
          <w:ilvl w:val="0"/>
          <w:numId w:val="12"/>
        </w:numPr>
        <w:pBdr/>
        <w:spacing/>
        <w:ind/>
        <w:rPr/>
      </w:pPr>
      <w:r>
        <w:t xml:space="preserve">Normativa nazionale (D.Lgs. 81/08 e s.m.i., decreti attuativi specifici come il DM antincendio 3/9/2021, normativa su agenti chimici, rumore, vibrazioni, DPI, ecc.).</w:t>
      </w:r>
      <w:r/>
    </w:p>
    <w:p>
      <w:pPr>
        <w:pStyle w:val="1013"/>
        <w:numPr>
          <w:ilvl w:val="0"/>
          <w:numId w:val="12"/>
        </w:numPr>
        <w:pBdr/>
        <w:spacing/>
        <w:ind/>
        <w:rPr/>
      </w:pPr>
      <w:r>
        <w:t xml:space="preserve">Normativa regionale (es. eventuali disposizioni della Regione Sicilia per determinate attività, se presenti).</w:t>
      </w:r>
      <w:r/>
    </w:p>
    <w:p>
      <w:pPr>
        <w:pStyle w:val="1013"/>
        <w:numPr>
          <w:ilvl w:val="0"/>
          <w:numId w:val="12"/>
        </w:numPr>
        <w:pBdr/>
        <w:spacing/>
        <w:ind/>
        <w:rPr/>
      </w:pPr>
      <w:r>
        <w:t xml:space="preserve">Regolamenti e obblighi locali: ad esempio il Certificato Prevenzione Incendi rilasciato dai Vigili del Fuoco che impone adempimenti (es. prove evacuazione annuali, manutenzione </w:t>
      </w:r>
      <w:r>
        <w:t xml:space="preserve">impianti antincendio); l’Autorizzazione Integrata Ambientale (AIA) o Unica (AUA) se applicabile, che potrebbe contenere prescrizioni anche su sicurezza e gestione incidenti rilevanti.</w:t>
      </w:r>
      <w:r/>
    </w:p>
    <w:p>
      <w:pPr>
        <w:pStyle w:val="1013"/>
        <w:numPr>
          <w:ilvl w:val="0"/>
          <w:numId w:val="12"/>
        </w:numPr>
        <w:pBdr/>
        <w:spacing/>
        <w:ind/>
        <w:rPr/>
      </w:pPr>
      <w:r>
        <w:t xml:space="preserve">Contratti di fornitura con clienti: alcuni contratti potrebbero richiedere il mantenimento di certificazioni o standard di sicurezza specifici, o livelli di performance (es. tasso infortunistico sotto una certa soglia per qualificarsi come fornitore).</w:t>
      </w:r>
      <w:r/>
    </w:p>
    <w:p>
      <w:pPr>
        <w:pStyle w:val="1013"/>
        <w:numPr>
          <w:ilvl w:val="0"/>
          <w:numId w:val="12"/>
        </w:numPr>
        <w:pBdr/>
        <w:spacing/>
        <w:ind/>
        <w:rPr/>
      </w:pPr>
      <w:r>
        <w:t xml:space="preserve">Standard volontari: la decisione di certificarsi ISO 45001 comporta l’impegno al rispetto di tutti i requisiti di tale norma – questo è nel registro come “altro requisito”.</w:t>
      </w:r>
      <w:r/>
    </w:p>
    <w:p>
      <w:pPr>
        <w:pStyle w:val="1013"/>
        <w:numPr>
          <w:ilvl w:val="0"/>
          <w:numId w:val="12"/>
        </w:numPr>
        <w:pBdr/>
        <w:spacing/>
        <w:ind/>
        <w:rPr/>
      </w:pPr>
      <w:r>
        <w:t xml:space="preserve">Linee guida INAIL/UNI (es. le prassi di riferimento per SGSL) che l’azienda intende seguire come best practice, pur non essendo cogenti.</w:t>
      </w:r>
      <w:r/>
    </w:p>
    <w:p>
      <w:pPr>
        <w:pStyle w:val="1012"/>
        <w:pBdr/>
        <w:spacing/>
        <w:ind/>
        <w:rPr/>
      </w:pPr>
      <w:r>
        <w:t xml:space="preserve">Per ciascun requisito identificato, si specifica come l’azienda ne soddisfa le richieste (es. “DM 10/03/</w:t>
      </w:r>
      <w:r>
        <w:t xml:space="preserve">98 -&gt; elaborato piano emergenza ed effettuata formazione antincendio rischio elevato a 5 addetti”, oppure “Art. 17 D.Lgs.81 -&gt; nominato RSPP Ing. XX il 01/02/2024”). Questo monitoraggio garantisce di non tralasciare obblighi. Inoltre l’azienda effettua un </w:t>
      </w:r>
      <w:r>
        <w:rPr>
          <w:b/>
          <w:bCs/>
        </w:rPr>
        <w:t xml:space="preserve">costante aggiornamento normativo</w:t>
      </w:r>
      <w:r>
        <w:t xml:space="preserve">: il RSPP e il Team Qualità seguono portali e circolari (es. quelle di Confindustria o consulenti) per sapere di nuove leggi in arrivo. </w:t>
      </w:r>
      <w:r>
        <w:t xml:space="preserve">In caso di modifiche normative (ad es. modifica ai limiti di esposizione professionale per una certa sostanza, o nuova regola antincendio), l’impatto viene valutato e si pianificano le azioni necessarie per l’adeguamento in anticipo rispetto alle scadenze.</w:t>
      </w:r>
      <w:r/>
    </w:p>
    <w:p>
      <w:pPr>
        <w:pStyle w:val="1011"/>
        <w:pBdr/>
        <w:spacing/>
        <w:ind/>
        <w:rPr/>
      </w:pPr>
      <w:r>
        <w:t xml:space="preserve">Un esempio recente: con l’entrata in vigore del D.Lgs. 48/2020 (recepimento di direttive UE su cancerogeni), Agrumigel ha verificato se ci fossero agenti aggiuntivi da valutare (es. pol</w:t>
      </w:r>
      <w:r>
        <w:t xml:space="preserve">veri di legno, gas di scarico diesel) – fortunatamente non rilevanti nel proprio ciclo. Oppure, in vista dell’aggiornamento della norma ISO 45001:2023, l’azienda ha pianificato un gap analysis per assicurarsi di cogliere eventuali cambiamenti di requisiti.</w:t>
      </w:r>
      <w:r/>
    </w:p>
    <w:p>
      <w:pPr>
        <w:pStyle w:val="1011"/>
        <w:pBdr/>
        <w:spacing/>
        <w:ind/>
        <w:rPr/>
      </w:pPr>
      <w:r>
        <w:t xml:space="preserve">Tutti questi obblighi e requisiti alimentano la pianificazione: ad esempio, se è prevista per legge l</w:t>
      </w:r>
      <w:r>
        <w:t xml:space="preserve">a revisione quinquennale dei corsi preposti, il sistema di formazione (piano formativo annuale) lo includerà; se l’AUA impone simulazioni semestrali sul contenimento di una potenziale perdita di ammoniaca, il piano di emergenza e le prove ne tengono conto.</w:t>
      </w:r>
      <w:r/>
    </w:p>
    <w:p>
      <w:pPr>
        <w:pStyle w:val="1011"/>
        <w:pBdr/>
        <w:spacing/>
        <w:ind/>
        <w:rPr/>
      </w:pPr>
      <w:r>
        <w:t xml:space="preserve">In sostanza, la conformità normativa è garantita </w:t>
      </w:r>
      <w:r>
        <w:rPr>
          <w:b/>
          <w:bCs/>
        </w:rPr>
        <w:t xml:space="preserve">ex ante</w:t>
      </w:r>
      <w:r>
        <w:t xml:space="preserve"> (pianificando per tempo gli adempimenti) ed </w:t>
      </w:r>
      <w:r>
        <w:rPr>
          <w:b/>
          <w:bCs/>
        </w:rPr>
        <w:t xml:space="preserve">ex post</w:t>
      </w:r>
      <w:r>
        <w:t xml:space="preserve"> (verificando periodicamente di aver attuato tutto, vedi sez. 9.1.2). Ciò riduce il rischio di incorrere in sanzioni e soprattutto di avere falle nel sistema di prevenzione.</w:t>
      </w:r>
      <w:r/>
    </w:p>
    <w:p>
      <w:pPr>
        <w:pStyle w:val="1000"/>
        <w:pBdr/>
        <w:spacing/>
        <w:ind/>
        <w:rPr/>
      </w:pPr>
      <w:r/>
      <w:bookmarkStart w:id="36" w:name="X3405cb6e2e8e8c6e25ddd8f7654fc8f658fb5ed"/>
      <w:r/>
      <w:bookmarkStart w:id="37" w:name="_Toc211351958"/>
      <w:r/>
      <w:bookmarkEnd w:id="34"/>
      <w:r>
        <w:t xml:space="preserve">Pianificazione delle azioni per gestire rischi, opportunità e conformità</w:t>
      </w:r>
      <w:bookmarkEnd w:id="37"/>
      <w:r/>
      <w:r/>
    </w:p>
    <w:p>
      <w:pPr>
        <w:pStyle w:val="1012"/>
        <w:pBdr/>
        <w:spacing/>
        <w:ind/>
        <w:rPr/>
      </w:pPr>
      <w:r>
        <w:t xml:space="preserve">Una volta identificati rischi, opportunità e obblighi, Agrumigel definisce e implementa le </w:t>
      </w:r>
      <w:r>
        <w:rPr>
          <w:b/>
          <w:bCs/>
        </w:rPr>
        <w:t xml:space="preserve">azioni</w:t>
      </w:r>
      <w:r>
        <w:t xml:space="preserve"> necessarie per affrontarli. Questa pianificazione è documentata attraverso vari strumenti: il già </w:t>
      </w:r>
      <w:r>
        <w:t xml:space="preserve">citato Programma di Miglioramento allegato al DVR (per i rischi), i Piani di Adeguamento normativo (per conformità) e i Piani di Sviluppo HSE (per opportunità e obiettivi).</w:t>
      </w:r>
      <w:r/>
    </w:p>
    <w:p>
      <w:pPr>
        <w:pStyle w:val="1011"/>
        <w:pBdr/>
        <w:spacing/>
        <w:ind/>
        <w:rPr/>
      </w:pPr>
      <w:r>
        <w:t xml:space="preserve">Le azioni pianificate possono includere: </w:t>
      </w:r>
      <w:r>
        <w:rPr>
          <w:b/>
          <w:bCs/>
        </w:rPr>
        <w:t xml:space="preserve">misure tecniche</w:t>
      </w:r>
      <w:r>
        <w:t xml:space="preserve"> (es. installare un impianto di aspirazione localizzata; sostituire un solvente con uno meno pericoloso), </w:t>
      </w:r>
      <w:r>
        <w:rPr>
          <w:b/>
          <w:bCs/>
        </w:rPr>
        <w:t xml:space="preserve">misure organizzative</w:t>
      </w:r>
      <w:r>
        <w:t xml:space="preserve"> (es. modificare turni, introdurre una seconda pausa in giornate estive afose; revisionare una procedura operativa per includere un doppio controllo), </w:t>
      </w:r>
      <w:r>
        <w:rPr>
          <w:b/>
          <w:bCs/>
        </w:rPr>
        <w:t xml:space="preserve">misure formative</w:t>
      </w:r>
      <w:r>
        <w:t xml:space="preserve"> (es. training aggiuntivo su guida sicura del muletto se si sono notati incidenti evitati), nonché </w:t>
      </w:r>
      <w:r>
        <w:rPr>
          <w:b/>
          <w:bCs/>
        </w:rPr>
        <w:t xml:space="preserve">azioni di controllo</w:t>
      </w:r>
      <w:r>
        <w:t xml:space="preserve"> (es. aumentare frequenza di ispezioni su un certo rischio).</w:t>
      </w:r>
      <w:r/>
    </w:p>
    <w:p>
      <w:pPr>
        <w:pStyle w:val="1011"/>
        <w:pBdr/>
        <w:spacing/>
        <w:ind/>
        <w:rPr/>
      </w:pPr>
      <w:r>
        <w:t xml:space="preserve">Ogni azione viene pianificata assegnando: un </w:t>
      </w:r>
      <w:r>
        <w:rPr>
          <w:b/>
          <w:bCs/>
        </w:rPr>
        <w:t xml:space="preserve">responsabile</w:t>
      </w:r>
      <w:r>
        <w:t xml:space="preserve"> (figura o funzione incaricata di realizzarla, ad esempio “Resp. Manutenzione” per gli interventi impiantistici, “RSPP” per aggiornamento procedure, “HR” per piano formativo, ecc.), un </w:t>
      </w:r>
      <w:r>
        <w:rPr>
          <w:b/>
          <w:bCs/>
        </w:rPr>
        <w:t xml:space="preserve">orizzonte temporale</w:t>
      </w:r>
      <w:r>
        <w:t xml:space="preserve"> (data entro cui implementare), le </w:t>
      </w:r>
      <w:r>
        <w:rPr>
          <w:b/>
          <w:bCs/>
        </w:rPr>
        <w:t xml:space="preserve">risorse necessarie</w:t>
      </w:r>
      <w:r>
        <w:t xml:space="preserve"> (budget, personale, eventuali consulenti). Le azioni di maggiore portata vengono inserite anche nel normale </w:t>
      </w:r>
      <w:r>
        <w:rPr>
          <w:b/>
          <w:bCs/>
        </w:rPr>
        <w:t xml:space="preserve">piano degli investimenti aziendali</w:t>
      </w:r>
      <w:r>
        <w:t xml:space="preserve">, per garantire la copertura economica e l’allineamento con gli obiettivi generali.</w:t>
      </w:r>
      <w:r/>
    </w:p>
    <w:p>
      <w:pPr>
        <w:pStyle w:val="1011"/>
        <w:pBdr/>
        <w:spacing/>
        <w:ind/>
        <w:rPr/>
      </w:pPr>
      <w:r>
        <w:t xml:space="preserve">Nella pratica, la pianificazione delle azioni </w:t>
      </w:r>
      <w:r>
        <w:t xml:space="preserve">è un processo dinamico: durante l’anno il RSPP e la Direzione monitorano lo stato delle azioni previste. In riunioni trimestrali su HSE, ad esempio, si passa in rassegna il Programma di Miglioramento per verificarne l’avanzamento (Gantt di implementazione)</w:t>
      </w:r>
      <w:r>
        <w:t xml:space="preserve">. Se un’azione subisce ritardi o ostacoli, si analizzano le cause e si individuano soluzioni (ad es. se un intervento tecnico è in ritardo perché il fornitore tarda la consegna, la Direzione può decidere di sollecitare o cercare un’alternativa temporanea).</w:t>
      </w:r>
      <w:r/>
    </w:p>
    <w:p>
      <w:pPr>
        <w:pStyle w:val="1011"/>
        <w:pBdr/>
        <w:spacing/>
        <w:ind/>
        <w:rPr/>
      </w:pPr>
      <w:r>
        <w:t xml:space="preserve">Inoltre, il sistema assicura l’</w:t>
      </w:r>
      <w:r>
        <w:rPr>
          <w:b/>
          <w:bCs/>
        </w:rPr>
        <w:t xml:space="preserve">integrazione delle azioni di sicurezza nei processi aziendali</w:t>
      </w:r>
      <w:r>
        <w:t xml:space="preserve">: ciò significa che le azioni corretti</w:t>
      </w:r>
      <w:r>
        <w:t xml:space="preserve">ve/preventive non rimangono isolate nel “mondo HSE”, ma entrano nel flusso normale del lavoro. Ad esempio, se si pianifica di sostituire un macchinario per motivi di sicurezza, anche la produzione e la manutenzione ne sono informate e partecipano (così che</w:t>
      </w:r>
      <w:r>
        <w:t xml:space="preserve"> la sostituzione avvenga in un fermo impianti pianificato, minimizzando l’impatto sulla produzione). Oppure, un’azione come “ridurre orario di lavoro notturno in un reparto critico” verrà discussa con HR e Sindacato per essere implementata senza conflitti.</w:t>
      </w:r>
      <w:r/>
    </w:p>
    <w:p>
      <w:pPr>
        <w:pStyle w:val="1011"/>
        <w:pBdr/>
        <w:spacing/>
        <w:ind/>
        <w:rPr/>
      </w:pPr>
      <w:r>
        <w:t xml:space="preserve">Un aspetto importante della pianificazione è anche prepararsi a </w:t>
      </w:r>
      <w:r>
        <w:rPr>
          <w:b/>
          <w:bCs/>
        </w:rPr>
        <w:t xml:space="preserve">emergenze future</w:t>
      </w:r>
      <w:r>
        <w:t xml:space="preserve">: ad esempio, un rischio emergente potrebbe essere la pandemia (come vissuto di rece</w:t>
      </w:r>
      <w:r>
        <w:t xml:space="preserve">nte con COVID-19). Agrumigel, facendo tesoro di quell’esperienza, ha predisposto un “Pandemic plan” con azioni pronte (DPI, protocolli) nel caso di future emergenze sanitarie. Questo è un esempio di azione preventiva basata su opportunità di apprendimento.</w:t>
      </w:r>
      <w:r/>
    </w:p>
    <w:p>
      <w:pPr>
        <w:pStyle w:val="1011"/>
        <w:pBdr/>
        <w:spacing/>
        <w:ind/>
        <w:rPr/>
      </w:pPr>
      <w:r>
        <w:t xml:space="preserve">In conclusione, la pianificazione è l’anello di congiunzione tra la teoria (valutazione rischi, analisi contesto) e la pratica (operazioni quotidiane in sicurezza). Un buon piano consente all’azienda di essere </w:t>
      </w:r>
      <w:r>
        <w:rPr>
          <w:b/>
          <w:bCs/>
        </w:rPr>
        <w:t xml:space="preserve">reattiva</w:t>
      </w:r>
      <w:r>
        <w:t xml:space="preserve"> (fronteggiare i rischi attuali) e al contempo </w:t>
      </w:r>
      <w:r>
        <w:rPr>
          <w:b/>
          <w:bCs/>
        </w:rPr>
        <w:t xml:space="preserve">proattiva</w:t>
      </w:r>
      <w:r>
        <w:t xml:space="preserve"> (cogliere opportunità e prevenire rischi potenziali). Agrumigel dedica attenzione e rigore a questa fase, consapevole che un’accurata pianificazione facilita notevolmente le successive fasi di attuazione, monitoraggio e miglioramento.</w:t>
      </w:r>
      <w:r/>
    </w:p>
    <w:p>
      <w:pPr>
        <w:pStyle w:val="1000"/>
        <w:pBdr/>
        <w:spacing/>
        <w:ind/>
        <w:rPr/>
      </w:pPr>
      <w:r/>
      <w:bookmarkStart w:id="38" w:name="Xe4ae82799c74175fd7a7bebd9496cd4b9c766c8"/>
      <w:r/>
      <w:bookmarkStart w:id="39" w:name="_Toc211351959"/>
      <w:r/>
      <w:bookmarkEnd w:id="36"/>
      <w:r>
        <w:t xml:space="preserve">Obiettivi di miglioramento e pianificazione per conseguirli</w:t>
      </w:r>
      <w:bookmarkEnd w:id="39"/>
      <w:r/>
      <w:r/>
    </w:p>
    <w:p>
      <w:pPr>
        <w:pStyle w:val="1012"/>
        <w:pBdr/>
        <w:spacing/>
        <w:ind/>
        <w:rPr/>
      </w:pPr>
      <w:r>
        <w:t xml:space="preserve">Agrumigel stabilisce periodicamente specifici </w:t>
      </w:r>
      <w:r>
        <w:rPr>
          <w:b/>
          <w:bCs/>
        </w:rPr>
        <w:t xml:space="preserve">obiettivi di miglioramento</w:t>
      </w:r>
      <w:r>
        <w:t xml:space="preserve"> in materia di salute e sicurezza sul lavoro, in coerenza con la Politica SSL e gli impegni assunti. Tali obiettivi sono generalmente di durata </w:t>
      </w:r>
      <w:r>
        <w:rPr>
          <w:b/>
          <w:bCs/>
        </w:rPr>
        <w:t xml:space="preserve">triennale</w:t>
      </w:r>
      <w:r>
        <w:t xml:space="preserve">, con verifiche annuali di progresso, e vengono definiti dalla Direzione con il supporto del RSPP durante il Riesame di Direzione. Gli obiettivi sono espressi in modo </w:t>
      </w:r>
      <w:r>
        <w:rPr>
          <w:b/>
          <w:bCs/>
        </w:rPr>
        <w:t xml:space="preserve">SMART</w:t>
      </w:r>
      <w:r>
        <w:t xml:space="preserve"> (Specifici, Misurabili, Achievable, Rilevanti, Temporizzati) e accompagnati da indicatori di performance per monitorarne il raggiungimento.</w:t>
      </w:r>
      <w:r/>
    </w:p>
    <w:p>
      <w:pPr>
        <w:pStyle w:val="1011"/>
        <w:pBdr/>
        <w:spacing/>
        <w:ind/>
        <w:rPr/>
      </w:pPr>
      <w:r>
        <w:t xml:space="preserve">Di seguito sono riportati gli </w:t>
      </w:r>
      <w:r>
        <w:rPr>
          <w:b/>
          <w:bCs/>
        </w:rPr>
        <w:t xml:space="preserve">Obiettivi di SSL</w:t>
      </w:r>
      <w:r>
        <w:t xml:space="preserve"> attualmente in vigore (orizzonte 2024-2026), con i relativi indicatori e target:</w:t>
      </w:r>
      <w:r/>
    </w:p>
    <w:p>
      <w:pPr>
        <w:numPr>
          <w:ilvl w:val="0"/>
          <w:numId w:val="13"/>
        </w:numPr>
        <w:pBdr/>
        <w:spacing/>
        <w:ind/>
        <w:rPr/>
      </w:pPr>
      <w:r>
        <w:rPr>
          <w:b/>
          <w:bCs/>
        </w:rPr>
        <w:t xml:space="preserve">Obiettivo 1: Zero infortuni con assenza dal lavoro (infortuni “con prognosi”)</w:t>
      </w:r>
      <w:r>
        <w:t xml:space="preserve"> – </w:t>
      </w:r>
      <w:r>
        <w:rPr>
          <w:i/>
          <w:iCs/>
        </w:rPr>
        <w:t xml:space="preserve">“Raggiungere quota zero infortuni registrabili con assenza dal lavoro, mantenendola per tutto il triennio.”</w:t>
      </w:r>
      <w:r>
        <w:br/>
      </w:r>
      <w:r>
        <w:rPr>
          <w:b/>
          <w:bCs/>
        </w:rPr>
        <w:t xml:space="preserve">Indicatore:</w:t>
      </w:r>
      <w:r>
        <w:t xml:space="preserve"> numero di infortuni con almeno 1 giorno di assenza (al netto del giorno evento) occorsi nell’anno (incl. in itinere). </w:t>
      </w:r>
      <w:r>
        <w:rPr>
          <w:b/>
          <w:bCs/>
        </w:rPr>
        <w:t xml:space="preserve">Baseline 2023:</w:t>
      </w:r>
      <w:r>
        <w:t xml:space="preserve"> 2 infortuni lievi registrati. </w:t>
      </w:r>
      <w:r>
        <w:rPr>
          <w:b/>
          <w:bCs/>
        </w:rPr>
        <w:t xml:space="preserve">Target:</w:t>
      </w:r>
      <w:r>
        <w:t xml:space="preserve"> 0 infortuni nel 2024; mantenere 0 nel 2025 e 2026.</w:t>
      </w:r>
      <w:r>
        <w:br/>
      </w:r>
      <w:r>
        <w:rPr>
          <w:b/>
          <w:bCs/>
        </w:rPr>
        <w:t xml:space="preserve">Azioni principali:</w:t>
      </w:r>
      <w:r>
        <w:t xml:space="preserve"> implementare rigorosamente le misure derivanti dalle analisi degli infortuni occorsi; intensificare i controlli operativi e la sensibilizzazione su comportamenti sicuri; coinvolgere maggiormente i lavoratori nell’osservazione reciproca (BBS).</w:t>
      </w:r>
      <w:r>
        <w:br/>
      </w:r>
      <w:r>
        <w:rPr>
          <w:b/>
          <w:bCs/>
        </w:rPr>
        <w:t xml:space="preserve">Responsabilità:</w:t>
      </w:r>
      <w:r>
        <w:t xml:space="preserve"> RSPP (coordinamento azioni), Preposti (vigilanza quotidiana), Direzione (verifica risorse).</w:t>
      </w:r>
      <w:r>
        <w:br/>
      </w:r>
      <w:r>
        <w:rPr>
          <w:b/>
          <w:bCs/>
        </w:rPr>
        <w:t xml:space="preserve">Verifica:</w:t>
      </w:r>
      <w:r>
        <w:t xml:space="preserve"> monitoraggio mensile infortuni, analisi cause infortuni/near-miss, report trimestrale alla Direzione.</w:t>
      </w:r>
      <w:r/>
    </w:p>
    <w:p>
      <w:pPr>
        <w:numPr>
          <w:ilvl w:val="0"/>
          <w:numId w:val="13"/>
        </w:numPr>
        <w:pBdr/>
        <w:spacing/>
        <w:ind/>
        <w:rPr/>
      </w:pPr>
      <w:r>
        <w:rPr>
          <w:b/>
          <w:bCs/>
        </w:rPr>
        <w:t xml:space="preserve">Obiettivo 2: Riduzione del 50% dell’indice di frequenza infortuni totali</w:t>
      </w:r>
      <w:r>
        <w:t xml:space="preserve"> – </w:t>
      </w:r>
      <w:r>
        <w:rPr>
          <w:i/>
          <w:iCs/>
        </w:rPr>
        <w:t xml:space="preserve">“Dimezzare, entro il 2026, l’indice di frequenza degli infortuni totali rispetto al valore medio 2021-2023.”</w:t>
      </w:r>
      <w:r>
        <w:br/>
      </w:r>
      <w:r>
        <w:rPr>
          <w:b/>
          <w:bCs/>
        </w:rPr>
        <w:t xml:space="preserve">Indicatore:</w:t>
      </w:r>
      <w:r>
        <w:t xml:space="preserve"> Indice di frequenza IF = (N° infortuni occorsi / N° ore lavorate) x 1.000.000. </w:t>
      </w:r>
      <w:r>
        <w:rPr>
          <w:b/>
          <w:bCs/>
        </w:rPr>
        <w:t xml:space="preserve">Baseline:</w:t>
      </w:r>
      <w:r>
        <w:t xml:space="preserve"> IF medio periodo 2021-23 = 20 (ipotetico). </w:t>
      </w:r>
      <w:r>
        <w:rPr>
          <w:b/>
          <w:bCs/>
        </w:rPr>
        <w:t xml:space="preserve">Target 2026:</w:t>
      </w:r>
      <w:r>
        <w:t xml:space="preserve"> IF ≤ 10.</w:t>
      </w:r>
      <w:r>
        <w:br/>
      </w:r>
      <w:r>
        <w:rPr>
          <w:b/>
          <w:bCs/>
        </w:rPr>
        <w:t xml:space="preserve">Azioni principali:</w:t>
      </w:r>
      <w:r>
        <w:t xml:space="preserve"> oltre alle azioni per Obiettivo 1 (infortuni c</w:t>
      </w:r>
      <w:r>
        <w:t xml:space="preserve">on assenza), includere anche la riduzione di infortuni leggeri senza assenza e near-miss, tramite campagne di sensibilizzazione e premi per reparti con zero infortuni; miglioramento DPI e formazione mirata nelle aree con più eventi (es. magazzino muletti).</w:t>
      </w:r>
      <w:r>
        <w:br/>
      </w:r>
      <w:r>
        <w:rPr>
          <w:b/>
          <w:bCs/>
        </w:rPr>
        <w:t xml:space="preserve">Responsabilità:</w:t>
      </w:r>
      <w:r>
        <w:t xml:space="preserve"> RSPP, Team Qualità per analisi statistiche, Capi Reparto per attuazione locale.</w:t>
      </w:r>
      <w:r>
        <w:br/>
      </w:r>
      <w:r>
        <w:rPr>
          <w:b/>
          <w:bCs/>
        </w:rPr>
        <w:t xml:space="preserve">Verifica:</w:t>
      </w:r>
      <w:r>
        <w:t xml:space="preserve"> calcolo annuale IF e confronto col target; survey qualitativa dei lavoratori sulla percezione sicurezza.</w:t>
      </w:r>
      <w:r/>
    </w:p>
    <w:p>
      <w:pPr>
        <w:numPr>
          <w:ilvl w:val="0"/>
          <w:numId w:val="13"/>
        </w:numPr>
        <w:pBdr/>
        <w:spacing/>
        <w:ind/>
        <w:rPr/>
      </w:pPr>
      <w:r>
        <w:rPr>
          <w:b/>
          <w:bCs/>
        </w:rPr>
        <w:t xml:space="preserve">Obiettivo 3: Aumento del 100% delle segnalazioni di “near miss”</w:t>
      </w:r>
      <w:r>
        <w:t xml:space="preserve"> – </w:t>
      </w:r>
      <w:r>
        <w:rPr>
          <w:i/>
          <w:iCs/>
        </w:rPr>
        <w:t xml:space="preserve">“Raddoppiare entro il 2025 il numero di mancati infortuni e condizioni insicure segnalate spontaneamente dai lavoratori.”</w:t>
      </w:r>
      <w:r>
        <w:br/>
      </w:r>
      <w:r>
        <w:rPr>
          <w:b/>
          <w:bCs/>
        </w:rPr>
        <w:t xml:space="preserve">Indicatore:</w:t>
      </w:r>
      <w:r>
        <w:t xml:space="preserve"> N° segnalazioni/quasi-incidenti raccolte formalmente in un anno. </w:t>
      </w:r>
      <w:r>
        <w:rPr>
          <w:b/>
          <w:bCs/>
        </w:rPr>
        <w:t xml:space="preserve">Baseline </w:t>
      </w:r>
      <w:r>
        <w:rPr>
          <w:b/>
          <w:bCs/>
        </w:rPr>
        <w:t xml:space="preserve">2023:</w:t>
      </w:r>
      <w:r>
        <w:t xml:space="preserve"> 5 segnalazioni. </w:t>
      </w:r>
      <w:r>
        <w:rPr>
          <w:b/>
          <w:bCs/>
        </w:rPr>
        <w:t xml:space="preserve">Target 2025:</w:t>
      </w:r>
      <w:r>
        <w:t xml:space="preserve"> ≥ 10 segnalazioni (e mantenere ≥ 10 negli anni successivi).</w:t>
      </w:r>
      <w:r>
        <w:br/>
      </w:r>
      <w:r>
        <w:rPr>
          <w:b/>
          <w:bCs/>
        </w:rPr>
        <w:t xml:space="preserve">Azioni:</w:t>
      </w:r>
      <w:r>
        <w:t xml:space="preserve"> </w:t>
      </w:r>
      <w:r>
        <w:rPr>
          <w:highlight w:val="none"/>
        </w:rPr>
        <w:t xml:space="preserve">i</w:t>
      </w:r>
      <w:r>
        <w:rPr>
          <w:highlight w:val="none"/>
        </w:rPr>
        <w:t xml:space="preserve">ntrodurre </w:t>
      </w:r>
      <w:r>
        <w:rPr>
          <w:highlight w:val="none"/>
        </w:rPr>
        <w:t xml:space="preserve">modulo </w:t>
      </w:r>
      <w:r>
        <w:rPr>
          <w:highlight w:val="none"/>
        </w:rPr>
        <w:t xml:space="preserve">semplificato e magari anonimo per se</w:t>
      </w:r>
      <w:r>
        <w:rPr>
          <w:highlight w:val="none"/>
        </w:rPr>
        <w:t xml:space="preserve">gnalazioni</w:t>
      </w:r>
      <w:r>
        <w:t xml:space="preserve">; promuovere con comunicazioni interne l’importanza di segnalare; feedback rapido a chi segnala (per consolidare fiducia); introdurre un piccolo incentivo/premio per la “miglior segnalazione dell’anno” che abbia portato a un intervento rilevante.</w:t>
      </w:r>
      <w:r>
        <w:br/>
      </w:r>
      <w:r>
        <w:rPr>
          <w:b/>
          <w:bCs/>
        </w:rPr>
        <w:t xml:space="preserve">Responsabilità:</w:t>
      </w:r>
      <w:r>
        <w:t xml:space="preserve"> RSPP (gestione sistema segnalazione), RLS (promuovere tra i colleghi), Direzione (supporto cultura no blame).</w:t>
      </w:r>
      <w:r>
        <w:br/>
      </w:r>
      <w:r>
        <w:rPr>
          <w:b/>
          <w:bCs/>
        </w:rPr>
        <w:t xml:space="preserve">Verifica:</w:t>
      </w:r>
      <w:r>
        <w:t xml:space="preserve"> conteggio e analisi segnalazioni semestrale; audit interni per verificare che i lavoratori conoscano il processo di segnalazione.</w:t>
      </w:r>
      <w:r/>
    </w:p>
    <w:p>
      <w:pPr>
        <w:numPr>
          <w:ilvl w:val="0"/>
          <w:numId w:val="13"/>
        </w:numPr>
        <w:pBdr/>
        <w:spacing/>
        <w:ind/>
        <w:rPr/>
      </w:pPr>
      <w:r>
        <w:rPr>
          <w:b/>
          <w:bCs/>
        </w:rPr>
        <w:t xml:space="preserve">Obiettivo 4: Miglioramento formazione e competenze</w:t>
      </w:r>
      <w:r>
        <w:t xml:space="preserve"> – </w:t>
      </w:r>
      <w:r>
        <w:rPr>
          <w:i/>
          <w:iCs/>
        </w:rPr>
        <w:t xml:space="preserve">“Garantire che il 100% dei lavoratori riceva formazione aggiornata e aggiuntiva, superando di almeno il 20% le ore di formazione obbligatorie nel triennio.”</w:t>
      </w:r>
      <w:r>
        <w:br/>
      </w:r>
      <w:r>
        <w:rPr>
          <w:b/>
          <w:bCs/>
        </w:rPr>
        <w:t xml:space="preserve">Indicatore:</w:t>
      </w:r>
      <w:r>
        <w:t xml:space="preserve"> ore di formazione SSL erogate per lavoratore (media annuale) e % lavoratori con formazione scaduta. </w:t>
      </w:r>
      <w:r>
        <w:rPr>
          <w:b/>
          <w:bCs/>
        </w:rPr>
        <w:t xml:space="preserve">Baseline:</w:t>
      </w:r>
      <w:r>
        <w:t xml:space="preserve"> 8 ore/uomo nel 2023; 5% lavoratori con qualche formazione scaduta. </w:t>
      </w:r>
      <w:r>
        <w:rPr>
          <w:b/>
          <w:bCs/>
        </w:rPr>
        <w:t xml:space="preserve">Target:</w:t>
      </w:r>
      <w:r>
        <w:t xml:space="preserve"> ≥10 ore/uomo annue di formazione specifica SSL; 0% lavoratori con formazione scaduta (tutti in regola con aggiornamenti).</w:t>
      </w:r>
      <w:r>
        <w:br/>
      </w:r>
      <w:r>
        <w:rPr>
          <w:b/>
          <w:bCs/>
        </w:rPr>
        <w:t xml:space="preserve">Azioni:</w:t>
      </w:r>
      <w:r>
        <w:t xml:space="preserve"> predisporre piano</w:t>
      </w:r>
      <w:r>
        <w:t xml:space="preserve"> formativo triennale includendo corsi extra su temi emergenti (es. ergonomia, guida sicura, gestione stress); utilizzare piattaforme e-learning per aumentare ore senza impattare produzione; monitorare tramite software le scadenze e sollecitare in anticipo.</w:t>
      </w:r>
      <w:r>
        <w:br/>
      </w:r>
      <w:r>
        <w:rPr>
          <w:b/>
          <w:bCs/>
        </w:rPr>
        <w:t xml:space="preserve">Responsabilità:</w:t>
      </w:r>
      <w:r>
        <w:t xml:space="preserve"> HR (pianificazione corsi), RSPP (contenuti e docenze), Preposti (far partecipare personale).</w:t>
      </w:r>
      <w:r>
        <w:br/>
      </w:r>
      <w:r>
        <w:rPr>
          <w:b/>
          <w:bCs/>
        </w:rPr>
        <w:t xml:space="preserve">Verifica:</w:t>
      </w:r>
      <w:r>
        <w:t xml:space="preserve"> report annuale ore formazione vs pianificato; tasso di partecipazione; test di apprendimento post-corso per valutare efficacia.</w:t>
      </w:r>
      <w:r/>
    </w:p>
    <w:p>
      <w:pPr>
        <w:numPr>
          <w:ilvl w:val="0"/>
          <w:numId w:val="13"/>
        </w:numPr>
        <w:pBdr/>
        <w:spacing/>
        <w:ind/>
        <w:rPr/>
      </w:pPr>
      <w:r>
        <w:rPr>
          <w:b/>
          <w:bCs/>
        </w:rPr>
        <w:t xml:space="preserve">Obiettivo 5: Miglioramento delle condizioni ergonomiche nelle postazioni critiche</w:t>
      </w:r>
      <w:r>
        <w:t xml:space="preserve"> – </w:t>
      </w:r>
      <w:r>
        <w:rPr>
          <w:i/>
          <w:iCs/>
        </w:rPr>
        <w:t xml:space="preserve">“Ridurre del 30% il punteggio di rischio ergonomico OCRA medio nelle postazioni di confezionamento scorze entro il 2026.”</w:t>
      </w:r>
      <w:r>
        <w:t xml:space="preserve"> (Esempio di obiettivo specifico)</w:t>
      </w:r>
      <w:r>
        <w:br/>
      </w:r>
      <w:r>
        <w:rPr>
          <w:b/>
          <w:bCs/>
        </w:rPr>
        <w:t xml:space="preserve">Indicatore:</w:t>
      </w:r>
      <w:r>
        <w:t xml:space="preserve"> punteggio OCRA medio rilevato su addetti confezionamento (movimenti ripetitivi arti superiori). </w:t>
      </w:r>
      <w:r>
        <w:rPr>
          <w:b/>
          <w:bCs/>
        </w:rPr>
        <w:t xml:space="preserve">Baseline 2023:</w:t>
      </w:r>
      <w:r>
        <w:t xml:space="preserve"> OCRA index = 3 (rischio medio). </w:t>
      </w:r>
      <w:r>
        <w:rPr>
          <w:b/>
          <w:bCs/>
        </w:rPr>
        <w:t xml:space="preserve">Target:</w:t>
      </w:r>
      <w:r>
        <w:t xml:space="preserve"> ≤2 (rischio basso).</w:t>
      </w:r>
      <w:r>
        <w:br/>
      </w:r>
      <w:r>
        <w:rPr>
          <w:b/>
          <w:bCs/>
        </w:rPr>
        <w:t xml:space="preserve">Azioni:</w:t>
      </w:r>
      <w:r>
        <w:t xml:space="preserve"> introdurre ausili per movimentazione sacchi, micro-pause ogni ora, esercizi compensativi insegnati dal MC, rotazione mansioni confezionamento/altre attività; valutare acquisto di una insaccatrice automatica se budget lo consente.</w:t>
      </w:r>
      <w:r>
        <w:br/>
      </w:r>
      <w:r>
        <w:rPr>
          <w:b/>
          <w:bCs/>
        </w:rPr>
        <w:t xml:space="preserve">Responsabilità:</w:t>
      </w:r>
      <w:r>
        <w:t xml:space="preserve"> Resp. Produzione (organizzazione lavoro), RSPP+MC (valutazione e misure), Direzione (investimento macchine se fattibile).</w:t>
      </w:r>
      <w:r>
        <w:br/>
      </w:r>
      <w:r>
        <w:rPr>
          <w:b/>
          <w:bCs/>
        </w:rPr>
        <w:t xml:space="preserve">Verifica:</w:t>
      </w:r>
      <w:r>
        <w:t xml:space="preserve"> nuova valutazione ergonomica nel 2026; feedback lavoratori su affaticamento percepito.</w:t>
      </w:r>
      <w:r/>
    </w:p>
    <w:p>
      <w:pPr>
        <w:numPr>
          <w:ilvl w:val="0"/>
          <w:numId w:val="13"/>
        </w:numPr>
        <w:pBdr/>
        <w:spacing/>
        <w:ind/>
        <w:rPr/>
      </w:pPr>
      <w:r>
        <w:rPr>
          <w:b/>
          <w:bCs/>
        </w:rPr>
        <w:t xml:space="preserve">Obiettivo 6: Audit interni e ispezioni</w:t>
      </w:r>
      <w:r>
        <w:t xml:space="preserve"> – </w:t>
      </w:r>
      <w:r>
        <w:rPr>
          <w:i/>
          <w:iCs/>
        </w:rPr>
        <w:t xml:space="preserve">“Portare a 0 le non conformità maggiori riscontrate in audit interni e di terza parte sul SGSSL e dimezzare le minori entro il 2025.”</w:t>
      </w:r>
      <w:r>
        <w:br/>
      </w:r>
      <w:r>
        <w:rPr>
          <w:b/>
          <w:bCs/>
        </w:rPr>
        <w:t xml:space="preserve">Indicatore:</w:t>
      </w:r>
      <w:r>
        <w:t xml:space="preserve"> n° NC maggiori in audit; n° NC minori. </w:t>
      </w:r>
      <w:r>
        <w:rPr>
          <w:b/>
          <w:bCs/>
        </w:rPr>
        <w:t xml:space="preserve">Baseline:</w:t>
      </w:r>
      <w:r>
        <w:t xml:space="preserve"> Audit interno 2023 evidenziate 2 NC maggiori e 5 minori. </w:t>
      </w:r>
      <w:r>
        <w:rPr>
          <w:b/>
          <w:bCs/>
        </w:rPr>
        <w:t xml:space="preserve">Target:</w:t>
      </w:r>
      <w:r>
        <w:t xml:space="preserve"> 0 maggiori, ≤2 minori in audit 2025 e successivi.</w:t>
      </w:r>
      <w:r>
        <w:br/>
      </w:r>
      <w:r>
        <w:rPr>
          <w:b/>
          <w:bCs/>
        </w:rPr>
        <w:t xml:space="preserve">Azioni:</w:t>
      </w:r>
      <w:r>
        <w:t xml:space="preserve"> potenz</w:t>
      </w:r>
      <w:r>
        <w:t xml:space="preserve">iare il programma di audit interno (maggiore frequenza, auditor formati); risolvere prontamente le cause delle NC emerse (es. se NC maggiore su mancata formazione di un addetto, sanare immediatamente e verificare altre simili); condurre audit di follow-up.</w:t>
      </w:r>
      <w:r>
        <w:br/>
      </w:r>
      <w:r>
        <w:rPr>
          <w:b/>
          <w:bCs/>
        </w:rPr>
        <w:t xml:space="preserve">Responsabilità:</w:t>
      </w:r>
      <w:r>
        <w:t xml:space="preserve"> Team Qualità (che gestisce audit integrati), RSPP (per parte SSL), Direzione (impegno a risolvere NC strutturali).</w:t>
      </w:r>
      <w:r>
        <w:br/>
      </w:r>
      <w:r>
        <w:rPr>
          <w:b/>
          <w:bCs/>
        </w:rPr>
        <w:t xml:space="preserve">Verifica:</w:t>
      </w:r>
      <w:r>
        <w:t xml:space="preserve"> riscontri in successivi audit; verifica efficacia azioni correttive chiuse.</w:t>
      </w:r>
      <w:r/>
    </w:p>
    <w:p>
      <w:pPr>
        <w:numPr>
          <w:ilvl w:val="0"/>
          <w:numId w:val="13"/>
        </w:numPr>
        <w:pBdr/>
        <w:spacing/>
        <w:ind/>
        <w:rPr/>
      </w:pPr>
      <w:r>
        <w:rPr>
          <w:b/>
          <w:bCs/>
        </w:rPr>
        <w:t xml:space="preserve">Obiettivo 7: Sorveglianza sanitaria e salute</w:t>
      </w:r>
      <w:r>
        <w:t xml:space="preserve"> – </w:t>
      </w:r>
      <w:r>
        <w:rPr>
          <w:i/>
          <w:iCs/>
        </w:rPr>
        <w:t xml:space="preserve">“Migliorare gli indicatori di salute occupazionale: ridurre al 0 il numero di lavoratori con esiti audiometrici di peggioramento significativo e mantenere 0 i casi di malattie professionali denunciate.”</w:t>
      </w:r>
      <w:r>
        <w:br/>
      </w:r>
      <w:r>
        <w:rPr>
          <w:b/>
          <w:bCs/>
        </w:rPr>
        <w:t xml:space="preserve">Indicatore:</w:t>
      </w:r>
      <w:r>
        <w:t xml:space="preserve"> n° lavoratori con variazione soglia udito &gt; 20 dB (tra due controlli consecutivi); n° malattie professionali denunciate. </w:t>
      </w:r>
      <w:r>
        <w:rPr>
          <w:b/>
          <w:bCs/>
        </w:rPr>
        <w:t xml:space="preserve">Baseline:</w:t>
      </w:r>
      <w:r>
        <w:t xml:space="preserve"> 2 lavoratori con calo udito nel 2023; 0 malattie pro. </w:t>
      </w:r>
      <w:r>
        <w:rPr>
          <w:b/>
          <w:bCs/>
        </w:rPr>
        <w:t xml:space="preserve">Target entro 2026:</w:t>
      </w:r>
      <w:r>
        <w:t xml:space="preserve"> 0 cali udito significativi; 0 malattie pro.</w:t>
      </w:r>
      <w:r>
        <w:br/>
      </w:r>
      <w:r>
        <w:rPr>
          <w:b/>
          <w:bCs/>
        </w:rPr>
        <w:t xml:space="preserve">Azioni:</w:t>
      </w:r>
      <w:r>
        <w:t xml:space="preserve"> migliorare protezione udito dove rumore (come già pianificato in obiett</w:t>
      </w:r>
      <w:r>
        <w:t xml:space="preserve">ivi rumore, Ob. fisso); sensibilizzare sul corretto uso DPI e sul follow-up medico; per malattie pro, stretta sorveglianza delle condizioni e interventi preventivi (es. se MC vede inizio di sovraccarico articolare, intervenire prima che diventi patologia).</w:t>
      </w:r>
      <w:r>
        <w:br/>
      </w:r>
      <w:r>
        <w:rPr>
          <w:b/>
          <w:bCs/>
        </w:rPr>
        <w:t xml:space="preserve">Responsabilità:</w:t>
      </w:r>
      <w:r>
        <w:t xml:space="preserve"> MC (sorveglianza e consigli), RSPP (implementare misure), Preposti (far rispettare DPI).</w:t>
      </w:r>
      <w:r>
        <w:br/>
      </w:r>
      <w:r>
        <w:rPr>
          <w:b/>
          <w:bCs/>
        </w:rPr>
        <w:t xml:space="preserve">Verifica:</w:t>
      </w:r>
      <w:r>
        <w:t xml:space="preserve"> risultati sorveglianza sanitaria annuale; eventuali segnalazioni INAIL.</w:t>
      </w:r>
      <w:r/>
    </w:p>
    <w:p>
      <w:pPr>
        <w:pStyle w:val="1012"/>
        <w:pBdr/>
        <w:spacing/>
        <w:ind/>
        <w:rPr/>
      </w:pPr>
      <w:r>
        <w:t xml:space="preserve">Questi sono alcuni esempi – nel concreto, la lista di obiettivi viene mantenuta concisa e focalizzata sui punti critici e si evita di avere troppi target che rischierebbero di disperdere gli sforzi. Gli </w:t>
      </w:r>
      <w:r>
        <w:rPr>
          <w:b/>
          <w:bCs/>
        </w:rPr>
        <w:t xml:space="preserve">obiettivi sono comunicati</w:t>
      </w:r>
      <w:r>
        <w:t xml:space="preserve"> a tutti i livelli (affissi in bacheca e discussi con i preposti, inseriti nella formazione periodica) così che ogni lavoratore conosca verso quali miglioramenti l’azienda si sta muovendo e quale è il proprio ruolo nel raggiungerli.</w:t>
      </w:r>
      <w:r/>
    </w:p>
    <w:p>
      <w:pPr>
        <w:pStyle w:val="1011"/>
        <w:pBdr/>
        <w:spacing/>
        <w:ind/>
        <w:rPr/>
      </w:pPr>
      <w:r>
        <w:t xml:space="preserve">Per ciascun obiettivo è definito un </w:t>
      </w:r>
      <w:r>
        <w:rPr>
          <w:b/>
          <w:bCs/>
        </w:rPr>
        <w:t xml:space="preserve">piano di azione</w:t>
      </w:r>
      <w:r>
        <w:t xml:space="preserve"> (chi fa cosa e quando) – di fatto sono integrati nei piani di cui sopra – e i progressi vengono mon</w:t>
      </w:r>
      <w:r>
        <w:t xml:space="preserve">itorati regolarmente. Ad esempio, nel meeting di riesame annuale la Direzione verifica lo stato: se un obiettivo risulta non in linea col target intermedio, vengono decise azioni correttive e/o ne viene riesaminata la realisticità. L’impegno comunque è di </w:t>
      </w:r>
      <w:r>
        <w:rPr>
          <w:b/>
          <w:bCs/>
        </w:rPr>
        <w:t xml:space="preserve">non abbassare l’asticella</w:t>
      </w:r>
      <w:r>
        <w:t xml:space="preserve">: se un obiettivo non si raggiunge completamente ma c’è margine per avvicinarsi ulteriormente, rimarrà un obiettivo anche per l’anno seguente, eventualmente rifinito.</w:t>
      </w:r>
      <w:r/>
    </w:p>
    <w:p>
      <w:pPr>
        <w:pStyle w:val="1011"/>
        <w:pBdr/>
        <w:spacing/>
        <w:ind/>
        <w:rPr/>
      </w:pPr>
      <w:r>
        <w:t xml:space="preserve">Va sottolineato che tali obiettivi di SSL sono anche allineati con gli obiettivi generali dell’azienda (qualità, produttività</w:t>
      </w:r>
      <w:r>
        <w:t xml:space="preserve">). </w:t>
      </w:r>
      <w:r>
        <w:rPr>
          <w:highlight w:val="none"/>
        </w:rPr>
        <w:t xml:space="preserve">Ad esempio, </w:t>
      </w:r>
      <w:r>
        <w:t xml:space="preserve"> l’obiettivo formativo di aumentare le ore di formazione su sicurezza integra l’obiettivo generale di crescita professionale del personale; l’obiettivo di dimezzare l’indice infortuni coincide anche con l’obiettivo di ridurre </w:t>
      </w:r>
      <w:r>
        <w:t xml:space="preserve">costi assicurativi e fermi produzione. Questa coerenza fa sì che la sicurezza non venga percepita come qualcosa di “separato”, ma come parte del successo complessivo dell’impresa.</w:t>
      </w:r>
      <w:r/>
    </w:p>
    <w:p>
      <w:pPr>
        <w:pStyle w:val="1011"/>
        <w:pBdr/>
        <w:spacing/>
        <w:ind/>
        <w:rPr/>
      </w:pPr>
      <w:r>
        <w:t xml:space="preserve">In conclusione, la pianificazione per obiettivi consente ad Agrumigel di </w:t>
      </w:r>
      <w:r>
        <w:rPr>
          <w:b/>
          <w:bCs/>
        </w:rPr>
        <w:t xml:space="preserve">tradurre la visione di miglioramento continuo in passi concreti e misurabili</w:t>
      </w:r>
      <w:r>
        <w:t xml:space="preserve">. Ogni traguardo raggiunto </w:t>
      </w:r>
      <w:r>
        <w:t xml:space="preserve">(es. un anno senza infortuni) viene celebrato e consolidato, e si passa all’obiettivo successivo, in un ciclo virtuoso. Questo mantiene alta la motivazione di tutti gli attori e testimonia l’impegno reale dell’azienda verso la tutela dei propri lavoratori.</w:t>
      </w:r>
      <w:r/>
    </w:p>
    <w:p>
      <w:pPr>
        <w:pStyle w:val="999"/>
        <w:pBdr/>
        <w:spacing/>
        <w:ind/>
        <w:rPr/>
      </w:pPr>
      <w:r/>
      <w:bookmarkStart w:id="40" w:name="supporto"/>
      <w:r/>
      <w:bookmarkStart w:id="41" w:name="_Toc211351960"/>
      <w:r/>
      <w:bookmarkEnd w:id="38"/>
      <w:r/>
      <w:bookmarkEnd w:id="28"/>
      <w:r>
        <w:t xml:space="preserve">Supporto</w:t>
      </w:r>
      <w:bookmarkEnd w:id="41"/>
      <w:r/>
      <w:r/>
    </w:p>
    <w:p>
      <w:pPr>
        <w:pStyle w:val="1000"/>
        <w:pBdr/>
        <w:spacing/>
        <w:ind/>
        <w:rPr/>
      </w:pPr>
      <w:r/>
      <w:bookmarkStart w:id="42" w:name="risorse"/>
      <w:r/>
      <w:bookmarkStart w:id="43" w:name="_Toc211351961"/>
      <w:r>
        <w:t xml:space="preserve">Risorse</w:t>
      </w:r>
      <w:bookmarkEnd w:id="43"/>
      <w:r/>
      <w:r/>
    </w:p>
    <w:p>
      <w:pPr>
        <w:pStyle w:val="1012"/>
        <w:pBdr/>
        <w:spacing/>
        <w:ind/>
        <w:rPr/>
      </w:pPr>
      <w:r>
        <w:t xml:space="preserve">Per garantire l’efficace attuazione del Sistema di Gestione SSL e delle misure di prevenzione pianificate, Agrumigel mette a disposizione adeguate </w:t>
      </w:r>
      <w:r>
        <w:rPr>
          <w:b/>
          <w:bCs/>
        </w:rPr>
        <w:t xml:space="preserve">risorse</w:t>
      </w:r>
      <w:r>
        <w:t xml:space="preserve">. La Direzione è consapevole che gli impegni in materia di sicurezza devono essere supportati da investimenti e mezzi concreti, pertanto pianifica nel budget aziendale le risorse necessarie a:</w:t>
      </w:r>
      <w:r/>
    </w:p>
    <w:p>
      <w:pPr>
        <w:numPr>
          <w:ilvl w:val="0"/>
          <w:numId w:val="14"/>
        </w:numPr>
        <w:pBdr/>
        <w:spacing/>
        <w:ind/>
        <w:rPr/>
      </w:pPr>
      <w:r>
        <w:rPr>
          <w:b/>
          <w:bCs/>
        </w:rPr>
        <w:t xml:space="preserve">Infrastrutture sicure e manutenzione</w:t>
      </w:r>
      <w:r>
        <w:t xml:space="preserve">: L’azienda assicura che gli impianti, i macchinari, le attrezzature e le strutture edilizie siano progettati e mantenuti in condizioni di sicurezza. Viene attuato un rigoroso </w:t>
      </w:r>
      <w:r>
        <w:rPr>
          <w:b/>
          <w:bCs/>
        </w:rPr>
        <w:t xml:space="preserve">piano di manutenzione preventiva</w:t>
      </w:r>
      <w:r>
        <w:t xml:space="preserve"> su tutti gli impianti critici (linee produttive, impianti elettrici, antincendio, frigorifero, cogenerazione, ecc.), con cadenze stabilite e registrazioni su appositi registri</w:t>
      </w:r>
      <w:hyperlink r:id="rId18" w:tooltip="file://file-FgwsiBpANQXRGefTNXqY3H#:~:text=Depuratore%20%2B%20impianto%20digestione%20anaerobica" w:anchor=":~:text=Depuratore%20%2B%20impianto%20digestione%20anaerobica" w:history="1">
        <w:r>
          <w:rPr>
            <w:rStyle w:val="1047"/>
          </w:rPr>
          <w:t xml:space="preserve">[2]</w:t>
        </w:r>
      </w:hyperlink>
      <w:r>
        <w:t xml:space="preserve">. Le eventuali </w:t>
      </w:r>
      <w:r>
        <w:rPr>
          <w:b/>
          <w:bCs/>
        </w:rPr>
        <w:t xml:space="preserve">criticità tecniche</w:t>
      </w:r>
      <w:r>
        <w:t xml:space="preserve"> riscontrate (ad </w:t>
      </w:r>
      <w:r>
        <w:t xml:space="preserve">es. un sensore di sicurezza guasto, un riparo danneggiato) vengono corrette tempestivamente, anche fermando la macchina fino a riparazione se necessario. A tal fine, la Direzione alloca fondi specifici per la manutenzione straordinaria sulla sicurezza. Le </w:t>
      </w:r>
      <w:r>
        <w:rPr>
          <w:b/>
          <w:bCs/>
        </w:rPr>
        <w:t xml:space="preserve">dotazioni strutturali</w:t>
      </w:r>
      <w:r>
        <w:t xml:space="preserve"> (es. pavimentazioni antisdrucciolo, impianti di ventilazione, sistemi di aspirazione) sono realizzate secondo standard di sicurezza e continuamente migliorate ove opportuno.</w:t>
      </w:r>
      <w:r/>
    </w:p>
    <w:p>
      <w:pPr>
        <w:numPr>
          <w:ilvl w:val="0"/>
          <w:numId w:val="14"/>
        </w:numPr>
        <w:pBdr/>
        <w:spacing/>
        <w:ind/>
        <w:rPr/>
      </w:pPr>
      <w:r>
        <w:rPr>
          <w:b/>
          <w:bCs/>
        </w:rPr>
        <w:t xml:space="preserve">Persone e competenze</w:t>
      </w:r>
      <w:r>
        <w:t xml:space="preserve">: Agrumigel investe sulle risorse umane necessarie al SGSSL. Ciò include: la nomina di un RSPP competente (nel caso interno, </w:t>
      </w:r>
      <w:r>
        <w:t xml:space="preserve">dedicando parte del suo tempo alla sicurezza; se esterno, contrattualizzando ore sufficienti per presenza in stabilimento e supporto); la formazione di addetti antincendio e primo soccorso in numero adeguato (anche coprendo il costo di eventuali straordina</w:t>
      </w:r>
      <w:r>
        <w:t xml:space="preserve">ri per farli partecipare ai corsi); l’eventuale assunzione o consulenza di figure specialistiche (es. igienista industriale per monitoraggi, ergonomo per valutazioni speciali) quando necessario. Inoltre, per garantire condizioni sicure, spesso è opportuno </w:t>
      </w:r>
      <w:r>
        <w:rPr>
          <w:b/>
          <w:bCs/>
        </w:rPr>
        <w:t xml:space="preserve">aumentare l’organico</w:t>
      </w:r>
      <w:r>
        <w:t xml:space="preserve"> in aree critiche per ridurre il carico di lavoro individuale: l’azienda, in fase di pianificazione produttiva, tiene conto che sovraccaricare di lavoro o ridurre eccessivamen</w:t>
      </w:r>
      <w:r>
        <w:t xml:space="preserve">te il personale può impattare negativamente la sicurezza, quindi preferisce organizzare doppi turni con squadre aggiuntive piuttosto che spremere troppo poche persone. Questo rappresenta un costo aggiuntivo, ma è considerato un investimento in prevenzione.</w:t>
      </w:r>
      <w:r/>
    </w:p>
    <w:p>
      <w:pPr>
        <w:numPr>
          <w:ilvl w:val="0"/>
          <w:numId w:val="14"/>
        </w:numPr>
        <w:pBdr/>
        <w:spacing/>
        <w:ind/>
        <w:rPr/>
      </w:pPr>
      <w:r>
        <w:rPr>
          <w:b/>
          <w:bCs/>
        </w:rPr>
        <w:t xml:space="preserve">Finanziamenti e spese</w:t>
      </w:r>
      <w:r>
        <w:t xml:space="preserve">: Ogni anno viene destinata una quota di bilancio per</w:t>
      </w:r>
      <w:r>
        <w:t xml:space="preserve"> le esigenze di SSL. Ad esempio, l’acquisto dei DPI (dispositivi di protezione individuale) di qualità per tutti i lavoratori è garantito senza economie; se un reparto necessita di un miglioramento impiantistico per sicurezza (es. un nuovo aspiratore, un p</w:t>
      </w:r>
      <w:r>
        <w:t xml:space="preserve">arapetto), la richiesta viene valutata come prioritaria. Agrumigel partecipa anche a eventuali bandi di finanziamento (es. bandi INAIL per supporto a investimenti in sicurezza) per ampliare le risorse disponibili, cogliendo opportunità di co-finanziamento.</w:t>
      </w:r>
      <w:r/>
    </w:p>
    <w:p>
      <w:pPr>
        <w:numPr>
          <w:ilvl w:val="0"/>
          <w:numId w:val="14"/>
        </w:numPr>
        <w:pBdr/>
        <w:spacing/>
        <w:ind/>
        <w:rPr/>
      </w:pPr>
      <w:r>
        <w:rPr>
          <w:b/>
          <w:bCs/>
        </w:rPr>
        <w:t xml:space="preserve">Materiali e attrezzature di sicurezza</w:t>
      </w:r>
      <w:r>
        <w:t xml:space="preserve">: vengono forniti tutti i materiali e dispositivi necessari: DPI personali (</w:t>
      </w:r>
      <w:r>
        <w:t xml:space="preserve">guanti, cuffie, occhiali, sc</w:t>
      </w:r>
      <w:r>
        <w:t xml:space="preserve">arpe antinfortunistiche, </w:t>
      </w:r>
      <w:r>
        <w:rPr>
          <w:highlight w:val="none"/>
        </w:rPr>
        <w:t xml:space="preserve">indumenti ad alta visibilità</w:t>
      </w:r>
      <w:r>
        <w:rPr>
          <w:highlight w:val="none"/>
        </w:rPr>
        <w:t xml:space="preserve">, imbracature, ecc.) in quantità adeguata e sostituiti regolar</w:t>
      </w:r>
      <w:r>
        <w:t xml:space="preserve">mente al bisogno; dotazioni collettive come estintori, cassette di pronto soccorso rifornite, docce oculari, strumentazione di monitoraggio (</w:t>
      </w:r>
      <w:r>
        <w:t xml:space="preserve">es. fonometro per controlli interni, rilevatori portatili di gas per operatori in spazi confinati, termometri WBGT per stress termico, etc.). Tutti questi dispositivi sono considerati parte delle risorse e l’azienda ne assicura la fornitura e manutenzione.</w:t>
      </w:r>
      <w:r/>
    </w:p>
    <w:p>
      <w:pPr>
        <w:numPr>
          <w:ilvl w:val="0"/>
          <w:numId w:val="14"/>
        </w:numPr>
        <w:pBdr/>
        <w:spacing/>
        <w:ind/>
        <w:rPr/>
      </w:pPr>
      <w:r>
        <w:rPr>
          <w:b/>
          <w:bCs/>
        </w:rPr>
        <w:t xml:space="preserve">Ambiente di lavoro confortevole e servizi</w:t>
      </w:r>
      <w:r>
        <w:t xml:space="preserve">: fornire risorse significa anche curare gli aspetti di benessere dei lavoratori che indirettamente incidono sulla sicurezza. </w:t>
      </w:r>
      <w:r>
        <w:t xml:space="preserve">L’i</w:t>
      </w:r>
      <w:r>
        <w:t xml:space="preserve">lluminazione delle aree di lavoro è stata progettata per garantire livelli luminosi sufficienti e viene verificata periodicamente, perché una buona visibilità previene incidenti. Anche i sistemi di riscaldamento/raffrescamento negli ambienti di lavoro sono</w:t>
      </w:r>
      <w:r>
        <w:t xml:space="preserve"> considerati – ad esempio nei reparti confezionamento scorze in estate sono stati installati ventilatori evaporativi per mitigare la calura. Questi accorgimenti comportano costi energetici ma sono risorse destinate a mantenere un ambiente sicuro e salubre.</w:t>
      </w:r>
      <w:r/>
    </w:p>
    <w:p>
      <w:pPr>
        <w:numPr>
          <w:ilvl w:val="0"/>
          <w:numId w:val="14"/>
        </w:numPr>
        <w:pBdr/>
        <w:spacing/>
        <w:ind/>
        <w:rPr/>
      </w:pPr>
      <w:r>
        <w:rPr>
          <w:b/>
          <w:bCs/>
        </w:rPr>
        <w:t xml:space="preserve">Sistema informativo e documentale</w:t>
      </w:r>
      <w:r>
        <w:t xml:space="preserve">: l’azie</w:t>
      </w:r>
      <w:r>
        <w:t xml:space="preserve">nda fornisce strumenti per gestire le informazioni della sicurezza: software o supporti informatici per archiviare il DVR, le schede di sicurezza, i verbali di audit, e per tenere traccia di scadenze (visite mediche, formazione, controlli antincendio). Ad </w:t>
      </w:r>
      <w:r>
        <w:t xml:space="preserve">esempio, potrebbe utilizzare un modulo nel sistema ERP aziendale o un database dedicato HSE. Questo investimento facilita il lavoro di coordinamento del RSPP e la disponibilità di informazioni aggiornate, che è a tutti gli effetti una risorsa fondamentale.</w:t>
      </w:r>
      <w:r/>
    </w:p>
    <w:p>
      <w:pPr>
        <w:numPr>
          <w:ilvl w:val="0"/>
          <w:numId w:val="14"/>
        </w:numPr>
        <w:pBdr/>
        <w:spacing/>
        <w:ind/>
        <w:rPr/>
      </w:pPr>
      <w:r>
        <w:rPr>
          <w:b/>
          <w:bCs/>
        </w:rPr>
        <w:t xml:space="preserve">Risorse esterne di supporto</w:t>
      </w:r>
      <w:r>
        <w:t xml:space="preserve">: Oltre alle risorse interne, Agrumigel ha sti</w:t>
      </w:r>
      <w:r>
        <w:t xml:space="preserve">pulato accordi o contratti con servizi esterni che fungono da risorsa pronta in caso di necessità: ad esempio, un accordo con una ditta di emergenza ambientale per interventi rapidi in caso di sversamenti; convenzioni con la ASL locale per vaccinazioni o s</w:t>
      </w:r>
      <w:r>
        <w:t xml:space="preserve">creening sanitari straordinari; un abbonamento a consulenze telefoniche su materie specifiche (es. normativa sempre aggiornata fornita da società specializzate). Avere questi riferimenti consente di attivare rapidamente le giuste competenze all’occorrenza.</w:t>
      </w:r>
      <w:r/>
    </w:p>
    <w:p>
      <w:pPr>
        <w:pStyle w:val="1012"/>
        <w:pBdr/>
        <w:spacing/>
        <w:ind/>
        <w:rPr/>
      </w:pPr>
      <w:r>
        <w:t xml:space="preserve">In sintesi, la Direzione non si limita a enunciare politiche, ma le sostiene con i </w:t>
      </w:r>
      <w:r>
        <w:rPr>
          <w:b/>
          <w:bCs/>
        </w:rPr>
        <w:t xml:space="preserve">mezzi pratici</w:t>
      </w:r>
      <w:r>
        <w:t xml:space="preserve">. Durante il Riesame di Direzione, uno dei punti è proprio</w:t>
      </w:r>
      <w:r>
        <w:t xml:space="preserve"> valutare se le risorse a disposizione sono adeguate e, se necessario, deliberare aumenti o ridistribuzioni. Finora, la sicurezza non è mai stata penalizzata in favore di risparmi di breve termine: ogni investimento in prevenzione ha portato benefici (meno</w:t>
      </w:r>
      <w:r>
        <w:t xml:space="preserve"> incidenti, migliore produttività) che giustificano ampiamente le risorse impiegate. Questo approccio verrà mantenuto e rafforzato, specie man mano che l’azienda cresce di dimensioni e complessità, per assicurare sempre un livello di sicurezza all’altezza.</w:t>
      </w:r>
      <w:r/>
    </w:p>
    <w:p>
      <w:pPr>
        <w:pStyle w:val="1000"/>
        <w:pBdr/>
        <w:spacing/>
        <w:ind/>
        <w:rPr/>
      </w:pPr>
      <w:r/>
      <w:bookmarkStart w:id="44" w:name="competenze-e-formazione"/>
      <w:r/>
      <w:bookmarkStart w:id="45" w:name="_Toc211351962"/>
      <w:r/>
      <w:bookmarkEnd w:id="42"/>
      <w:r>
        <w:t xml:space="preserve">Competenze e formazione</w:t>
      </w:r>
      <w:bookmarkEnd w:id="45"/>
      <w:r/>
      <w:r/>
    </w:p>
    <w:p>
      <w:pPr>
        <w:pStyle w:val="1012"/>
        <w:pBdr/>
        <w:spacing/>
        <w:ind/>
        <w:rPr/>
      </w:pPr>
      <w:r>
        <w:t xml:space="preserve">Agrumigel riconosce che la </w:t>
      </w:r>
      <w:r>
        <w:rPr>
          <w:b/>
          <w:bCs/>
        </w:rPr>
        <w:t xml:space="preserve">competenza del personale</w:t>
      </w:r>
      <w:r>
        <w:t xml:space="preserve"> è un fattore determinante per garantire sicurezza e prevenzione degli incidenti. Anche il miglior dispositivo o procedura risulta inefficace se chi opera non è formato o consapevole. Pertanto l’azienda dedica notevole attenzione alla </w:t>
      </w:r>
      <w:r>
        <w:rPr>
          <w:b/>
          <w:bCs/>
        </w:rPr>
        <w:t xml:space="preserve">formazione, addestramento e consapevolezza dei lavoratori e dei responsabili</w:t>
      </w:r>
      <w:r>
        <w:t xml:space="preserve"> in materia di SSL.</w:t>
      </w:r>
      <w:r/>
    </w:p>
    <w:p>
      <w:pPr>
        <w:pStyle w:val="1011"/>
        <w:pBdr/>
        <w:spacing/>
        <w:ind/>
        <w:rPr/>
      </w:pPr>
      <w:r>
        <w:t xml:space="preserve">Le principali iniziative e modalità per assicurare le competenze sono:</w:t>
      </w:r>
      <w:r/>
    </w:p>
    <w:p>
      <w:pPr>
        <w:numPr>
          <w:ilvl w:val="0"/>
          <w:numId w:val="15"/>
        </w:numPr>
        <w:pBdr/>
        <w:spacing/>
        <w:ind/>
        <w:rPr/>
      </w:pPr>
      <w:r>
        <w:rPr>
          <w:b/>
          <w:bCs/>
        </w:rPr>
        <w:t xml:space="preserve">Formazione obbligatoria in ingresso</w:t>
      </w:r>
      <w:r>
        <w:t xml:space="preserve">: Tutti i nuovi assunti, prima di iniziare effettivamente il lavoro, ricevono la form</w:t>
      </w:r>
      <w:r>
        <w:t xml:space="preserve">azione generale e specifica prevista dall’Accordo Stato-Regioni del 21/12/2011. In particolare, Agrumigel organizza corsi di formazione generale (4 ore) e di formazione specifica (ulteriori 8, 12 o 16 ore a seconda del rischio alto, medio, basso – nel nost</w:t>
      </w:r>
      <w:r>
        <w:t xml:space="preserve">ro caso rischio alto per il settore alimentare con uso di macchine) che coprono concetti di base di SSL e i rischi specifici dei reparti aziendali. Questa formazione viene erogata preferibilmente entro il primissimo periodo dall’assunzione (talvolta già ne</w:t>
      </w:r>
      <w:r>
        <w:t xml:space="preserve">l periodo di affiancamento iniziale) e comunque non oltre 60 giorni dall’ingresso. I contenuti includono: diritti e doveri, organigramma della sicurezza, rischi generali di stabilimento, rischi del reparto specifico (macchine, sostanze, movimentazione etc.</w:t>
      </w:r>
      <w:r>
        <w:t xml:space="preserve">), misure di prevenzione aziendali e procedure di emergenza. Viene tenuta traccia di questa formazione (registro firme) e rilasciato attestato. Ai lavoratori interinali o temporanei viene garantita analoga formazione prima dell’accesso alle aree operative.</w:t>
      </w:r>
      <w:r/>
    </w:p>
    <w:p>
      <w:pPr>
        <w:numPr>
          <w:ilvl w:val="0"/>
          <w:numId w:val="15"/>
        </w:numPr>
        <w:pBdr/>
        <w:spacing/>
        <w:ind/>
        <w:rPr/>
      </w:pPr>
      <w:r>
        <w:rPr>
          <w:b/>
          <w:bCs/>
        </w:rPr>
        <w:t xml:space="preserve">Formazione specifica periodica (aggiornamento)</w:t>
      </w:r>
      <w:r>
        <w:t xml:space="preserve">: Viene predisposto un </w:t>
      </w:r>
      <w:r>
        <w:rPr>
          <w:b/>
          <w:bCs/>
        </w:rPr>
        <w:t xml:space="preserve">piano di formazione annuale</w:t>
      </w:r>
      <w:r>
        <w:t xml:space="preserve"> per assicurare che ciascun lavoratore riceva l’aggiornamento quinquennale obbligatorio (minimo 6 ore </w:t>
      </w:r>
      <w:r>
        <w:t xml:space="preserve">ogni 5 anni per il rischio alto) e, se necessario, formazione aggiuntiva. L’azienda tende ad anticipare gli aggiornamenti senza aspettare la scadenza, pianificando ogni anno moduli formativi su argomenti diversi, in modo che nel quinquennio ciascuno accumu</w:t>
      </w:r>
      <w:r>
        <w:t xml:space="preserve">li almeno le ore necessarie. Ad esempio, un anno si tiene un corso di 2 ore sull’uso in sicurezza dei carrelli manuali e gestione dei carichi; l’anno successivo 2 ore su comportamenti sicuri e cultura sicurezza; l’anno dopo ancora 4 ore su rischio chimico </w:t>
      </w:r>
      <w:r>
        <w:t xml:space="preserve">e corretto utilizzo DPI – e così via, integrando vari temi. In questo modo gli aggiornamenti risultano frazionati e costanti, mantenendo viva l’attenzione (invece di fare 6 ore tutte insieme dopo 5 anni rischiando di dimenticare). Naturalmente, se vi sono </w:t>
      </w:r>
      <w:r>
        <w:t xml:space="preserve">cambiamenti che introducono nuovi rischi (es. nuova macchina, nuovo procedimento), viene immediatamente erogata formazione specifica aggiuntiva ai lavoratori coinvolti.</w:t>
      </w:r>
      <w:r/>
    </w:p>
    <w:p>
      <w:pPr>
        <w:numPr>
          <w:ilvl w:val="0"/>
          <w:numId w:val="15"/>
        </w:numPr>
        <w:pBdr/>
        <w:spacing/>
        <w:ind/>
        <w:rPr/>
      </w:pPr>
      <w:r>
        <w:rPr>
          <w:b/>
          <w:bCs/>
        </w:rPr>
        <w:t xml:space="preserve">Addestramento pratico e formazione specifica per mansione</w:t>
      </w:r>
      <w:r>
        <w:t xml:space="preserve">: Oltre alla formazione teorica, Agrumigel cura molto l’</w:t>
      </w:r>
      <w:r>
        <w:rPr>
          <w:b/>
          <w:bCs/>
        </w:rPr>
        <w:t xml:space="preserve">addestramento</w:t>
      </w:r>
      <w:r>
        <w:t xml:space="preserve"> sul campo. Ad esempio, un neo-assunto in produzione viene affiancato da un operatore esperto (tutor) per alcuni giorni/settimane, che gli mostra praticamente come svolgere le operazioni in sicurezza: come si ope</w:t>
      </w:r>
      <w:r>
        <w:t xml:space="preserve">ra alla pressa per agrumi (dove mettere le mani e dove no), come sollevare correttamente le cassette, come indossare e togliere i DPI, come reagire se suona un allarme di ammoniaca, etc. Questo addestramento viene formalizzato con una lista di cose da most</w:t>
      </w:r>
      <w:r>
        <w:t xml:space="preserve">rare e viene firmato (verbale di avvenuto addestramento). Per alcune attrezzature specifiche (es. transpallet elettrici, molini, pulitrici CIP), l’addestramento è normato e viene svolto da personale qualificato seguendo le istruzioni d’uso del costruttore.</w:t>
      </w:r>
      <w:r/>
    </w:p>
    <w:p>
      <w:pPr>
        <w:numPr>
          <w:ilvl w:val="0"/>
          <w:numId w:val="15"/>
        </w:numPr>
        <w:pBdr/>
        <w:spacing/>
        <w:ind/>
        <w:rPr/>
      </w:pPr>
      <w:r>
        <w:rPr>
          <w:b/>
          <w:bCs/>
        </w:rPr>
        <w:t xml:space="preserve">Formazione per figure particolari</w:t>
      </w:r>
      <w:r>
        <w:t xml:space="preserve">: L’azienda garantisce la formazione aggiuntiva prevista per ruoli di sicurezza: i dirigenti e preposti ricevono formazione come da Accordo Stato-Regioni (formazione </w:t>
      </w:r>
      <w:r>
        <w:t xml:space="preserve">specifica per preposti sulle capacità di supervisione e gestione sicurezza, con aggiornamenti biennali); gli addetti antincendio seguono i corsi di rischio medio o elevato e i retraining (esercitazioni pratiche) periodici; gli addetti primo soccorso svolgo</w:t>
      </w:r>
      <w:r>
        <w:t xml:space="preserve">no 12-16 ore iniziali e aggiornamento triennale con prove pratiche; l’RLS ha svolto il corso da 32 ore e partecipa all’aggiornamento annuale di 4 ore (essendo l’azienda &lt;50 dipendenti o 8 ore se &gt;50); il RSPP (interno o esterno) è abilitato e frequenta i c</w:t>
      </w:r>
      <w:r>
        <w:t xml:space="preserve">orsi di aggiornamento quinquennali (minimo 40 ore/5 anni per rischio alto). Anch</w:t>
      </w:r>
      <w:r>
        <w:rPr>
          <w:highlight w:val="none"/>
        </w:rPr>
        <w:t xml:space="preserve">e</w:t>
      </w:r>
      <w:r>
        <w:rPr>
          <w:highlight w:val="none"/>
        </w:rPr>
        <w:t xml:space="preserve"> il personale di manutenzione elettrica è formato PES/PAV</w:t>
      </w:r>
      <w:r>
        <w:rPr>
          <w:highlight w:val="none"/>
        </w:rPr>
        <w:t xml:space="preserve"> (persona esper</w:t>
      </w:r>
      <w:r>
        <w:t xml:space="preserve">ta o avvertita in elettrico) secondo CEI 11-27 per poter intervenire sugli impianti in sicurezza. Ogni </w:t>
      </w:r>
      <w:r>
        <w:t xml:space="preserve">qual volta la normativa prevede un patentino o abilitazione (es. carrellisti, operatori PLE, conducenti generatori vapore, tecnici F-gas per refrigerazione), l’azienda fa frequentare i corsi e sostenere gli esami relativi, registrando i patentini ottenuti.</w:t>
      </w:r>
      <w:r/>
    </w:p>
    <w:p>
      <w:pPr>
        <w:numPr>
          <w:ilvl w:val="0"/>
          <w:numId w:val="15"/>
        </w:numPr>
        <w:pBdr/>
        <w:spacing/>
        <w:ind/>
        <w:rPr/>
      </w:pPr>
      <w:r>
        <w:rPr>
          <w:b/>
          <w:bCs/>
        </w:rPr>
        <w:t xml:space="preserve">Formazione su scenari di emergenza</w:t>
      </w:r>
      <w:r>
        <w:t xml:space="preserve">: Vengono organizzati periodicamente corsi o briefing su come comportarsi in caso di emergenze specifiche. Ad esempio, tutti i lavoratori partecipano almeno annualmente a una sessione informativa sul Piano di Em</w:t>
      </w:r>
      <w:r>
        <w:t xml:space="preserve">ergenza: come riconoscere gli allarmi, dove sono le uscite, qual è il punto di raccolta, chi chiamare, ecc. Per emergenze particolari (fuga ammoniaca), si fanno drill con coinvolgimento di reparti specifici. Questi interventi, anche se brevi, servono a fis</w:t>
      </w:r>
      <w:r>
        <w:t xml:space="preserve">sare protocolli mentali chiari per reagire prontamente. Inoltre gli addetti alla gestione emergenze fanno training avanzato, anche con esercitazioni simulate realistiche con la squadra interna e, se possibile, in collaborazione con Vigili del Fuoco locali.</w:t>
      </w:r>
      <w:r/>
    </w:p>
    <w:p>
      <w:pPr>
        <w:numPr>
          <w:ilvl w:val="0"/>
          <w:numId w:val="15"/>
        </w:numPr>
        <w:pBdr/>
        <w:spacing/>
        <w:ind/>
        <w:rPr/>
      </w:pPr>
      <w:r>
        <w:rPr>
          <w:b/>
          <w:bCs/>
        </w:rPr>
        <w:t xml:space="preserve">Materiale informativo e comunicazione continua</w:t>
      </w:r>
      <w:r>
        <w:t xml:space="preserve">: Oltre ai corsi formali, Agrumigel fornisce ai dipendenti </w:t>
      </w:r>
      <w:r>
        <w:rPr>
          <w:b/>
          <w:bCs/>
        </w:rPr>
        <w:t xml:space="preserve">informazioni</w:t>
      </w:r>
      <w:r>
        <w:t xml:space="preserve"> costanti: bacheche con </w:t>
      </w:r>
      <w:r>
        <w:rPr>
          <w:highlight w:val="none"/>
        </w:rPr>
        <w:t xml:space="preserve">poster sulla sicurezza</w:t>
      </w:r>
      <w:r>
        <w:rPr>
          <w:highlight w:val="none"/>
        </w:rPr>
        <w:t xml:space="preserve"> </w:t>
      </w:r>
      <w:r>
        <w:t xml:space="preserve">(es. posture corrette, uso estintori, numeri di emergenza), brevi </w:t>
      </w:r>
      <w:r>
        <w:t xml:space="preserve">memo durante le riunioni di reparto. Quando avviene un incidente o quasi incidente, l’az</w:t>
      </w:r>
      <w:r>
        <w:t xml:space="preserve">ienda – anziché tenerlo nascosto – ne parla con i lavoratori interessati: “guardate è successo questo, rivediamo insieme come evitare che ricapiti, qual è la lezione appresa”. Questa comunicazione trasparente è formativa di per sé e rende i lavoratori più </w:t>
      </w:r>
      <w:r>
        <w:rPr>
          <w:b/>
          <w:bCs/>
        </w:rPr>
        <w:t xml:space="preserve">consapevoli</w:t>
      </w:r>
      <w:r>
        <w:t xml:space="preserve">.</w:t>
      </w:r>
      <w:r/>
    </w:p>
    <w:p>
      <w:pPr>
        <w:numPr>
          <w:ilvl w:val="0"/>
          <w:numId w:val="15"/>
        </w:numPr>
        <w:pBdr/>
        <w:spacing/>
        <w:ind/>
        <w:rPr/>
      </w:pPr>
      <w:r>
        <w:rPr>
          <w:b/>
          <w:bCs/>
        </w:rPr>
        <w:t xml:space="preserve">Verifica dell’efficacia della formazione</w:t>
      </w:r>
      <w:r>
        <w:t xml:space="preserve">: Al termine di ogni sessione formativa, si utilizzano quiz o colloqui per valutare la comprensione dei concetti chiave.</w:t>
      </w:r>
      <w:r>
        <w:t xml:space="preserve"> Oppure, dopo l’addestramento su un muletto, l’operatore deve dimostrare di saper fare le manovre in sicurezza sotto osservazione. Se qualcuno mostra lacune, viene pianificato un retraining individuale.</w:t>
      </w:r>
      <w:r>
        <w:t xml:space="preserve"> L’efficacia nel lungo termine è monitorata indirettamente: se dopo formazione su un certo rischio, gli incidenti legati a quel rischio calano, significa che la formazione ha avuto impatto positivo.</w:t>
      </w:r>
      <w:r/>
    </w:p>
    <w:p>
      <w:pPr>
        <w:numPr>
          <w:ilvl w:val="0"/>
          <w:numId w:val="15"/>
        </w:numPr>
        <w:pBdr/>
        <w:spacing/>
        <w:ind/>
        <w:rPr>
          <w:highlight w:val="none"/>
        </w:rPr>
      </w:pPr>
      <w:r>
        <w:rPr>
          <w:b/>
          <w:bCs/>
        </w:rPr>
        <w:t xml:space="preserve">Formazione e consapevolezza dei dirigenti</w:t>
      </w:r>
      <w:r>
        <w:t xml:space="preserve">: Non solo gli operativi, ma anche i manager d’azienda vengono sensibilizzati. I dirigenti partecipano a incontri formativi per comp</w:t>
      </w:r>
      <w:r>
        <w:t xml:space="preserve">rendere le proprie responsabilità legali e morali, e per essere aggiornati su normative e potenziali implicazioni (anche penali) di omissioni. Questo li rende maggiormente partecipi e attenti quando prendono decisioni organizzative.</w:t>
      </w:r>
      <w:r>
        <w:rPr>
          <w:highlight w:val="none"/>
        </w:rPr>
        <w:t xml:space="preserve"> </w:t>
      </w:r>
      <w:r>
        <w:rPr>
          <w:highlight w:val="none"/>
        </w:rPr>
        <w:t xml:space="preserve">In azienda si è instaur</w:t>
      </w:r>
      <w:r>
        <w:rPr>
          <w:highlight w:val="none"/>
        </w:rPr>
        <w:t xml:space="preserve">ata l’abitudine di includere un modulo “Safety” in ogni training tecnico o gestionale: ad esempio, se la squadra manutenzione va a un corso sul nuovo macchinario, c’è anche una sezione su come quel macchinario impatta sulla sicurezza e quali cautele avere</w:t>
      </w:r>
      <w:r>
        <w:rPr>
          <w:highlight w:val="none"/>
        </w:rPr>
        <w:t xml:space="preserve">.</w:t>
      </w:r>
      <w:r>
        <w:rPr>
          <w:highlight w:val="none"/>
        </w:rPr>
      </w:r>
      <w:r>
        <w:rPr>
          <w:highlight w:val="none"/>
        </w:rPr>
      </w:r>
    </w:p>
    <w:p>
      <w:pPr>
        <w:numPr>
          <w:ilvl w:val="0"/>
          <w:numId w:val="15"/>
        </w:numPr>
        <w:pBdr/>
        <w:spacing/>
        <w:ind/>
        <w:rPr/>
      </w:pPr>
      <w:r>
        <w:rPr>
          <w:b/>
          <w:bCs/>
        </w:rPr>
        <w:t xml:space="preserve">Formazione dei lavoratori di aziende terze</w:t>
      </w:r>
      <w:r>
        <w:t xml:space="preserve">: Quando in stabilimento operano appaltatori (pulizie, manutentori esterni, costruttori di impianti), Agrumigel verifica le loro competenze in sicurezza. Prima di iniziare i lavori, vengono effettuati briefing formativi sui rischi specifici presenti </w:t>
      </w:r>
      <w:r>
        <w:t xml:space="preserve">in sito (a cura di RSPP o preposto di riferimento) e vengono consegnate eventuali regole scritte (es. “Regolamento di sicurezza per imprese appaltatrici”). Si esige evidenza che il personale esterno sia formato secondo normativa base (ad esempio, che gli e</w:t>
      </w:r>
      <w:r>
        <w:t xml:space="preserve">lettricisti abbiano l’attestato PES/PAV, che gli operatori sappiano usare DPI anticaduta se vanno sui tetti, ecc.). In pratica, anche i lavoratori esterni, per il periodo in cui operano da noi, sono coinvolti in un mini-percorso di formazione sul contesto.</w:t>
      </w:r>
      <w:r/>
    </w:p>
    <w:p>
      <w:pPr>
        <w:numPr>
          <w:ilvl w:val="0"/>
          <w:numId w:val="15"/>
        </w:numPr>
        <w:pBdr/>
        <w:spacing/>
        <w:ind/>
        <w:rPr/>
      </w:pPr>
      <w:r>
        <w:rPr>
          <w:b/>
          <w:bCs/>
        </w:rPr>
        <w:t xml:space="preserve">Archiviazione e monitoraggio delle competenze</w:t>
      </w:r>
      <w:r>
        <w:t xml:space="preserve">: L’azienda mantiene un </w:t>
      </w:r>
      <w:r>
        <w:rPr>
          <w:b/>
          <w:bCs/>
        </w:rPr>
        <w:t xml:space="preserve">database delle competenze</w:t>
      </w:r>
      <w:r>
        <w:t xml:space="preserve"> dove per ciascun dipendente è registrato il curriculum formativo in ambito s</w:t>
      </w:r>
      <w:r>
        <w:t xml:space="preserve">icurezza (corsi fatti e scadenze aggiornamenti). Questo consente a HR/RSPP di sapere in ogni momento chi è abilitato a cosa (es: i carrellisti autorizzati) e chi necessita di refresh. Ad esempio, se un dipendente cambia mansione passando al depuratore, si </w:t>
      </w:r>
      <w:r>
        <w:t xml:space="preserve">controlla se ha già </w:t>
      </w:r>
      <w:r>
        <w:rPr>
          <w:highlight w:val="none"/>
        </w:rPr>
        <w:t xml:space="preserve">formazione spazi confinati</w:t>
      </w:r>
      <w:r>
        <w:rPr>
          <w:highlight w:val="none"/>
        </w:rPr>
        <w:t xml:space="preserve">;</w:t>
      </w:r>
      <w:r>
        <w:t xml:space="preserve"> in caso contrario la si programma prima che inizi.</w:t>
      </w:r>
      <w:r/>
    </w:p>
    <w:p>
      <w:pPr>
        <w:pStyle w:val="1012"/>
        <w:pBdr/>
        <w:spacing/>
        <w:ind/>
        <w:rPr/>
      </w:pPr>
      <w:r>
        <w:t xml:space="preserve">L’obiettivo di tutte queste attività è assicurare che </w:t>
      </w:r>
      <w:r>
        <w:rPr>
          <w:b/>
          <w:bCs/>
        </w:rPr>
        <w:t xml:space="preserve">ciascun lavoratore, in ogni momento, sappia cosa fare e come farlo in sicurezza</w:t>
      </w:r>
      <w:r>
        <w:t xml:space="preserve">. La c</w:t>
      </w:r>
      <w:r>
        <w:t xml:space="preserve">ompetenza non è vista staticamente (fatto il corso, finito lì), bensì come un processo in evoluzione: i rischi cambiano e le persone possono dimenticare, quindi la formazione è continua e ripetuta. I risultati sono evidenti: un personale ben formato è più </w:t>
      </w:r>
      <w:r>
        <w:rPr>
          <w:b/>
          <w:bCs/>
        </w:rPr>
        <w:t xml:space="preserve">confidente</w:t>
      </w:r>
      <w:r>
        <w:t xml:space="preserve"> nel gestire situazioni anomale, più propenso a rispettare le procedure e a riconoscere un potenziale pericolo prima che causi danno.</w:t>
      </w:r>
      <w:r/>
    </w:p>
    <w:p>
      <w:pPr>
        <w:pStyle w:val="1011"/>
        <w:pBdr/>
        <w:spacing/>
        <w:ind/>
        <w:rPr/>
      </w:pPr>
      <w:r>
        <w:t xml:space="preserve">Agrumigel crede fermamente che la formazione sia uno degli investimenti più efficaci in sicurezza, perché </w:t>
      </w:r>
      <w:r>
        <w:rPr>
          <w:b/>
          <w:bCs/>
        </w:rPr>
        <w:t xml:space="preserve">“un lavoratore formato è un lavoratore protetto”</w:t>
      </w:r>
      <w:r>
        <w:t xml:space="preserve">. I dati sugli incidenti lo confermano: le zone dove si è insistito di più su addestramento hanno visto calare drasticamente gli infortuni. Que</w:t>
      </w:r>
      <w:r>
        <w:t xml:space="preserve">sto sprona l’azienda a proseguire su questa strada, cercando anche metodi innovativi per rendere la formazione sempre più coinvolgente (es. simulazioni, realtà virtuale per addestrare situazioni di emergenza, etc., da valutare nel futuro come opportunità).</w:t>
      </w:r>
      <w:r/>
    </w:p>
    <w:p>
      <w:pPr>
        <w:pStyle w:val="1000"/>
        <w:pBdr/>
        <w:spacing/>
        <w:ind/>
        <w:rPr/>
      </w:pPr>
      <w:r/>
      <w:bookmarkStart w:id="46" w:name="consapevolezza-e-comunicazione"/>
      <w:r/>
      <w:bookmarkStart w:id="47" w:name="_Toc211351963"/>
      <w:r/>
      <w:bookmarkEnd w:id="44"/>
      <w:r>
        <w:t xml:space="preserve">Consapevolezza</w:t>
      </w:r>
      <w:bookmarkEnd w:id="47"/>
      <w:r>
        <w:t xml:space="preserve"> </w:t>
      </w:r>
      <w:r/>
    </w:p>
    <w:p>
      <w:pPr>
        <w:pStyle w:val="1012"/>
        <w:pBdr/>
        <w:spacing/>
        <w:ind/>
        <w:rPr/>
      </w:pPr>
      <w:r>
        <w:rPr>
          <w:b/>
          <w:bCs/>
        </w:rPr>
        <w:t xml:space="preserve">Consapevolezza (Awareness)</w:t>
      </w:r>
      <w:r>
        <w:t xml:space="preserve">: Oltre alla formazione formale, Agrumigel lavora per accrescere la </w:t>
      </w:r>
      <w:r>
        <w:rPr>
          <w:b/>
          <w:bCs/>
        </w:rPr>
        <w:t xml:space="preserve">consapevolezza</w:t>
      </w:r>
      <w:r>
        <w:t xml:space="preserve"> dei lavoratori riguardo l’importanza della sicurezza e il loro ruolo nel sistema. Far sì che ogni persona in azienda, a qualunque livello, tenga la sicurezza “a mente” durante il lavoro quotidiano è un obiettivo costante.</w:t>
      </w:r>
      <w:r/>
    </w:p>
    <w:p>
      <w:pPr>
        <w:pStyle w:val="1011"/>
        <w:pBdr/>
        <w:spacing/>
        <w:ind/>
        <w:rPr/>
      </w:pPr>
      <w:r>
        <w:t xml:space="preserve">Per promuovere la consapevolezza, l’azienda:</w:t>
      </w:r>
      <w:r/>
    </w:p>
    <w:p>
      <w:pPr>
        <w:numPr>
          <w:ilvl w:val="0"/>
          <w:numId w:val="16"/>
        </w:numPr>
        <w:pBdr/>
        <w:spacing/>
        <w:ind/>
        <w:rPr/>
      </w:pPr>
      <w:r>
        <w:rPr>
          <w:b/>
          <w:bCs/>
        </w:rPr>
        <w:t xml:space="preserve">Diffonde la Politica SSL e gli obiettivi</w:t>
      </w:r>
      <w:r>
        <w:t xml:space="preserve">: La Politica aziendale integrata (che include gli impegni su sicurezza) è affissa in bacheca e ne viene data copia ai nuovi assunti. Periodicamente, in occasione di riun</w:t>
      </w:r>
      <w:r>
        <w:t xml:space="preserve">ioni o formazioni, la Direzione o il RSPP la richiamano, spiegando in parole semplici cosa significa per ognuno (es. “rispettare la normativa” significa indossare sempre i DPI, “miglioramento continuo” significa segnalare le aree da migliorare, etc.). Gli </w:t>
      </w:r>
      <w:r>
        <w:rPr>
          <w:b/>
          <w:bCs/>
        </w:rPr>
        <w:t xml:space="preserve">obiettivi di sicurezza</w:t>
      </w:r>
      <w:r>
        <w:t xml:space="preserve"> e i risultati raggiunti (es. ore senza infortuni) sono resi noti a tutti, così che i lavoratori siano consapevoli di far parte di un percorso e possano sentirsi orgogliosi dei traguardi o impegnarsi se c’è da migliorare.</w:t>
      </w:r>
      <w:r/>
    </w:p>
    <w:p>
      <w:pPr>
        <w:numPr>
          <w:ilvl w:val="0"/>
          <w:numId w:val="16"/>
        </w:numPr>
        <w:pBdr/>
        <w:spacing/>
        <w:ind/>
        <w:rPr/>
      </w:pPr>
      <w:r>
        <w:rPr>
          <w:b/>
          <w:bCs/>
        </w:rPr>
        <w:t xml:space="preserve">Coinvolgimento emotivo e culturale</w:t>
      </w:r>
      <w:r>
        <w:t xml:space="preserve">: Viene coltivata una </w:t>
      </w:r>
      <w:r>
        <w:rPr>
          <w:b/>
          <w:bCs/>
        </w:rPr>
        <w:t xml:space="preserve">“cultura della sicurezza”</w:t>
      </w:r>
      <w:r>
        <w:t xml:space="preserve"> che valorizza i co</w:t>
      </w:r>
      <w:r>
        <w:t xml:space="preserve">mportamenti virtuosi e stigmatizza (in modo costruttivo) quelli insicuri. Ad esempio, se un reparto raggiunge 365 giorni senza infortuni, la Direzione lo riconosce pubblicamente, magari con una lettera di encomio o un piccolo evento. Si condividono anche s</w:t>
      </w:r>
      <w:r>
        <w:t xml:space="preserve">torie positive: “il sig. X ha evitato un potenziale incidente grazie alla sua prontezza, ricordatevi di essere attenti come lui”. Viceversa, se c’è stato un incidente, se ne parla in termini di lezione e non di colpa: “è successo questo, poteva capitare a </w:t>
      </w:r>
      <w:r>
        <w:t xml:space="preserve">chiunque, impariamo tutti a non fare altrettanto”. Questo crea consapevolezza che gli incidenti sono reali e possono capitare, ma anche che possono essere prevenuti e che l’azienda è trasparente su di essi.</w:t>
      </w:r>
      <w:r/>
    </w:p>
    <w:p>
      <w:pPr>
        <w:numPr>
          <w:ilvl w:val="0"/>
          <w:numId w:val="16"/>
        </w:numPr>
        <w:pBdr/>
        <w:spacing/>
        <w:ind/>
        <w:rPr/>
      </w:pPr>
      <w:r>
        <w:rPr>
          <w:b/>
          <w:bCs/>
        </w:rPr>
        <w:t xml:space="preserve">Promemoria costanti</w:t>
      </w:r>
      <w:r>
        <w:t xml:space="preserve">: Nei reparti, la sicurezza è ricordata con </w:t>
      </w:r>
      <w:r>
        <w:rPr>
          <w:b/>
          <w:bCs/>
        </w:rPr>
        <w:t xml:space="preserve">segnaletica chiara</w:t>
      </w:r>
      <w:r>
        <w:t xml:space="preserve"> (cartelli “Indossa i DPI”, “Pericolo” nei punti critici, ecc.), con marcature a terra e avvisi. Ogni mattina i preposti fanno un breve giro di parola con i propri team dove, oltre ai compiti di produzione, ricordano eventuali precau</w:t>
      </w:r>
      <w:r>
        <w:t xml:space="preserve">zioni (es. “oggi fa molto caldo, bevete spesso, se vi sentite deboli fermatevi”). Questi “toolbox meeting” mantengono la sicurezza tra le priorità giornaliere. Anche in officina manutenzione, prima di iniziare un intervento, c’è la consuetudine di fare il </w:t>
      </w:r>
      <w:r>
        <w:rPr>
          <w:b/>
          <w:bCs/>
        </w:rPr>
        <w:t xml:space="preserve">permesso di lavoro</w:t>
      </w:r>
      <w:r>
        <w:t xml:space="preserve"> e parlare dei pericoli: questo rituale accresce la consapevolezza del team su cosa stanno per affrontare.</w:t>
      </w:r>
      <w:r/>
    </w:p>
    <w:p>
      <w:pPr>
        <w:numPr>
          <w:ilvl w:val="0"/>
          <w:numId w:val="16"/>
        </w:numPr>
        <w:pBdr/>
        <w:spacing/>
        <w:ind/>
        <w:rPr/>
      </w:pPr>
      <w:r>
        <w:rPr>
          <w:b/>
          <w:bCs/>
        </w:rPr>
        <w:t xml:space="preserve">Iniziative e campagne</w:t>
      </w:r>
      <w:r>
        <w:t xml:space="preserve">: Periodicamente Agrumigel lancia </w:t>
      </w:r>
      <w:r>
        <w:rPr>
          <w:b/>
          <w:bCs/>
        </w:rPr>
        <w:t xml:space="preserve">campagne di comunicazione interna</w:t>
      </w:r>
      <w:r>
        <w:t xml:space="preserve"> su specifici temi. Esempi: la “settimana della sicurezza stradale” (se magari un anno ci sono stati molti near miss in itinere o nel parcheggio, si fa una </w:t>
      </w:r>
      <w:r>
        <w:t xml:space="preserve">campagna per guidare con prudenza, allacciare le cinture sul muletto ecc.), la “campagna udito” dove con poster e gadget si ricorda l’importanza di indossare le cuffie antirumore, e magari si offrono tappi personalizzati; oppure la “sfida reparto più sicur</w:t>
      </w:r>
      <w:r>
        <w:t xml:space="preserve">o” dove si confrontano i reparti su determinati indicatori (es. ordine e pulizia, segnalazioni, rispetto DPI) per creare un po’ di competizione positiva. Queste campagne servono a tenere alta l’attenzione e a rinfrescare concetti già noti in modo creativo.</w:t>
      </w:r>
      <w:r/>
    </w:p>
    <w:p>
      <w:pPr>
        <w:numPr>
          <w:ilvl w:val="0"/>
          <w:numId w:val="16"/>
        </w:numPr>
        <w:pBdr/>
        <w:spacing/>
        <w:ind/>
        <w:rPr/>
      </w:pPr>
      <w:r>
        <w:rPr>
          <w:b/>
          <w:bCs/>
        </w:rPr>
        <w:t xml:space="preserve">Consapevolezza dei rischi e delle misure</w:t>
      </w:r>
      <w:r>
        <w:t xml:space="preserve">: Ogni lavoratore viene informato dei rischi specifici del proprio lavoro</w:t>
      </w:r>
      <w:r>
        <w:t xml:space="preserve"> e delle misure di prevenzione adottate. Non solo in fase di formazione iniziale, ma anche quando avviene un cambiamento. Se ad esempio un operaio viene spostato temporaneamente dal reparto succhi al reparto scorze, prima di iniziare gli vengono ricordati </w:t>
      </w:r>
      <w:r>
        <w:t xml:space="preserve">i rischi particolari di quell’area (polveri, calore) e i DPI aggiuntivi da usare (mascherina antipolvere, idratazione frequente, ecc.). Tutti sanno a chi rivolgersi per dubbi sulla sicurezza (il proprio preposto, l’RSPP, l’RLS) e sono incoraggiati a farlo.</w:t>
      </w:r>
      <w:r/>
    </w:p>
    <w:p>
      <w:pPr>
        <w:numPr>
          <w:ilvl w:val="0"/>
          <w:numId w:val="16"/>
        </w:numPr>
        <w:pBdr/>
        <w:spacing/>
        <w:ind/>
        <w:rPr/>
      </w:pPr>
      <w:r>
        <w:rPr>
          <w:b/>
          <w:bCs/>
        </w:rPr>
        <w:t xml:space="preserve">Consapevolezza sulle conseguenze</w:t>
      </w:r>
      <w:r>
        <w:t xml:space="preserve">: L’azienda cerca di far percepire le </w:t>
      </w:r>
      <w:r>
        <w:rPr>
          <w:b/>
          <w:bCs/>
        </w:rPr>
        <w:t xml:space="preserve">conseguenze degli atti insicuri</w:t>
      </w:r>
      <w:r>
        <w:t xml:space="preserve"> non in termini di punizione, ma di danno reale a sé e agli altri. Ad esempio, durante la </w:t>
      </w:r>
      <w:r>
        <w:t xml:space="preserve">formazione si mostrano testimonianze o video di infortuni realmente accaduti nel settore (con la dovuta sensibilità) per far capire cosa può succedere se non si seguono le procedure. Si discute anche di “costi degli infortuni” in termini umani (dolore, per</w:t>
      </w:r>
      <w:r>
        <w:t xml:space="preserve">dita di capacità lavorativa) e per la comunità (colleghi sotto stress, famiglia dell’infortunato in difficoltà, azienda in crisi di produzione). Questo aiuta molti a realizzare che non è solo “un obbligo aziendale”, ma è nel loro stesso interesse primario.</w:t>
      </w:r>
      <w:r/>
    </w:p>
    <w:p>
      <w:pPr>
        <w:numPr>
          <w:ilvl w:val="0"/>
          <w:numId w:val="16"/>
        </w:numPr>
        <w:pBdr/>
        <w:spacing/>
        <w:ind/>
        <w:rPr/>
      </w:pPr>
      <w:r>
        <w:rPr>
          <w:b/>
          <w:bCs/>
        </w:rPr>
        <w:t xml:space="preserve">Consapevolezza e disciplina</w:t>
      </w:r>
      <w:r>
        <w:t xml:space="preserve">: Nonostante l’approccio partecipativo, esiste un sistema di </w:t>
      </w:r>
      <w:r>
        <w:rPr>
          <w:b/>
          <w:bCs/>
        </w:rPr>
        <w:t xml:space="preserve">richiamo/disciplina</w:t>
      </w:r>
      <w:r>
        <w:t xml:space="preserve"> in caso di violazioni volontarie e reiterate delle norme di sicurezza. Il regolamento aziendale prevede sanzioni (ammonimenti, sospensioni) per chi, ad </w:t>
      </w:r>
      <w:r>
        <w:t xml:space="preserve">esempio, viene sorpreso senza DPI obbligatori o manomette un dispositivo di sicurezza. Tali provvedimenti vengono applicati con giudizio, ma quando applica</w:t>
      </w:r>
      <w:r>
        <w:t xml:space="preserve">ti sono resi noti come monito. Ciò crea consapevolezza che la sicurezza è una cosa seria e che l’azienda è disposta anche a prendere misure impopolari per tutelare tutti. Fortunatamente casi del genere sono rari, proprio grazie alla consapevolezza diffusa.</w:t>
      </w:r>
      <w:r/>
    </w:p>
    <w:p>
      <w:pPr>
        <w:pStyle w:val="1000"/>
        <w:pBdr/>
        <w:spacing/>
        <w:ind/>
        <w:rPr/>
      </w:pPr>
      <w:r/>
      <w:bookmarkStart w:id="48" w:name="_Toc211351964"/>
      <w:r>
        <w:t xml:space="preserve">Comunicazione interna ed esterna</w:t>
      </w:r>
      <w:bookmarkEnd w:id="48"/>
      <w:r/>
      <w:r/>
    </w:p>
    <w:p>
      <w:pPr>
        <w:numPr>
          <w:ilvl w:val="0"/>
          <w:numId w:val="17"/>
        </w:numPr>
        <w:pBdr/>
        <w:spacing/>
        <w:ind/>
        <w:rPr/>
      </w:pPr>
      <w:r>
        <w:rPr>
          <w:b/>
          <w:bCs/>
        </w:rPr>
        <w:t xml:space="preserve">Comunicazione interna</w:t>
      </w:r>
      <w:r>
        <w:t xml:space="preserve">: avviene tramite vari canali. Oltre alle riunioni e bacheche già menzionate, l’azienda utilizza talvolta anche strumenti digitali come email o newsletter interne (per il personale amministrativo dotato di PC) dove il RSPP può inv</w:t>
      </w:r>
      <w:r>
        <w:t xml:space="preserve">iare brevi “Safety Tips” mensili. </w:t>
      </w:r>
      <w:r>
        <w:rPr>
          <w:highlight w:val="none"/>
        </w:rPr>
        <w:t xml:space="preserve">Una volta ogni sei mesi il RSPP redige un breve report HSE (ad esempio “nel mese di giugno nessun infortunio, 2 segnalazioni pervenute, ricordiamo di bere acqua nel caldo estivo…”) che viene inviato via email e stampato per le b</w:t>
      </w:r>
      <w:r>
        <w:rPr>
          <w:highlight w:val="none"/>
        </w:rPr>
        <w:t xml:space="preserve">acheche di reparto</w:t>
      </w:r>
      <w:r>
        <w:rPr>
          <w:highlight w:val="none"/>
        </w:rPr>
        <w:t xml:space="preserve">. </w:t>
      </w:r>
      <w:r>
        <w:t xml:space="preserve">Questo mantiene la comunicazione costante. In caso di aggiornamento di una procedura o introduzione di nuova regola, viene fatta circolare l’informazione e, se necessario, raccolte le firme per presa visione. La direzione incoraggia la </w:t>
      </w:r>
      <w:r>
        <w:rPr>
          <w:b/>
          <w:bCs/>
        </w:rPr>
        <w:t xml:space="preserve">comunicazione “dal basso verso l’alto”</w:t>
      </w:r>
      <w:r>
        <w:t xml:space="preserve">: ogni lavoratore può chiedere chiarimenti o fare proposte in materia di sicurezza, sapendo di trovare ascolto. Ad esempio, in un recente caso un addetto ha scritto una mai</w:t>
      </w:r>
      <w:r>
        <w:t xml:space="preserve">l al RSPP suggerendo di cambiare il colore di un gradino perché poco visibile: il RSPP ha ringraziato e portato la questione in direzione, e poi il gradino è stato dipinto a strisce gialle. Questo genere di riscontro positivo motiva gli altri a comunicare.</w:t>
      </w:r>
      <w:r/>
    </w:p>
    <w:p>
      <w:pPr>
        <w:numPr>
          <w:ilvl w:val="0"/>
          <w:numId w:val="17"/>
        </w:numPr>
        <w:pBdr/>
        <w:spacing/>
        <w:ind/>
        <w:rPr/>
      </w:pPr>
      <w:r>
        <w:rPr>
          <w:b/>
          <w:bCs/>
        </w:rPr>
        <w:t xml:space="preserve">Comunicazione esterna</w:t>
      </w:r>
      <w:r>
        <w:t xml:space="preserve">: per quanto riguarda la salute e sicurezza, l’azienda comunica con soggetti esterni principalmente in due ambiti: verso le </w:t>
      </w:r>
      <w:r>
        <w:rPr>
          <w:b/>
          <w:bCs/>
        </w:rPr>
        <w:t xml:space="preserve">autorità/enti</w:t>
      </w:r>
      <w:r>
        <w:t xml:space="preserve"> e verso i </w:t>
      </w:r>
      <w:r>
        <w:rPr>
          <w:b/>
          <w:bCs/>
        </w:rPr>
        <w:t xml:space="preserve">clienti/parti interessate esterne</w:t>
      </w:r>
      <w:r>
        <w:t xml:space="preserve">. Con le autorità (ASL, INL, VV.F., ecc.), la comunicazione deve essere</w:t>
      </w:r>
      <w:r>
        <w:t xml:space="preserve"> tempestiva e corretta: Agrumigel rispetta gli obblighi di notifica (denuncia di infortunio a INAIL entro 48h, segnalazione malattie professionali, ecc.), e mantiene un atteggiamento collaborativo – trasmette volontariamente i piani di emergenza ai Vigili </w:t>
      </w:r>
      <w:r>
        <w:t xml:space="preserve">del Fuoco, partecipa a incontri sulla sicurezza nel territorio se promossi da Enti. In caso di incidente rilevante o emergenza che coinvolga l’esterno, nel Piano di Emergenza è prevista la comunicazione immediata alle autorità competenti e, tramite esse, e</w:t>
      </w:r>
      <w:r>
        <w:t xml:space="preserve">ventualmente alla popolazione (ad esempio in un’emergenza ammoniaca sarà l’azienda a chiamare i VV.F. e questi, se necessario, attiveranno le sirene per la popolazione). Verso i clienti e stakeholder, l’azienda comunica i propri impegni di sicurezza nella </w:t>
      </w:r>
      <w:r>
        <w:rPr>
          <w:b/>
          <w:bCs/>
        </w:rPr>
        <w:t xml:space="preserve">documentazione istituzionale</w:t>
      </w:r>
      <w:r>
        <w:t xml:space="preserve"> (ad esempio nel company profile o nel bilancio di sostenibilità se redatto, includendo indicatori di performance come tasso infortuni – molti clienti lo richiedono). Durante le visite di clienti allo stabilimento, si evidenzi</w:t>
      </w:r>
      <w:r>
        <w:t xml:space="preserve">ano le buone prassi di sicurezza adottate (questo dà anche un vantaggio competitivo: un cliente è più tranquillo ad affidarsi a un fornitore che dimostra di gestire bene la sicurezza). In particolare, in occasione di audit di parte terza (es.</w:t>
      </w:r>
      <w:r>
        <w:rPr>
          <w:highlight w:val="none"/>
        </w:rPr>
        <w:t xml:space="preserve"> </w:t>
      </w:r>
      <w:r>
        <w:rPr>
          <w:highlight w:val="none"/>
        </w:rPr>
        <w:t xml:space="preserve">audit </w:t>
      </w:r>
      <w:r>
        <w:rPr>
          <w:highlight w:val="none"/>
        </w:rPr>
        <w:t xml:space="preserve">SMETA-4P</w:t>
      </w:r>
      <w:r>
        <w:t xml:space="preserve"> o audit BRC con modulo etico), l’azienda fornisce evidenza delle comunicazioni con i lavoratori, delle riunioni RLS, etc., mostrando trasparenza.</w:t>
      </w:r>
      <w:r/>
    </w:p>
    <w:p>
      <w:pPr>
        <w:numPr>
          <w:ilvl w:val="0"/>
          <w:numId w:val="17"/>
        </w:numPr>
        <w:pBdr/>
        <w:spacing/>
        <w:ind/>
        <w:rPr/>
      </w:pPr>
      <w:r>
        <w:rPr>
          <w:b/>
          <w:bCs/>
        </w:rPr>
        <w:t xml:space="preserve">Gestione delle comunicazioni di emergenza</w:t>
      </w:r>
      <w:r>
        <w:t xml:space="preserve">: come accennato, la</w:t>
      </w:r>
      <w:r>
        <w:t xml:space="preserve"> comunicazione esterna in emergenza è pianificata: esistono liste di numeri (VV.F., 118, Prefettura, ARPA) da chiamare in base al tipo di incidente. Il portavoce aziendale verso l’esterno in casi di crisi è solitamente l’Amministratore Unico o un suo deleg</w:t>
      </w:r>
      <w:r>
        <w:t xml:space="preserve">ato (Responsabile Comunicazione se c’è), che gestisce eventuali rapporti con media o con la comunità – ad esempio fornendo comunicati stampa se succede un incidente serio, in modo accurato e senza celare informazioni, per mantenere la fiducia del pubblico.</w:t>
      </w:r>
      <w:r/>
    </w:p>
    <w:p>
      <w:pPr>
        <w:pStyle w:val="1012"/>
        <w:pBdr/>
        <w:spacing/>
        <w:ind/>
        <w:rPr/>
      </w:pPr>
      <w:r>
        <w:t xml:space="preserve">In generale, Agrumigel adotta un principio di </w:t>
      </w:r>
      <w:r>
        <w:rPr>
          <w:b/>
          <w:bCs/>
        </w:rPr>
        <w:t xml:space="preserve">comunicazione aperta</w:t>
      </w:r>
      <w:r>
        <w:t xml:space="preserve">: all’interno, perché ogni lavoratore informato </w:t>
      </w:r>
      <w:r>
        <w:t xml:space="preserve">è un lavoratore più sicuro e coinvolto; all’esterno, perché la reputazione di azienda responsabile passa anche dalla trasparenza su come si gestisce la sicurezza e dalla capacità di dialogare con chiunque abbia a cuore la tutela di lavoratori e territorio.</w:t>
      </w:r>
      <w:r/>
    </w:p>
    <w:p>
      <w:pPr>
        <w:pStyle w:val="1000"/>
        <w:pBdr/>
        <w:spacing/>
        <w:ind/>
        <w:rPr/>
      </w:pPr>
      <w:r/>
      <w:bookmarkStart w:id="49" w:name="X77dba56aedb5ae738220cc77b0fe7f57475a623"/>
      <w:r/>
      <w:bookmarkStart w:id="50" w:name="_Toc211351965"/>
      <w:r/>
      <w:bookmarkEnd w:id="46"/>
      <w:r>
        <w:t xml:space="preserve">Informazioni documentate</w:t>
      </w:r>
      <w:bookmarkEnd w:id="50"/>
      <w:r>
        <w:t xml:space="preserve"> </w:t>
      </w:r>
      <w:r/>
    </w:p>
    <w:p>
      <w:pPr>
        <w:pStyle w:val="1012"/>
        <w:pBdr/>
        <w:spacing/>
        <w:ind/>
        <w:rPr/>
      </w:pPr>
      <w:r>
        <w:t xml:space="preserve">Un sistema di gestione efficiente richiede un’adeguata gestione delle </w:t>
      </w:r>
      <w:r>
        <w:rPr>
          <w:b/>
          <w:bCs/>
        </w:rPr>
        <w:t xml:space="preserve">informazioni documentate</w:t>
      </w:r>
      <w:r>
        <w:t xml:space="preserve">, ovvero di tutti i documenti e i registri che supportano l’implementazione, l’operatività e la verifica del SGSSL. Agrumigel ha stabilito una </w:t>
      </w:r>
      <w:r>
        <w:rPr>
          <w:b/>
          <w:bCs/>
        </w:rPr>
        <w:t xml:space="preserve">procedura di controllo documentale</w:t>
      </w:r>
      <w:r>
        <w:t xml:space="preserve"> integrata (valida per qualità, ambiente, sicurezza) che assicura che i documenti siano approvati, aggiornati, distribuiti e archiviati in modo controllato.</w:t>
      </w:r>
      <w:r/>
    </w:p>
    <w:p>
      <w:pPr>
        <w:pStyle w:val="1011"/>
        <w:pBdr/>
        <w:spacing/>
        <w:ind/>
        <w:rPr/>
      </w:pPr>
      <w:r>
        <w:t xml:space="preserve">I principali aspetti e modalità adottate sono:</w:t>
      </w:r>
      <w:r/>
    </w:p>
    <w:p>
      <w:pPr>
        <w:numPr>
          <w:ilvl w:val="0"/>
          <w:numId w:val="18"/>
        </w:numPr>
        <w:pBdr/>
        <w:spacing/>
        <w:ind/>
        <w:rPr/>
      </w:pPr>
      <w:r>
        <w:rPr>
          <w:b/>
          <w:bCs/>
        </w:rPr>
        <w:t xml:space="preserve">Struttura della documentazione</w:t>
      </w:r>
      <w:r>
        <w:t xml:space="preserve">: Come già accennato, la documentazione del SGSSL si articola su più livelli: Politica (documento di alto livello), Manuale di Gestione (questo documento che descrive il sistema), Procedure</w:t>
      </w:r>
      <w:r>
        <w:t xml:space="preserve"> e Istruzioni Operative (che dettagliano i “come fare”), Modulistica (form da compilare) e Registrazioni (evidenze di ciò che è stato fatto, es. verbali, check-list compilate, risultati di monitoraggi, etc.). Ogni documento principale è identificato da un </w:t>
      </w:r>
      <w:r>
        <w:rPr>
          <w:b/>
          <w:bCs/>
        </w:rPr>
        <w:t xml:space="preserve">codice</w:t>
      </w:r>
      <w:r>
        <w:t xml:space="preserve"> univoco e da un numero di </w:t>
      </w:r>
      <w:r>
        <w:rPr>
          <w:b/>
          <w:bCs/>
        </w:rPr>
        <w:t xml:space="preserve">revisione</w:t>
      </w:r>
      <w:r>
        <w:t xml:space="preserve">. Ad esempio, la Politica integrata potrebbe avere codice “P 01.01 Rev.14”, il presente Manuale un codice tipo “MSSL Rev.01”, una procedura su gestione DPI “PR 04.05 Rev.02”, ecc. Questa codifica facilita il riferimento e l’archiviazione.</w:t>
      </w:r>
      <w:r/>
    </w:p>
    <w:p>
      <w:pPr>
        <w:numPr>
          <w:ilvl w:val="0"/>
          <w:numId w:val="18"/>
        </w:numPr>
        <w:pBdr/>
        <w:spacing/>
        <w:ind/>
        <w:rPr/>
      </w:pPr>
      <w:r>
        <w:rPr>
          <w:b/>
          <w:bCs/>
        </w:rPr>
        <w:t xml:space="preserve">Approvazione e revisione</w:t>
      </w:r>
      <w:r>
        <w:t xml:space="preserve">: Prima dell’emissione, ogni documento viene </w:t>
      </w:r>
      <w:r>
        <w:rPr>
          <w:b/>
          <w:bCs/>
        </w:rPr>
        <w:t xml:space="preserve">approvato</w:t>
      </w:r>
      <w:r>
        <w:t xml:space="preserve"> dalle funzioni competenti. Ad esempio, le procedure di sicurezza sono preparate dal RSPP (emitten</w:t>
      </w:r>
      <w:r>
        <w:t xml:space="preserve">te) e approvate dal Datore di Lavoro o Direttore di Stabilimento. Le date di emissione e revisione sono riportate sul documento, così come eventualmente il motivo della revisione (in breve). Quando si rende necessaria una modifica (per aggiornamento normat</w:t>
      </w:r>
      <w:r>
        <w:t xml:space="preserve">ivo, per miglioramento, per cambio di processo), il documento viene revisionato: la nuova versione sostituisce la precedente e viene comunicata ai destinatari. Le revisioni sono registrate (tenendo magari uno storico delle modifiche in calce al documento).</w:t>
      </w:r>
      <w:r/>
    </w:p>
    <w:p>
      <w:pPr>
        <w:numPr>
          <w:ilvl w:val="0"/>
          <w:numId w:val="18"/>
        </w:numPr>
        <w:pBdr/>
        <w:spacing/>
        <w:ind/>
        <w:rPr/>
      </w:pPr>
      <w:r>
        <w:rPr>
          <w:b/>
          <w:bCs/>
        </w:rPr>
        <w:t xml:space="preserve">Distribuzione e accessibilità</w:t>
      </w:r>
      <w:r>
        <w:t xml:space="preserve">: Agrumigel garantisce che i documenti aggiornati siano disponibili a chi ne ha bisogno </w:t>
      </w:r>
      <w:r>
        <w:rPr>
          <w:b/>
          <w:bCs/>
        </w:rPr>
        <w:t xml:space="preserve">nel luogo d’uso</w:t>
      </w:r>
      <w:r>
        <w:t xml:space="preserve">. Ad esempio, </w:t>
      </w:r>
      <w:r>
        <w:rPr>
          <w:highlight w:val="none"/>
        </w:rPr>
        <w:t xml:space="preserve">u</w:t>
      </w:r>
      <w:r>
        <w:rPr>
          <w:highlight w:val="none"/>
        </w:rPr>
        <w:t xml:space="preserve">na istruzio</w:t>
      </w:r>
      <w:r>
        <w:rPr>
          <w:highlight w:val="none"/>
        </w:rPr>
        <w:t xml:space="preserve">ne operativa per la pulizia del pastorizzatore è affissa plastificata vicino al macchinario, o comunque tenuta in un raccoglitore in reparto consultabile dal personale</w:t>
      </w:r>
      <w:r>
        <w:rPr>
          <w:highlight w:val="none"/>
        </w:rPr>
        <w:t xml:space="preserve">.</w:t>
      </w:r>
      <w:r>
        <w:t xml:space="preserve"> Il DVR, le procedure generali e il manuale sono conservati sia in formato elettronico (</w:t>
      </w:r>
      <w:r>
        <w:t xml:space="preserve">intranet aziendale / cartella condivisa a cui hanno accesso RSPP, dirigenti e RLS) sia in copia cartacea controllata presso l’Ufficio Qualità/Sicurezza. Le copie cartacee sono numerate e aggiornate contestualmente alle revisioni (per evitare uso di version</w:t>
      </w:r>
      <w:r>
        <w:t xml:space="preserve">i obsolete). La Politica SSL è esposta in bacheca come copia controllata (perché firmata e datata). Per i registri obbligatori (es. registro antincendio) che devono stare in determinati luoghi, vi è cura di tenerli aggiornati e disponibili ai verificatori.</w:t>
      </w:r>
      <w:r/>
    </w:p>
    <w:p>
      <w:pPr>
        <w:numPr>
          <w:ilvl w:val="0"/>
          <w:numId w:val="18"/>
        </w:numPr>
        <w:pBdr/>
        <w:spacing/>
        <w:ind/>
        <w:rPr/>
      </w:pPr>
      <w:r>
        <w:rPr>
          <w:b/>
          <w:bCs/>
        </w:rPr>
        <w:t xml:space="preserve">Documenti esterni</w:t>
      </w:r>
      <w:r>
        <w:t xml:space="preserve">: Fra le informazioni documentate rientrano anche leggi, norme tecniche, manuali dei costruttori, SDS di sostanze chimiche, certificati di collaudo etc. L’azienda mantiene un archivio di tali documenti di riferimento: ad esempio, </w:t>
      </w:r>
      <w:r>
        <w:t xml:space="preserve">un raccoglitore (o cartella digitale) con tutte le SDS aggiornate delle sostanze chimiche utilizzate – accessibile in laboratorio e al RSPP; i manuali d’uso e manutenzione delle macchine sono custoditi in officina o in ufficio tecnico e a disposizione dei </w:t>
      </w:r>
      <w:r>
        <w:t xml:space="preserve">manutentori; le normative di sicurezza sono disponibili al RSPP in formato digitale tramite abbonamenti a banche dati aggiornate. In caso di aggiornamento normativo, il documento di legge superato viene archiviato come storico e sostituito da quello nuovo.</w:t>
      </w:r>
      <w:r/>
    </w:p>
    <w:p>
      <w:pPr>
        <w:numPr>
          <w:ilvl w:val="0"/>
          <w:numId w:val="18"/>
        </w:numPr>
        <w:pBdr/>
        <w:spacing/>
        <w:ind/>
        <w:rPr/>
      </w:pPr>
      <w:r>
        <w:rPr>
          <w:b/>
          <w:bCs/>
        </w:rPr>
        <w:t xml:space="preserve">Registrazioni e dati</w:t>
      </w:r>
      <w:r>
        <w:t xml:space="preserve">: Molte attività generano </w:t>
      </w:r>
      <w:r>
        <w:rPr>
          <w:b/>
          <w:bCs/>
        </w:rPr>
        <w:t xml:space="preserve">registrazioni</w:t>
      </w:r>
      <w:r>
        <w:t xml:space="preserve"> che provano che le cose sono state fatte conformemente alle procedure. Alcuni esempi: verbali di formazione con elenco partecipanti e firme (attestano che Tizio ha ri</w:t>
      </w:r>
      <w:r>
        <w:t xml:space="preserve">cevuto formazione il tale giorno); verbale della riunione periodica sicurezza (attesta che è avvenuta e che si è discusso dei punti previsti); </w:t>
      </w:r>
      <w:r>
        <w:rPr>
          <w:highlight w:val="none"/>
        </w:rPr>
        <w:t xml:space="preserve">check-list di ispezione mensile antincendio</w:t>
      </w:r>
      <w:r>
        <w:t xml:space="preserve"> (estintori controllati, uscite libere etc, firmata dall’addetto); rap</w:t>
      </w:r>
      <w:r>
        <w:t xml:space="preserve">portini di manutenzione (es. controllo annuale messa a terra eseguito da tecnico abilitato – con esito e data); registri di consegna DPI firmati dal lavoratore; report di incidenti e relative indagini; risultati di misurazioni ambientali (es. fonometrici) </w:t>
      </w:r>
      <w:r>
        <w:t xml:space="preserve">con data e responsabile; permessi di lavoro compilati per attività di manutenzione straordinaria; notifiche di infortunio inviate a INAIL (copia). Tutte queste registrazioni sono conservate per un certo periodo (di solito almeno 10 anni per materiale infor</w:t>
      </w:r>
      <w:r>
        <w:t xml:space="preserve">tunistico, come consigliato, e comunque nel rispetto delle prescrizioni legali – es. registro esami clinici da MC archiviato per 10 anni etc.). La procedura documentale definisce chi archivia cosa e dove: ad esempio, le schede di manutenzione macchine veng</w:t>
      </w:r>
      <w:r>
        <w:t xml:space="preserve">ono tenute in officina in archivio tecnico; i verbali di formazione in Ufficio HR; i documenti inviati ad enti in un archivio amministrativo; il DVR firmato in originale e conservato in Direzione e in RSPP. Sempre per le registrazioni vale il principio di </w:t>
      </w:r>
      <w:r>
        <w:rPr>
          <w:b/>
          <w:bCs/>
        </w:rPr>
        <w:t xml:space="preserve">protezione e riservatezza</w:t>
      </w:r>
      <w:r>
        <w:t xml:space="preserve">: alcuni contengono dati sensibili (es. giudizi di idoneità medica, con dati sanitari) e sono accessibili solo a personale autorizzato (MC e, per la sola idoneità, HR/RSPP). </w:t>
      </w:r>
      <w:r>
        <w:t xml:space="preserve"> Insomma, ciascuna registrazione ha un suo custode e un suo tempo di conservazione.</w:t>
      </w:r>
      <w:r/>
    </w:p>
    <w:p>
      <w:pPr>
        <w:numPr>
          <w:ilvl w:val="0"/>
          <w:numId w:val="18"/>
        </w:numPr>
        <w:pBdr/>
        <w:spacing/>
        <w:ind/>
        <w:rPr/>
      </w:pPr>
      <w:r>
        <w:rPr>
          <w:b/>
          <w:bCs/>
        </w:rPr>
        <w:t xml:space="preserve">Control of changes</w:t>
      </w:r>
      <w:r>
        <w:t xml:space="preserve">: Ogni documento è “vivo”: se occorre modificarlo, la procedura prevede che solo persone autorizzate possano farlo. Ad ese</w:t>
      </w:r>
      <w:r>
        <w:t xml:space="preserve">mpio, se serve modificare un’istruzione operativa, l’RSPP redige la bozza aggiornata e la sottopone al Responsabile di Reparto e al Dirigente per approvazione. Solo dopo l’approvazione, la nuova versione sostituisce la vecchia. Le vecchie versioni vengono </w:t>
      </w:r>
      <w:r>
        <w:rPr>
          <w:b/>
          <w:bCs/>
        </w:rPr>
        <w:t xml:space="preserve">annullate</w:t>
      </w:r>
      <w:r>
        <w:t xml:space="preserve"> (ad esempio timbro “Obsoleto” e archiviazione separata) per evitare uso accidentale. In ambiente elettronico, c’è magari una cartella “Documenti Obsoleti” protetta per riferimento storico. Questo evita confusione su quale sia la versione vigente.</w:t>
      </w:r>
      <w:r/>
    </w:p>
    <w:p>
      <w:pPr>
        <w:numPr>
          <w:ilvl w:val="0"/>
          <w:numId w:val="18"/>
        </w:numPr>
        <w:pBdr/>
        <w:spacing/>
        <w:ind/>
        <w:rPr/>
      </w:pPr>
      <w:r>
        <w:rPr>
          <w:b/>
          <w:bCs/>
        </w:rPr>
        <w:t xml:space="preserve">Audit della documentazione</w:t>
      </w:r>
      <w:r>
        <w:t xml:space="preserve">: Durante gli audit interni, una parte dell’attività è ver</w:t>
      </w:r>
      <w:r>
        <w:t xml:space="preserve">ificare che la documentazione sia correttamente gestita: controllare che sui reparti le istruzioni affisse siano l’ultima revisione, che tutti i registri siano compilati e firmati, che non vi siano “fogli volanti” con procedure non ufficiali. Se emergono d</w:t>
      </w:r>
      <w:r>
        <w:t xml:space="preserve">iscrepanze, viene segnalata una non conformità documentale e si corregge (ad es. aggiornare la copia in reparto, distruggere quelle vecchie). Anche il personale viene interrogato per capire se conosce dove reperire le informazioni: un operatore dovrebbe sa</w:t>
      </w:r>
      <w:r>
        <w:t xml:space="preserve">pere dove sta il DVR e poterlo consultare (il D.Lgs. 81/08 prevede accesso per RLS e lavoratori), o almeno conoscere i punti principali che lo riguardano; se nessuno ha mai visto la procedura X, c’è un problema di comunicazione/documentazione da risolvere.</w:t>
      </w:r>
      <w:r/>
    </w:p>
    <w:p>
      <w:pPr>
        <w:numPr>
          <w:ilvl w:val="0"/>
          <w:numId w:val="18"/>
        </w:numPr>
        <w:pBdr/>
        <w:spacing/>
        <w:ind/>
        <w:rPr/>
      </w:pPr>
      <w:r>
        <w:rPr>
          <w:b/>
          <w:bCs/>
        </w:rPr>
        <w:t xml:space="preserve">Digitalizzazione</w:t>
      </w:r>
      <w:r>
        <w:t xml:space="preserve">: L’azienda sta progressivamente digitalizzando la gestione documentale. Già molte procedure e registrazioni sono in formato elettronico (file PDF per le procedure, fogli Excel per check-list compila</w:t>
      </w:r>
      <w:r>
        <w:t xml:space="preserve">bili su tablet, ecc.). Si utilizza una piattaforma comune di archiviazione (una intranet locale protetta) dove i documenti aggiornati sono caricati, con controllo di accesso (sola lettura per la maggior parte, modifica solo per chi autorizzato). Ciò facili</w:t>
      </w:r>
      <w:r>
        <w:t xml:space="preserve">ta anche il versionamento e la condivisione multi-sito (se in futuro agrumigel avrà più stabilimenti, il sistema documentale potrà essere centralizzato). Tuttavia, si mantiene in parallelo la disponibilità cartacea dove serve, per comodità degli operatori.</w:t>
      </w:r>
      <w:r/>
    </w:p>
    <w:p>
      <w:pPr>
        <w:numPr>
          <w:ilvl w:val="0"/>
          <w:numId w:val="18"/>
        </w:numPr>
        <w:pBdr/>
        <w:spacing/>
        <w:ind/>
        <w:rPr/>
      </w:pPr>
      <w:r>
        <w:rPr>
          <w:b/>
          <w:bCs/>
        </w:rPr>
        <w:t xml:space="preserve">Documenti di origine esterna (clienti, ispezioni)</w:t>
      </w:r>
      <w:r>
        <w:t xml:space="preserve">: La gestione documentale include anche registrare e conservare eventuali comunicazioni come verbali di ispezione degli enti (es. verbale INL 2025, archiviato e le azioni conseguenti annesse</w:t>
      </w:r>
      <w:r>
        <w:t xml:space="preserve"> al DVR come evidenza) e richieste di clienti relative alla sicurezza (ad es. un questionario di autovalutazione HSE compilato per un cliente – viene archiviato e, se del caso, le eventuali lacune evidenziate vengono trattate come azioni di miglioramento).</w:t>
      </w:r>
      <w:r/>
    </w:p>
    <w:p>
      <w:pPr>
        <w:pStyle w:val="1012"/>
        <w:pBdr/>
        <w:spacing/>
        <w:ind/>
        <w:rPr/>
      </w:pPr>
      <w:r>
        <w:t xml:space="preserve">In sostanza, il motto interno è: </w:t>
      </w:r>
      <w:r>
        <w:rPr>
          <w:b/>
          <w:bCs/>
        </w:rPr>
        <w:t xml:space="preserve">“Non è fatto se non è documentato”</w:t>
      </w:r>
      <w:r>
        <w:t xml:space="preserve">. Ovviamente ciò non significa burocratizzazione fine a sé stessa, ma assicura che ci sia </w:t>
      </w:r>
      <w:r>
        <w:rPr>
          <w:b/>
          <w:bCs/>
        </w:rPr>
        <w:t xml:space="preserve">tracciabilità</w:t>
      </w:r>
      <w:r>
        <w:t xml:space="preserve"> di tutto il sistema. Documentare serve a dimostrare (agli auditor, ma prima di tutto a noi stessi) che facciamo ciò che diciamo. Inoltre, analizzando le registrazioni, emergono trend e spunti: es. </w:t>
      </w:r>
      <w:r>
        <w:t xml:space="preserve">consultando i report di manutenzione notiamo quante volte c’è un guasto ricorrente – potremmo decidere di sostituire quel macchinario; o rivedendo i verbali di toolbox meeting vediamo quali temi ricorrono, segno che forse un certo rischio sta aumentando.</w:t>
      </w:r>
      <w:r/>
    </w:p>
    <w:p>
      <w:pPr>
        <w:pStyle w:val="1011"/>
        <w:pBdr/>
        <w:spacing/>
        <w:ind/>
        <w:rPr/>
      </w:pPr>
      <w:r>
        <w:t xml:space="preserve">Agrumigel conserva le informazioni documentate per periodi ragionevoli (spesso oltre i minimi di legge) in considerazione anche di possibili usi futuri (es. storicizzare </w:t>
      </w:r>
      <w:r>
        <w:t xml:space="preserve">gli indici infortunistici per analisi di trend decennali, oppure mantenere uno storico di valutazione rischi per confronto se cambiano condizioni). Ciò viene fatto rispettando privacy e spazi disponibili (passando al digitale il problema spazio si riduce).</w:t>
      </w:r>
      <w:r/>
    </w:p>
    <w:p>
      <w:pPr>
        <w:pStyle w:val="1011"/>
        <w:pBdr/>
        <w:spacing/>
        <w:ind/>
        <w:rPr/>
      </w:pPr>
      <w:r>
        <w:t xml:space="preserve">La chiarezza e l’ordine della documentazione trasmettono anche un messaggio ai lavoratori e agli auditor: </w:t>
      </w:r>
      <w:r>
        <w:rPr>
          <w:b/>
          <w:bCs/>
        </w:rPr>
        <w:t xml:space="preserve">il sistema è sotto controllo</w:t>
      </w:r>
      <w:r>
        <w:t xml:space="preserve">. Entrando nell’ufficio Qualità/SSL di Agrumigel, un audit troverà facilmente i documenti chiave (DVR, Piano emergenza, Politica, etc.) e vedrà che sono firmati e aggiornati, troverà i regi</w:t>
      </w:r>
      <w:r>
        <w:t xml:space="preserve">stri compilati fino alla settimana scorsa, troverà le procedure di reparto ben tenute. Questo riflette fedelmente che nella pratica le cose vengono fatte regolarmente. Documentazione in disordine spesso riflette gestione in disordine: non è il nostro caso.</w:t>
      </w:r>
      <w:r/>
    </w:p>
    <w:p>
      <w:pPr>
        <w:pStyle w:val="1011"/>
        <w:pBdr/>
        <w:spacing/>
        <w:ind/>
        <w:rPr/>
      </w:pPr>
      <w:r>
        <w:t xml:space="preserve">In conclusione, la gestione delle informazioni documentate in Agrumigel è rigorosa ma pratica: l’essenziale è documentato e controllato; si evita i</w:t>
      </w:r>
      <w:r>
        <w:t xml:space="preserve">l superfluo per non appesantire gli operatori; si sfrutta la tecnologia per facilitare l’accesso ma si mantiene anche il necessario cartaceo per chi lo preferisce. Questo equilibrio permette al sistema di essere robusto e allo stesso tempo fruibile e vivo.</w:t>
      </w:r>
      <w:r/>
    </w:p>
    <w:p>
      <w:pPr>
        <w:pStyle w:val="999"/>
        <w:pBdr/>
        <w:spacing/>
        <w:ind/>
        <w:rPr/>
      </w:pPr>
      <w:r/>
      <w:bookmarkStart w:id="51" w:name="attività-operative"/>
      <w:r/>
      <w:bookmarkEnd w:id="49"/>
      <w:r/>
      <w:bookmarkEnd w:id="40"/>
      <w:r>
        <w:t xml:space="preserve"> </w:t>
      </w:r>
      <w:bookmarkStart w:id="52" w:name="_Toc211351966"/>
      <w:r>
        <w:t xml:space="preserve">Attività Operative</w:t>
      </w:r>
      <w:bookmarkEnd w:id="52"/>
      <w:r/>
      <w:r/>
    </w:p>
    <w:p>
      <w:pPr>
        <w:pStyle w:val="1000"/>
        <w:pBdr/>
        <w:spacing/>
        <w:ind/>
        <w:rPr/>
      </w:pPr>
      <w:r/>
      <w:bookmarkStart w:id="53" w:name="pianificazione-e-controllo-operativo"/>
      <w:r/>
      <w:bookmarkStart w:id="54" w:name="_Toc211351967"/>
      <w:r>
        <w:t xml:space="preserve">Pianificazione e controllo operativo</w:t>
      </w:r>
      <w:bookmarkEnd w:id="54"/>
      <w:r/>
      <w:r/>
    </w:p>
    <w:p>
      <w:pPr>
        <w:pStyle w:val="1012"/>
        <w:pBdr/>
        <w:spacing/>
        <w:ind/>
        <w:rPr/>
      </w:pPr>
      <w:r>
        <w:t xml:space="preserve">Per garantire che le strategie e misure individuate in sede di valutazione dei rischi si traducano in pratica quotidiana, Agrumigel adotta un insieme di controlli operativi e prassi di lavoro sicure. La </w:t>
      </w:r>
      <w:r>
        <w:rPr>
          <w:b/>
          <w:bCs/>
        </w:rPr>
        <w:t xml:space="preserve">pianificazione operativa</w:t>
      </w:r>
      <w:r>
        <w:t xml:space="preserve"> consiste nel definire in anticipo come svolgere le attività di produzione e manutenzione tenendo conto dei requisiti di sicurezza, e quindi </w:t>
      </w:r>
      <w:r>
        <w:rPr>
          <w:b/>
          <w:bCs/>
        </w:rPr>
        <w:t xml:space="preserve">controllare</w:t>
      </w:r>
      <w:r>
        <w:t xml:space="preserve"> che tali modalità siano seguite efficacemente.</w:t>
      </w:r>
      <w:r/>
    </w:p>
    <w:p>
      <w:pPr>
        <w:pStyle w:val="1011"/>
        <w:pBdr/>
        <w:spacing/>
        <w:ind/>
        <w:rPr/>
      </w:pPr>
      <w:r>
        <w:t xml:space="preserve">I principali elementi di controllo operativo messi in atto sono:</w:t>
      </w:r>
      <w:r/>
    </w:p>
    <w:p>
      <w:pPr>
        <w:numPr>
          <w:ilvl w:val="0"/>
          <w:numId w:val="19"/>
        </w:numPr>
        <w:pBdr/>
        <w:spacing/>
        <w:ind/>
        <w:rPr/>
      </w:pPr>
      <w:r>
        <w:rPr>
          <w:b/>
          <w:bCs/>
        </w:rPr>
        <w:t xml:space="preserve">Procedure e istruzioni operative sicure</w:t>
      </w:r>
      <w:r>
        <w:t xml:space="preserve">: Ogni attività lavorativa rilevante è regolata da una procedura o istruzione operativa che incorpora gli aspetti di sicurezza. Ad esempio, esiste una procedura per le operazioni di </w:t>
      </w:r>
      <w:r>
        <w:rPr>
          <w:b/>
          <w:bCs/>
        </w:rPr>
        <w:t xml:space="preserve">lavaggio impianti CIP</w:t>
      </w:r>
      <w:r>
        <w:t xml:space="preserve"> che dettaglia anche l’uso di guanti e visiera per manipolare soda e acido, la verifica di chiusura valvole prima di aprire un serbatoio, ecc. Allo stesso modo, le istruzioni di </w:t>
      </w:r>
      <w:r>
        <w:rPr>
          <w:b/>
          <w:bCs/>
        </w:rPr>
        <w:t xml:space="preserve">conduzione di un forno di essiccazione</w:t>
      </w:r>
      <w:r>
        <w:t xml:space="preserve"> inc</w:t>
      </w:r>
      <w:r>
        <w:t xml:space="preserve">ludono il controllo delle temperature massime per evitare surriscaldi, la pulizia dei filtri antipolvere per prevenire incendi, ecc. Questi documenti operativi sono frutto della collaborazione tra responsabili di produzione e RSPP, per unire la conoscenza </w:t>
      </w:r>
      <w:r>
        <w:t xml:space="preserve">del processo con quella della sicurezza. Vengono consegnati/formati ai lavoratori e affissi nei reparti. Il rispetto delle istruzioni operative viene verif</w:t>
      </w:r>
      <w:r>
        <w:t xml:space="preserve">icato dai preposti: se notano deviazioni (es. un lavoratore che non esegue un passo previsto), lo correggono e, se necessario, segnalano al RSPP per capire se serve formazione aggiuntiva o revisione della procedura stessa (magari non era chiara o pratica).</w:t>
      </w:r>
      <w:r/>
    </w:p>
    <w:p>
      <w:pPr>
        <w:numPr>
          <w:ilvl w:val="0"/>
          <w:numId w:val="19"/>
        </w:numPr>
        <w:pBdr/>
        <w:spacing/>
        <w:ind/>
        <w:rPr/>
      </w:pPr>
      <w:r>
        <w:rPr>
          <w:b/>
          <w:bCs/>
        </w:rPr>
        <w:t xml:space="preserve">Riduzione dei pericoli alla fonte</w:t>
      </w:r>
      <w:r>
        <w:t xml:space="preserve">: Nei limiti del possibile, la pianificazione operativa cerca di </w:t>
      </w:r>
      <w:r>
        <w:rPr>
          <w:b/>
          <w:bCs/>
        </w:rPr>
        <w:t xml:space="preserve">eliminare i pericoli</w:t>
      </w:r>
      <w:r>
        <w:t xml:space="preserve"> prima ancora che si presentino. Un esempio è la scelta dei processi produttivi: Agrumigel privilegia soluzioni intrinsecamente più sicure. Per essiccare le scorze</w:t>
      </w:r>
      <w:r>
        <w:t xml:space="preserve">, ad esempio, ha installato forni rotativi chiusi invece di stendere le scorze al sole (pratica magari tradizionale ma che avrebbe esposto lavoratori a ore di calore e rischio biologico con animali). Oppure, nel reparto estrazione oli, si usa un sistema a </w:t>
      </w:r>
      <w:r>
        <w:rPr>
          <w:b/>
          <w:bCs/>
        </w:rPr>
        <w:t xml:space="preserve">centrifuga chiusa</w:t>
      </w:r>
      <w:r>
        <w:t xml:space="preserve"> piuttosto che far separare l’olio manualmente dai decantatori come avveniva decenni fa – eliminando contatto diretto con liquidi irritanti. Questo è già avvenuto in fase di progettazione impianti e continua quando si fanno modifiche: il concetto di </w:t>
      </w:r>
      <w:r>
        <w:rPr>
          <w:b/>
          <w:bCs/>
        </w:rPr>
        <w:t xml:space="preserve">safety by design</w:t>
      </w:r>
      <w:r>
        <w:t xml:space="preserve">.</w:t>
      </w:r>
      <w:r/>
    </w:p>
    <w:p>
      <w:pPr>
        <w:numPr>
          <w:ilvl w:val="0"/>
          <w:numId w:val="19"/>
        </w:numPr>
        <w:pBdr/>
        <w:spacing/>
        <w:ind/>
        <w:rPr/>
      </w:pPr>
      <w:r>
        <w:rPr>
          <w:b/>
          <w:bCs/>
        </w:rPr>
        <w:t xml:space="preserve">Gerarchia dei controlli</w:t>
      </w:r>
      <w:r>
        <w:t xml:space="preserve">: Dove non si può eliminare il rischio, si applicano controlli tecnici e organizzativi. Esempi già citati: macchine con ripari e interblocchi (controllo tecnico), segnaletica orizzontale e </w:t>
      </w:r>
      <w:r>
        <w:t xml:space="preserve">cartellonistica (controllo tecnico/organizzativo), procedure di lavoro (controllo organizzativo), rotazione dei compiti (organizzativo), formazione e DPI (ultimo livello). Tutti questi controlli sono integrati nel ciclo produttivo standard. Ad esempio, la </w:t>
      </w:r>
      <w:r>
        <w:rPr>
          <w:b/>
          <w:bCs/>
        </w:rPr>
        <w:t xml:space="preserve">rotazione mansioni</w:t>
      </w:r>
      <w:r>
        <w:t xml:space="preserve"> in reparti ripetitivi è codificata nel piano di produzione: un adde</w:t>
      </w:r>
      <w:r>
        <w:t xml:space="preserve">tto alle linee di confezionamento scorze ruota ogni 2 ore su un compito diverso (insacco, pallettizzazione, controllo macchina) così da variare posture – questa è una regola operativa definita e il capoturno la attua. Un altro controllo organizzativo è il </w:t>
      </w:r>
      <w:r>
        <w:rPr>
          <w:b/>
          <w:bCs/>
        </w:rPr>
        <w:t xml:space="preserve">divieto di lavorare da soli</w:t>
      </w:r>
      <w:r>
        <w:t xml:space="preserve"> in certe condizioni: per es., nel depuratore e digestore vige la regola che ci sia </w:t>
      </w:r>
      <w:r>
        <w:t xml:space="preserve">sempre almeno una seconda persona a portata di voce quando si entra in quell’area, per poter dare allarme in caso di malore (a parte le procedure di accesso specifiche). Questo è scritto nelle disposizioni interne e i turni sono organizzati di conseguenza.</w:t>
      </w:r>
      <w:r/>
    </w:p>
    <w:p>
      <w:pPr>
        <w:numPr>
          <w:ilvl w:val="0"/>
          <w:numId w:val="19"/>
        </w:numPr>
        <w:pBdr/>
        <w:spacing/>
        <w:ind/>
        <w:rPr/>
      </w:pPr>
      <w:r>
        <w:rPr>
          <w:b/>
          <w:bCs/>
        </w:rPr>
        <w:t xml:space="preserve">Permessi di lavoro</w:t>
      </w:r>
      <w:r>
        <w:t xml:space="preserve">: Per attività particolarmente pericolose o non di routine, Agrumigel utilizza un sistema di </w:t>
      </w:r>
      <w:r>
        <w:rPr>
          <w:b/>
          <w:bCs/>
        </w:rPr>
        <w:t xml:space="preserve">Permesso di Lavoro</w:t>
      </w:r>
      <w:r>
        <w:t xml:space="preserve">. Ciò include: lavori in </w:t>
      </w:r>
      <w:r>
        <w:rPr>
          <w:b/>
          <w:bCs/>
        </w:rPr>
        <w:t xml:space="preserve">spazi confinati</w:t>
      </w:r>
      <w:r>
        <w:t xml:space="preserve"> (serbatoi, vasche, digestore), lavori di </w:t>
      </w:r>
      <w:r>
        <w:rPr>
          <w:b/>
          <w:bCs/>
        </w:rPr>
        <w:t xml:space="preserve">saldatura o fiamme libere</w:t>
      </w:r>
      <w:r>
        <w:t xml:space="preserve"> in zone dove c’è materiale combustibile (hot work), interventi su </w:t>
      </w:r>
      <w:r>
        <w:rPr>
          <w:b/>
          <w:bCs/>
        </w:rPr>
        <w:t xml:space="preserve">impianti elettrici in tensione</w:t>
      </w:r>
      <w:r>
        <w:t xml:space="preserve">, attività di </w:t>
      </w:r>
      <w:r>
        <w:rPr>
          <w:b/>
          <w:bCs/>
        </w:rPr>
        <w:t xml:space="preserve">manutenzione su tetti</w:t>
      </w:r>
      <w:r>
        <w:t xml:space="preserve"> o in quota significativa. I</w:t>
      </w:r>
      <w:r>
        <w:rPr>
          <w:highlight w:val="none"/>
        </w:rPr>
        <w:t xml:space="preserve">l</w:t>
      </w:r>
      <w:r>
        <w:rPr>
          <w:highlight w:val="none"/>
        </w:rPr>
        <w:t xml:space="preserve"> permesso di lavoro</w:t>
      </w:r>
      <w:r>
        <w:rPr>
          <w:highlight w:val="none"/>
        </w:rPr>
        <w:t xml:space="preserve"> </w:t>
      </w:r>
      <w:r>
        <w:t xml:space="preserve">è un modulo che dev</w:t>
      </w:r>
      <w:r>
        <w:t xml:space="preserve">e essere compilato dal responsabile dell’attività e autorizzato dal RSPP o da un preposto competente, nel quale si analizzano i rischi specifici e si elencano le misure da adottare prima/durante l’attività. Ad esempio, un permesso per lavoro di saldatura s</w:t>
      </w:r>
      <w:r>
        <w:t xml:space="preserve">ul telaio del forno scorze richiederà: rimozione o protezione di tutto il materiale infiammabile nel raggio di 5 m, presenza di un estintore a CO₂ a portata di mano, eventuale rilevatore di gas se in area con polveri, DPI (schermo facciale, guanti crosta, </w:t>
      </w:r>
      <w:r>
        <w:t xml:space="preserve">ecc.), ventilazione forzata post-lavoro per eliminare fumi. Il modulo viene firmato da chi eseguirà il lavoro come presa visione e dal responsabile autorizzan</w:t>
      </w:r>
      <w:r>
        <w:t xml:space="preserve">te. Solo allora il lavoro può iniziare. Al termine, viene dichiarato completato e in sicurezza (es. “nessun focolaio acceso, area bonificata”). Questo sistema formalizza e garantisce che i controlli speciali siano messi in atto per i lavori extra-ordinari.</w:t>
      </w:r>
      <w:r/>
    </w:p>
    <w:p>
      <w:pPr>
        <w:numPr>
          <w:ilvl w:val="0"/>
          <w:numId w:val="19"/>
        </w:numPr>
        <w:pBdr/>
        <w:spacing/>
        <w:ind/>
        <w:rPr/>
      </w:pPr>
      <w:r>
        <w:rPr>
          <w:b/>
          <w:bCs/>
        </w:rPr>
        <w:t xml:space="preserve">Gestione dei cambiamenti (MOC)</w:t>
      </w:r>
      <w:r>
        <w:t xml:space="preserve">: Qualora vi sia un </w:t>
      </w:r>
      <w:r>
        <w:rPr>
          <w:b/>
          <w:bCs/>
        </w:rPr>
        <w:t xml:space="preserve">cambiamento</w:t>
      </w:r>
      <w:r>
        <w:t xml:space="preserve"> nei processi operativi (introduzione di una nuova apparecchiatura, modifica dei parametri di processo, cambio layout impianti, uso di nuova materia prima ecc.), l’azienda adotta una procedura di </w:t>
      </w:r>
      <w:r>
        <w:rPr>
          <w:b/>
          <w:bCs/>
        </w:rPr>
        <w:t xml:space="preserve">Management of Change (MOC)</w:t>
      </w:r>
      <w:r>
        <w:t xml:space="preserve">. In pratica, prima di implementare il cambiamento si effettua una valutazione dei nuovi rischi potenziali e si p</w:t>
      </w:r>
      <w:r>
        <w:t xml:space="preserve">ianificano misure preventive. Ad esempio, se si decide di iniziare a produrre un nuovo succo con aggiunta di alcool alimentare (ipoteticamente), il team valuterebbe il rischio di incendio/esplosione e predisporrebbe misure (zone ATEX, addestramento su liqu</w:t>
      </w:r>
      <w:r>
        <w:t xml:space="preserve">idi infiammabili) prima di iniziare. Nessuna modifica significativa viene fatta senza consultare il RSPP e il MC (per la loro competenza) e l’RLS (per il feedback dei lavoratori). Questo approccio proattivo evita di trovarsi con situazioni non controllate.</w:t>
      </w:r>
      <w:r/>
    </w:p>
    <w:p>
      <w:pPr>
        <w:numPr>
          <w:ilvl w:val="0"/>
          <w:numId w:val="19"/>
        </w:numPr>
        <w:pBdr/>
        <w:spacing/>
        <w:ind/>
        <w:rPr/>
      </w:pPr>
      <w:r>
        <w:rPr>
          <w:b/>
          <w:bCs/>
        </w:rPr>
        <w:t xml:space="preserve">Sicurezza delle attrezzature</w:t>
      </w:r>
      <w:r>
        <w:t xml:space="preserve">: Tutte le attrezzature da lavoro sono soggette a collaudo iniziale e verifiche periodiche secondo la legge (es. verifica biennale delle caldaie e recipienti a pressione &gt;13 bar/L, verifi</w:t>
      </w:r>
      <w:r>
        <w:t xml:space="preserve">ca annuale apparecchi sollevamento, ecc.), spesso effettuate da organismi abilitati. Agrumigel pianifica queste verifiche e conserva i verbali. Se un’attrezzatura riceve prescrizioni (es. “sostituire fune logora su carroponte”), l’intervento è immediatamen</w:t>
      </w:r>
      <w:r>
        <w:t xml:space="preserve">te eseguito e la macchina eventualmente sospesa fino a risoluzione. Nessuna attrezzatura non sicura rimane in esercizio. Le macchine nuove acquistate sono marcate CE e se autocostruite (in casi rari di prototipi) vengono comunque fatte valutare da un tecni</w:t>
      </w:r>
      <w:r>
        <w:t xml:space="preserve">co per la conformità ai requisiti essenziali di sicurezza. Inoltre, per apparecchi portatili, scale, funi, DPI anticaduta, etc., c’è un controllo periodico di integrità (es. controllo semestrale delle imbracature anticaduta da parte di persona competente).</w:t>
      </w:r>
      <w:r/>
    </w:p>
    <w:p>
      <w:pPr>
        <w:numPr>
          <w:ilvl w:val="0"/>
          <w:numId w:val="19"/>
        </w:numPr>
        <w:pBdr/>
        <w:spacing/>
        <w:ind/>
        <w:rPr/>
      </w:pPr>
      <w:r>
        <w:rPr>
          <w:b/>
          <w:bCs/>
        </w:rPr>
        <w:t xml:space="preserve">Pianificazione delle emergenze operative</w:t>
      </w:r>
      <w:r>
        <w:t xml:space="preserve">: Oltre al Piano di Emergenza generale, in alcuni reparti l’operatività prevede micro-piani: ad esempio, </w:t>
      </w:r>
      <w:r>
        <w:rPr>
          <w:highlight w:val="none"/>
        </w:rPr>
        <w:t xml:space="preserve">in sala compressor</w:t>
      </w:r>
      <w:r>
        <w:rPr>
          <w:highlight w:val="none"/>
        </w:rPr>
        <w:t xml:space="preserve">i ammoniaca c’è una check-list di cosa fare in caso di piccolo leak</w:t>
      </w:r>
      <w:r>
        <w:rPr>
          <w:highlight w:val="none"/>
        </w:rPr>
        <w:t xml:space="preserve"> </w:t>
      </w:r>
      <w:r>
        <w:t xml:space="preserve">(chiudere valvola X, attivare ventilazione, evacuare area, informare immediatamente RSPP e VV.F. se &gt; threshold). Queste istruzioni sono affisse come promemoria. Altro esempio, nell’area c</w:t>
      </w:r>
      <w:r>
        <w:t xml:space="preserve">ogenerazione c’è una procedura per la gestione di uno sfiamento improvviso gas: il conduttore deve premere pulsante blocco, isolare valvole, ecc. – l’avrà provato in addestramento ed è anche scritto. Questa predisposizione aumenta la prontezza di reazione.</w:t>
      </w:r>
      <w:r/>
    </w:p>
    <w:p>
      <w:pPr>
        <w:numPr>
          <w:ilvl w:val="0"/>
          <w:numId w:val="19"/>
        </w:numPr>
        <w:pBdr/>
        <w:spacing/>
        <w:ind/>
        <w:rPr/>
      </w:pPr>
      <w:r>
        <w:rPr>
          <w:b/>
          <w:bCs/>
        </w:rPr>
        <w:t xml:space="preserve">Sorveglianza e supervisione</w:t>
      </w:r>
      <w:r>
        <w:t xml:space="preserve">: I preposti e i dirigenti svolgono una continua </w:t>
      </w:r>
      <w:r>
        <w:rPr>
          <w:b/>
          <w:bCs/>
        </w:rPr>
        <w:t xml:space="preserve">sorveglianza</w:t>
      </w:r>
      <w:r>
        <w:t xml:space="preserve"> sull’applicazione dei controlli operativi. Ogni giorno, il preposto di reparto fa un giro di </w:t>
      </w:r>
      <w:r>
        <w:t xml:space="preserve">controllo su: ordine e pulizia, uso DPI da parte di tutti, funzionamento di eventuali aspirazioni, presenza di ostacoli sulle uscite, scaffali in o</w:t>
      </w:r>
      <w:r>
        <w:t xml:space="preserve">rdine, ecc. Se nota qualcosa di anomalo (es. un estintore mancante alloggiamento perché usato in addestramento e non rimesso, o un lavoratore che salta un passaggio di procedura), interviene subito. Questo controllo sul campo è essenziale per mantenere la </w:t>
      </w:r>
      <w:r>
        <w:t xml:space="preserve">disciplina operativa. La supervisione è fatta anche da figure di staff: il RSPP fa ispezioni periodiche (annunciate o a sorpresa) e compila report con foto e rilievi, poi discusse con i responsabili per correggere eventuali deviazioni dal sistema previsto.</w:t>
      </w:r>
      <w:r/>
    </w:p>
    <w:p>
      <w:pPr>
        <w:numPr>
          <w:ilvl w:val="0"/>
          <w:numId w:val="19"/>
        </w:numPr>
        <w:pBdr/>
        <w:spacing/>
        <w:ind/>
        <w:rPr/>
      </w:pPr>
      <w:r>
        <w:rPr>
          <w:b/>
          <w:bCs/>
        </w:rPr>
        <w:t xml:space="preserve">Manutenzione e pulizia</w:t>
      </w:r>
      <w:r>
        <w:t xml:space="preserve">: Un’operazione banale ma cruciale nel controllo operativo è mantenere impianti e ambienti in uno stato ordinato. </w:t>
      </w:r>
      <w:r>
        <w:rPr>
          <w:b/>
          <w:bCs/>
        </w:rPr>
        <w:t xml:space="preserve">Manutenzione preventiva</w:t>
      </w:r>
      <w:r>
        <w:t xml:space="preserve"> riduce i guasti improvvisi che possono creare pericoli (es. riduce rischio di perdite da impianti in pressione, di rottura parti meccaniche volanti). </w:t>
      </w:r>
      <w:r>
        <w:rPr>
          <w:b/>
          <w:bCs/>
        </w:rPr>
        <w:t xml:space="preserve">Pulizia regolare</w:t>
      </w:r>
      <w:r>
        <w:t xml:space="preserve"> elimina residui che potrebbero essere fonti di incidente (olio su pavimento, polveri combu</w:t>
      </w:r>
      <w:r>
        <w:t xml:space="preserve">stibili accumulate). Agrumigel ha un piano 5S (sort, set in order, shine, standardize, sustain) implementato in diversi reparti: ogni fine turno si pulisce postazione e si ripongono gli utensili; settimanalmente c’è la pulizia a fondo di aree comuni; mensi</w:t>
      </w:r>
      <w:r>
        <w:t xml:space="preserve">lmente in officina si fa la revisione di tutte le macchine per togliere trucioli, ecc. Questo non solo migliora la sicurezza ma anche la qualità (ambienti puliti riducono contaminazioni, importante per alimentare). I reparti hanno gli attrezzi necessari (a</w:t>
      </w:r>
      <w:r>
        <w:t xml:space="preserve">spirapolvere industriali, detergenti) e il personale addetto alle pulizie di fine turno è formato su eventuali rischi (es. non usare acqua su impianti elettrici, attenzione pavimenti bagnati – segnaletica temporanea di “pavimento scivoloso” quando lavano).</w:t>
      </w:r>
      <w:r/>
    </w:p>
    <w:p>
      <w:pPr>
        <w:numPr>
          <w:ilvl w:val="0"/>
          <w:numId w:val="19"/>
        </w:numPr>
        <w:pBdr/>
        <w:spacing/>
        <w:ind/>
        <w:rPr/>
      </w:pPr>
      <w:r>
        <w:rPr>
          <w:b/>
          <w:bCs/>
        </w:rPr>
        <w:t xml:space="preserve">Controllo dei fornitori e appaltatori</w:t>
      </w:r>
      <w:r>
        <w:t xml:space="preserve">: Quando un’attività è esternalizzata (es. manutenzione a ditte esterne, trasporto merci, pulizie) Agrumigel esercita controllo operativo anche su di loro. Prima dell’inizio lavori di appaltatori, si consegna il </w:t>
      </w:r>
      <w:r>
        <w:rPr>
          <w:b/>
          <w:bCs/>
        </w:rPr>
        <w:t xml:space="preserve">DUVRI</w:t>
      </w:r>
      <w:r>
        <w:t xml:space="preserve"> (Documento Unico di Valutazione Rischi Interferenze) che elenca i rischi reciproci e le misure condivise: l’appaltatore deve sottoscriverlo. Durante i lavori, un</w:t>
      </w:r>
      <w:r>
        <w:t xml:space="preserve"> referente interno vigila che l’appaltatore rispetti le regole (es. lavoratori con casco e imbrago su tetto, area demarcata). Se un appaltatore viola gravemente le norme (es. lavoratore senza DPI in situazione pericolosa), Agrumigel si riserva di sospender</w:t>
      </w:r>
      <w:r>
        <w:t xml:space="preserve">e i lavori e allontanare la ditta, secondo clausole contrattuali. Lo stesso vale con autisti terzi: devono rispettare segnaletica e procedure interne (velocità max, motore spento in carico, blocchi ruote, etc.), e ci sono cartelli e vigilanza a tale scopo.</w:t>
      </w:r>
      <w:r/>
    </w:p>
    <w:p>
      <w:pPr>
        <w:numPr>
          <w:ilvl w:val="0"/>
          <w:numId w:val="19"/>
        </w:numPr>
        <w:pBdr/>
        <w:spacing/>
        <w:ind/>
        <w:rPr/>
      </w:pPr>
      <w:r>
        <w:rPr>
          <w:b/>
          <w:bCs/>
        </w:rPr>
        <w:t xml:space="preserve">Controllo dei dispositivi di sicurezza</w:t>
      </w:r>
      <w:r>
        <w:t xml:space="preserve">: Ci sono sistemi di sicurezza come allarmi, sensori</w:t>
      </w:r>
      <w:r>
        <w:t xml:space="preserve">, estrattori, serrature interbloccate. La funzionalità di questi dispositivi viene verificata regolarmente: test di allarme ammoniaca a scadenze (simulazione sensore per vedere se scatta sirena), </w:t>
      </w:r>
      <w:r>
        <w:rPr>
          <w:highlight w:val="none"/>
        </w:rPr>
        <w:t xml:space="preserve">prova di lampade di emergenza</w:t>
      </w:r>
      <w:r>
        <w:rPr>
          <w:highlight w:val="none"/>
        </w:rPr>
        <w:t xml:space="preserve"> </w:t>
      </w:r>
      <w:r>
        <w:t xml:space="preserve">(semestrale), controllo finecorsa</w:t>
      </w:r>
      <w:r>
        <w:t xml:space="preserve"> su nastri (in manutenzioni programmate). Inoltre, procedure vietano di manomettere o escludere tali sistemi: se serve farlo per manutenzione, deve esserci un permesso e misure compensative (es. guardia continua sul comando manuale). L’azienda diffonde la </w:t>
      </w:r>
      <w:r>
        <w:t xml:space="preserve">cultura che “non si bypassano le protezioni”: un caso emblematico, se un sensore blocca spesso la macchina, non si scavalca mettendo un magnete, ma si cerca la causa del blocco e la si risolve tecnicamente.</w:t>
      </w:r>
      <w:r/>
    </w:p>
    <w:p>
      <w:pPr>
        <w:numPr>
          <w:ilvl w:val="0"/>
          <w:numId w:val="19"/>
        </w:numPr>
        <w:pBdr/>
        <w:spacing/>
        <w:ind/>
        <w:rPr/>
      </w:pPr>
      <w:r>
        <w:rPr>
          <w:b/>
          <w:bCs/>
        </w:rPr>
        <w:t xml:space="preserve">Misure di sicurezza alimentare e sicurezza sul lavoro integrate</w:t>
      </w:r>
      <w:r>
        <w:t xml:space="preserve">: In molte operazioni, i controlli servono a entrambi gli scopi. Ad esempio, l’uso di </w:t>
      </w:r>
      <w:r>
        <w:rPr>
          <w:b/>
          <w:bCs/>
        </w:rPr>
        <w:t xml:space="preserve">metal detector</w:t>
      </w:r>
      <w:r>
        <w:t xml:space="preserve"> sul prodotto e di strumenti anti-corpi estranei (retine, filtri) riduce sia il</w:t>
      </w:r>
      <w:r>
        <w:t xml:space="preserve"> rischio di contaminazione alimentare sia il rischio di incidenti con frammenti (ad es. rottura di vetro: il protocollo “no glass” fa sì che niente vetro infrangibile entri in produzione, il che evita anche tagli alle mani del personale). Altro esempio, i </w:t>
      </w:r>
      <w:r>
        <w:rPr>
          <w:b/>
          <w:bCs/>
        </w:rPr>
        <w:t xml:space="preserve">dispositivi di sollevamento</w:t>
      </w:r>
      <w:r>
        <w:t xml:space="preserve"> in acciaio inox usati per trasportare materia prima non solo proteggono il prodotto dalla contaminazione, ma risparmiano la schiena ai lavoratori. Così, la gestione operativa tiene insieme i requisiti HACCP e SSL senza conflitti.</w:t>
      </w:r>
      <w:r/>
    </w:p>
    <w:p>
      <w:pPr>
        <w:pStyle w:val="1012"/>
        <w:pBdr/>
        <w:spacing/>
        <w:ind/>
        <w:rPr/>
      </w:pPr>
      <w:r>
        <w:t xml:space="preserve">In sintesi, il </w:t>
      </w:r>
      <w:r>
        <w:rPr>
          <w:b/>
          <w:bCs/>
        </w:rPr>
        <w:t xml:space="preserve">controllo operativo</w:t>
      </w:r>
      <w:r>
        <w:t xml:space="preserve"> in Agrumigel è l’applicazione quotidiana e concreta del motto: </w:t>
      </w:r>
      <w:r>
        <w:rPr>
          <w:i/>
          <w:iCs/>
        </w:rPr>
        <w:t xml:space="preserve">“Fare le cose in sicurezza, sempre, non è opzionale”</w:t>
      </w:r>
      <w:r>
        <w:t xml:space="preserve">. Grazie a pianificazione, procedure e vigilanza costante, si cerca di prevenire la maggior parte degli incidenti prima che possano verificarsi. E se qual</w:t>
      </w:r>
      <w:r>
        <w:t xml:space="preserve">cosa sfugge o cambia, c’è la capacità di adattare velocemente i controlli (grazie a permessi di lavoro, MOC, ecc.). Questo modulo operativo flessibile ma rigoroso è fondamentale perché la sicurezza non si gioca solo su carta ma nelle azioni di ogni giorno.</w:t>
      </w:r>
      <w:r/>
    </w:p>
    <w:p>
      <w:pPr>
        <w:pStyle w:val="1001"/>
        <w:pBdr/>
        <w:spacing/>
        <w:ind/>
        <w:rPr/>
      </w:pPr>
      <w:r/>
      <w:bookmarkStart w:id="55" w:name="preparazione-e-risposta-alle-emergenze"/>
      <w:r/>
      <w:bookmarkStart w:id="56" w:name="_Toc211351968"/>
      <w:r/>
      <w:bookmarkEnd w:id="53"/>
      <w:r>
        <w:t xml:space="preserve">Preparazione e risposta alle emergenze</w:t>
      </w:r>
      <w:bookmarkEnd w:id="56"/>
      <w:r/>
      <w:r/>
    </w:p>
    <w:p>
      <w:pPr>
        <w:pStyle w:val="1012"/>
        <w:pBdr/>
        <w:spacing/>
        <w:ind/>
        <w:rPr/>
      </w:pPr>
      <w:r>
        <w:t xml:space="preserve">Nonostante tutte le misure di prevenzione messe in atto, Agrumigel è consapevole che esiste sempre la possibilità che si verifichino </w:t>
      </w:r>
      <w:r>
        <w:rPr>
          <w:b/>
          <w:bCs/>
        </w:rPr>
        <w:t xml:space="preserve">situazioni di emergenza</w:t>
      </w:r>
      <w:r>
        <w:t xml:space="preserve"> – eventi imprevisti o incidenti – che richiedono una risposta immediata e coordinata per minimizzare i danni a persone, ambiente e proprietà. Per questo l’azienda ha sviluppato un dettagliato </w:t>
      </w:r>
      <w:r>
        <w:rPr>
          <w:b/>
          <w:bCs/>
        </w:rPr>
        <w:t xml:space="preserve">Piano di Emergenza ed Evacuazione (PEE)</w:t>
      </w:r>
      <w:r>
        <w:t xml:space="preserve"> e ha predisposto risorse e procedure per gestire una varietà di scenari di emergenza. La preparazione preventiva è fondamentale per reagire prontamente e in modo efficace nel momento del bisogno.</w:t>
      </w:r>
      <w:r/>
    </w:p>
    <w:p>
      <w:pPr>
        <w:pStyle w:val="1011"/>
        <w:pBdr/>
        <w:spacing/>
        <w:ind/>
        <w:rPr/>
      </w:pPr>
      <w:r>
        <w:rPr>
          <w:b/>
          <w:bCs/>
        </w:rPr>
        <w:t xml:space="preserve">Identificazione degli scenari di emergenza</w:t>
      </w:r>
      <w:r>
        <w:t xml:space="preserve">: Sulla base dell’analisi dei rischi interni e dei requisiti normativi, Agrumigel ha individuato i possibili scenari di emergenza, tra cui:</w:t>
      </w:r>
      <w:r/>
    </w:p>
    <w:p>
      <w:pPr>
        <w:pStyle w:val="1013"/>
        <w:numPr>
          <w:ilvl w:val="0"/>
          <w:numId w:val="20"/>
        </w:numPr>
        <w:pBdr/>
        <w:spacing/>
        <w:ind/>
        <w:rPr/>
      </w:pPr>
      <w:r>
        <w:rPr>
          <w:b/>
          <w:bCs/>
        </w:rPr>
        <w:t xml:space="preserve">Incendio o esplosione</w:t>
      </w:r>
      <w:r>
        <w:t xml:space="preserve"> all’interno dello stabilimento (in qualsiasi reparto produttivo, magazzino o uffici).</w:t>
      </w:r>
      <w:r/>
    </w:p>
    <w:p>
      <w:pPr>
        <w:pStyle w:val="1013"/>
        <w:numPr>
          <w:ilvl w:val="0"/>
          <w:numId w:val="20"/>
        </w:numPr>
        <w:pBdr/>
        <w:spacing/>
        <w:ind/>
        <w:rPr/>
      </w:pPr>
      <w:r>
        <w:rPr>
          <w:b/>
          <w:bCs/>
        </w:rPr>
        <w:t xml:space="preserve">Fuga di gas tossico o infiammabile</w:t>
      </w:r>
      <w:r>
        <w:t xml:space="preserve">, in particolare fuga di </w:t>
      </w:r>
      <w:r>
        <w:rPr>
          <w:b/>
          <w:bCs/>
        </w:rPr>
        <w:t xml:space="preserve">ammoniaca</w:t>
      </w:r>
      <w:r>
        <w:t xml:space="preserve"> dall’impianto frigorifero</w:t>
      </w:r>
      <w:hyperlink r:id="rId19" w:tooltip="file://file-HL7xRNs4nnxAmUZAujdMJ7#:~:text=1o1%20Sostanze%20pericolose%20dell%E2%80%99impianto%20di,pastorizzazione%20%205%201%20C" w:anchor=":~:text=1o1%20Sostanze%20pericolose%20dell%E2%80%99impianto%20di,pastorizzazione%20%205%201%20C" w:history="1">
        <w:r>
          <w:rPr>
            <w:rStyle w:val="1047"/>
          </w:rPr>
          <w:t xml:space="preserve">[14]</w:t>
        </w:r>
      </w:hyperlink>
      <w:r>
        <w:t xml:space="preserve">, fuga di </w:t>
      </w:r>
      <w:r>
        <w:rPr>
          <w:b/>
          <w:bCs/>
        </w:rPr>
        <w:t xml:space="preserve">biogas/metano</w:t>
      </w:r>
      <w:r>
        <w:t xml:space="preserve"> dalla centrale digestione/cogenerazione.</w:t>
      </w:r>
      <w:r/>
    </w:p>
    <w:p>
      <w:pPr>
        <w:pStyle w:val="1013"/>
        <w:numPr>
          <w:ilvl w:val="0"/>
          <w:numId w:val="20"/>
        </w:numPr>
        <w:pBdr/>
        <w:spacing/>
        <w:ind/>
        <w:rPr/>
      </w:pPr>
      <w:r>
        <w:rPr>
          <w:b/>
          <w:bCs/>
        </w:rPr>
        <w:t xml:space="preserve">Emergenza sanitaria</w:t>
      </w:r>
      <w:r>
        <w:t xml:space="preserve">: infortunio grave o malore di un dipendente/appaltatore (es. trauma da caduta, arresto cardiaco, ferite profonde).</w:t>
      </w:r>
      <w:r/>
    </w:p>
    <w:p>
      <w:pPr>
        <w:pStyle w:val="1013"/>
        <w:numPr>
          <w:ilvl w:val="0"/>
          <w:numId w:val="20"/>
        </w:numPr>
        <w:pBdr/>
        <w:spacing/>
        <w:ind/>
        <w:rPr/>
      </w:pPr>
      <w:r>
        <w:rPr>
          <w:b/>
          <w:bCs/>
        </w:rPr>
        <w:t xml:space="preserve">Sversamento di sostanze pericolose</w:t>
      </w:r>
      <w:r>
        <w:t xml:space="preserve">: ad esempio versamento di una cisterna di acido, fuoriuscita di oli combustibili, rottura di un fusto di essenza concentrata (infiammabile).</w:t>
      </w:r>
      <w:r/>
    </w:p>
    <w:p>
      <w:pPr>
        <w:pStyle w:val="1013"/>
        <w:numPr>
          <w:ilvl w:val="0"/>
          <w:numId w:val="20"/>
        </w:numPr>
        <w:pBdr/>
        <w:spacing/>
        <w:ind/>
        <w:rPr/>
      </w:pPr>
      <w:r>
        <w:rPr>
          <w:b/>
          <w:bCs/>
        </w:rPr>
        <w:t xml:space="preserve">Emergenza ambientale</w:t>
      </w:r>
      <w:r>
        <w:t xml:space="preserve">: guasto al depuratore con rilascio di reflui non trattati, oppure incidente di trasporto (autobotte di rifiuti incidentata all’interno del sito).</w:t>
      </w:r>
      <w:r/>
    </w:p>
    <w:p>
      <w:pPr>
        <w:pStyle w:val="1013"/>
        <w:numPr>
          <w:ilvl w:val="0"/>
          <w:numId w:val="20"/>
        </w:numPr>
        <w:pBdr/>
        <w:spacing/>
        <w:ind/>
        <w:rPr/>
      </w:pPr>
      <w:r>
        <w:rPr>
          <w:b/>
          <w:bCs/>
        </w:rPr>
        <w:t xml:space="preserve">Calamità naturali</w:t>
      </w:r>
      <w:r>
        <w:t xml:space="preserve">: sebbene meno frequenti, considerati i rischi sismici in zona Messina, un </w:t>
      </w:r>
      <w:r>
        <w:rPr>
          <w:b/>
          <w:bCs/>
        </w:rPr>
        <w:t xml:space="preserve">terremoto</w:t>
      </w:r>
      <w:r>
        <w:t xml:space="preserve"> potrebbe colpire lo stabilimento; anche eventi estremi meteorologici (nubifragi, allagamenti) sono possibili.</w:t>
      </w:r>
      <w:r/>
    </w:p>
    <w:p>
      <w:pPr>
        <w:pStyle w:val="1012"/>
        <w:pBdr/>
        <w:spacing/>
        <w:ind/>
        <w:rPr/>
      </w:pPr>
      <w:r>
        <w:t xml:space="preserve">Per ciascuno di questi scenari, il PEE definisce le azioni da intraprendere, i ruoli e le responsabilità, le procedure di evacuazione e di intervento.</w:t>
      </w:r>
      <w:r/>
    </w:p>
    <w:p>
      <w:pPr>
        <w:pStyle w:val="1011"/>
        <w:pBdr/>
        <w:spacing/>
        <w:ind/>
        <w:rPr/>
      </w:pPr>
      <w:r>
        <w:rPr>
          <w:b/>
          <w:bCs/>
        </w:rPr>
        <w:t xml:space="preserve">Organizzazione della risposta alle emergenze</w:t>
      </w:r>
      <w:r>
        <w:t xml:space="preserve">:</w:t>
      </w:r>
      <w:r/>
    </w:p>
    <w:p>
      <w:pPr>
        <w:numPr>
          <w:ilvl w:val="0"/>
          <w:numId w:val="21"/>
        </w:numPr>
        <w:pBdr/>
        <w:spacing/>
        <w:ind/>
        <w:rPr/>
      </w:pPr>
      <w:r>
        <w:t xml:space="preserve">È costituita una </w:t>
      </w:r>
      <w:r>
        <w:rPr>
          <w:b/>
          <w:bCs/>
        </w:rPr>
        <w:t xml:space="preserve">Squadra di Emergenza interna</w:t>
      </w:r>
      <w:r>
        <w:t xml:space="preserve">, composta dagli Addetti antincendio e primo soccorso opportunamente formati. In totale la squadra antincen</w:t>
      </w:r>
      <w:r>
        <w:t xml:space="preserve">dio di stabilimento conta (es.) 8 persone coperte su tutti i turni (rischio elevato: hanno formazione 16 ore e aggiornamento 8 ore ogni 5 anni), e la squadra primo soccorso 6 persone formate (12-16 ore + retraining 4h/3anni). La squadra è coordinata da un </w:t>
      </w:r>
      <w:r>
        <w:rPr>
          <w:b/>
          <w:bCs/>
        </w:rPr>
        <w:t xml:space="preserve">Coordinatore dell’emergenza</w:t>
      </w:r>
      <w:r>
        <w:t xml:space="preserve"> (spesso il Dirigente di Stabilimento o, in sua assenza, un preposto senior) che all’atto pratico, in caso di emergenza, si riconosce da un giubbino ad alta visibilità con scritto “Coordinatore Emergenza” e prende le decisioni sul campo.</w:t>
      </w:r>
      <w:r/>
    </w:p>
    <w:p>
      <w:pPr>
        <w:numPr>
          <w:ilvl w:val="0"/>
          <w:numId w:val="21"/>
        </w:numPr>
        <w:pBdr/>
        <w:spacing/>
        <w:ind/>
        <w:rPr/>
      </w:pPr>
      <w:r>
        <w:t xml:space="preserve">Nell’eventualità di un allarme, la sequenza tipica è: la persona che scopre l’emergenza avvisa immediatamente via voce o attivando l’allarme (pulsante manuale antincendio, o chiamando centralino se malore). In caso di incendi, ci sono </w:t>
      </w:r>
      <w:r>
        <w:rPr>
          <w:b/>
          <w:bCs/>
        </w:rPr>
        <w:t xml:space="preserve">rivelatori automatici di fumo/incendio</w:t>
      </w:r>
      <w:r>
        <w:t xml:space="preserve"> in uffici e magazzini che attivano l’allarme sonoro; in reparti produttivi, data la natura di possibili vapori, l’allarme viene dato manualmente dal personale appena notano fiamme o fumo.</w:t>
      </w:r>
      <w:r/>
    </w:p>
    <w:p>
      <w:pPr>
        <w:numPr>
          <w:ilvl w:val="0"/>
          <w:numId w:val="21"/>
        </w:numPr>
        <w:pBdr/>
        <w:spacing/>
        <w:ind/>
        <w:rPr/>
      </w:pPr>
      <w:r>
        <w:t xml:space="preserve">All’attivazione dell’allarme generale (sirena intermittente), scattano le procedure di </w:t>
      </w:r>
      <w:r>
        <w:rPr>
          <w:b/>
          <w:bCs/>
        </w:rPr>
        <w:t xml:space="preserve">evacuazione</w:t>
      </w:r>
      <w:r>
        <w:t xml:space="preserve">. Tut</w:t>
      </w:r>
      <w:r>
        <w:t xml:space="preserve">ti i lavoratori e visitatori devono interrompere le attività, mettere in sicurezza eventuali operazioni critiche se possibile (es. spegnere macchinari, chiudere valvole di processo manuali se a portata, etc.), quindi dirigersi con calma ma celermente alle </w:t>
      </w:r>
      <w:r>
        <w:rPr>
          <w:b/>
          <w:bCs/>
        </w:rPr>
        <w:t xml:space="preserve">vie di esodo</w:t>
      </w:r>
      <w:r>
        <w:t xml:space="preserve"> indicate verso il </w:t>
      </w:r>
      <w:r>
        <w:rPr>
          <w:b/>
          <w:bCs/>
        </w:rPr>
        <w:t xml:space="preserve">Punto di Raccolta</w:t>
      </w:r>
      <w:r>
        <w:t xml:space="preserve"> esterno. Agrumigel ha predisposto e segnalato chiaramente almeno due punti di raccolta in aree sicure (uno nel parcheg</w:t>
      </w:r>
      <w:r>
        <w:t xml:space="preserve">gio lato nord e uno nell’area verde lato est, fuori portata di un’eventuale nube tossica di ammoniaca per via del vento prevalente, considerato in piano emergenza). Le vie di fuga sono segnalate con cartelli luminosi di emergenza e mantenute sempre libere.</w:t>
      </w:r>
      <w:r/>
    </w:p>
    <w:p>
      <w:pPr>
        <w:numPr>
          <w:ilvl w:val="0"/>
          <w:numId w:val="21"/>
        </w:numPr>
        <w:pBdr/>
        <w:spacing/>
        <w:ind/>
        <w:rPr/>
      </w:pPr>
      <w:r>
        <w:t xml:space="preserve">Nel frattempo, la Squadra di Emergenza interviene se possibile: per un </w:t>
      </w:r>
      <w:r>
        <w:rPr>
          <w:b/>
          <w:bCs/>
        </w:rPr>
        <w:t xml:space="preserve">principio di incendio</w:t>
      </w:r>
      <w:r>
        <w:t xml:space="preserve">, g</w:t>
      </w:r>
      <w:r>
        <w:t xml:space="preserve">li addetti antincendio preposti valutano se è affrontabile con mezzi portatili (estintori, idranti) in sicurezza – se sì tentano lo spegnimento immediato; se l’incendio è già esteso, eseguono solo evacuazione e attesa dei Vigili del Fuoco esterni. Per una </w:t>
      </w:r>
      <w:r>
        <w:rPr>
          <w:b/>
          <w:bCs/>
        </w:rPr>
        <w:t xml:space="preserve">fuga di ammoniaca</w:t>
      </w:r>
      <w:r>
        <w:t xml:space="preserve">, l’indicazione generale è di NON intervenire direttamente (dato l’alto rischio): la procedura è evacuare subito l’area, bloccare se possibile a distanza la macchina ammoniaca (</w:t>
      </w:r>
      <w:r>
        <w:t xml:space="preserve">tramite accesso da remoto alla sala macchine), attivare la ventilazione e attendere i soccorsi esterni specializzati</w:t>
      </w:r>
      <w:hyperlink r:id="rId20" w:tooltip="file://file-HL7xRNs4nnxAmUZAujdMJ7#:~:text=1o1%20Sostanze%20pericolose%20dell%E2%80%99impianto%20di,pastorizzazione%20%205%201%20C" w:anchor=":~:text=1o1%20Sostanze%20pericolose%20dell%E2%80%99impianto%20di,pastorizzazione%20%205%201%20C" w:history="1">
        <w:r>
          <w:rPr>
            <w:rStyle w:val="1047"/>
          </w:rPr>
          <w:t xml:space="preserve">[14]</w:t>
        </w:r>
      </w:hyperlink>
      <w:r>
        <w:t xml:space="preserve">; la squadra interna può solamente delimitare l’area, assicurarsi che nessuno entri e fornire dettagli ai VV.F. all’arrivo. Per un </w:t>
      </w:r>
      <w:r>
        <w:rPr>
          <w:b/>
          <w:bCs/>
        </w:rPr>
        <w:t xml:space="preserve">malore/infortunio</w:t>
      </w:r>
      <w:r>
        <w:t xml:space="preserve">, i soccorritori interni di primo soccorso accorrono </w:t>
      </w:r>
      <w:r>
        <w:t xml:space="preserve">con la cassetta medica e </w:t>
      </w:r>
      <w:r>
        <w:rPr>
          <w:highlight w:val="none"/>
        </w:rPr>
        <w:t xml:space="preserve">defibrillatore (che l’azienda ha in sito)</w:t>
      </w:r>
      <w:r>
        <w:t xml:space="preserve">, stabilizzano l’infortunato seguendo le linee guida (ABCDE, etc.) e allertano il 118 per ambulanza; se necessario, praticano rianimazione cardiopolmonare in attesa dell’arrivo dei sanitari.</w:t>
      </w:r>
      <w:r/>
    </w:p>
    <w:p>
      <w:pPr>
        <w:numPr>
          <w:ilvl w:val="0"/>
          <w:numId w:val="21"/>
        </w:numPr>
        <w:pBdr/>
        <w:spacing/>
        <w:ind/>
        <w:rPr/>
      </w:pPr>
      <w:r>
        <w:rPr>
          <w:b/>
          <w:bCs/>
        </w:rPr>
        <w:t xml:space="preserve">Allertamento dei soccorsi esterni</w:t>
      </w:r>
      <w:r>
        <w:t xml:space="preserve">: Il PEE definisce chi chiama chi. Tipicamente, il centralino (o un incaricato specifico, es. guardiano) appena percepisce l’emergenza, chiama i numeri di emergenza</w:t>
      </w:r>
      <w:r>
        <w:t xml:space="preserve"> esterni competenti: i Vigili del Fuoco (115) in caso di incendio grande o fuga gas pericoloso; l’Emergenza Sanitaria (118) per infortunio grave; eventualmente le Forze dell’Ordine (112) se necessario garantire perimetro; ARPA per emergenze ambientali. Un </w:t>
      </w:r>
      <w:r>
        <w:rPr>
          <w:b/>
          <w:bCs/>
        </w:rPr>
        <w:t xml:space="preserve">schema</w:t>
      </w:r>
      <w:r>
        <w:t xml:space="preserve"> con i numeri utili e le informazioni da fornire (nome azienda, indirizzo, tipo di emergenza, sostanze coinvolte, numero feriti, ecc.) è affisso vicino a tutti i telefoni e anche consegnato ai coordinato</w:t>
      </w:r>
      <w:r>
        <w:t xml:space="preserve">ri. Ad esempio, in caso di ammoniaca, si avvisa: “Fuga ammoniaca presso Agrumigel Barcellona PG, attivare squadra NBCR Vigili del Fuoco, stanno evacuando tutto il personale”. In parallelo, se l’emergenza può interessare l’esterno (fumi tossici o rischio es</w:t>
      </w:r>
      <w:r>
        <w:t xml:space="preserve">plosione), va chiamata la Protezione Civile locale/Prefettura per eventualmente allertare le abitazioni vicine; il piano specifica chi lo fa (di solito la Polizia Municipale su input dei VV.F., ma l’azienda può chiamare direttamente se situazioni urgenti).</w:t>
      </w:r>
      <w:r/>
    </w:p>
    <w:p>
      <w:pPr>
        <w:numPr>
          <w:ilvl w:val="0"/>
          <w:numId w:val="21"/>
        </w:numPr>
        <w:pBdr/>
        <w:spacing/>
        <w:ind/>
        <w:rPr/>
      </w:pPr>
      <w:r>
        <w:rPr>
          <w:b/>
          <w:bCs/>
        </w:rPr>
        <w:t xml:space="preserve">Evacuazione completa e punto di raccolta</w:t>
      </w:r>
      <w:r>
        <w:t xml:space="preserve">: Ai punti di raccolta, i responsabili (preposti) fanno l’</w:t>
      </w:r>
      <w:r>
        <w:rPr>
          <w:b/>
          <w:bCs/>
        </w:rPr>
        <w:t xml:space="preserve">appello</w:t>
      </w:r>
      <w:r>
        <w:t xml:space="preserve"> per controllare che tutti i presenti siano stati evacuati. </w:t>
      </w:r>
      <w:r>
        <w:t xml:space="preserve">L’azienda tiene registri presenze (badge elettronici per dipendenti e registro cartaceo per visitatori e appaltatori all’ingresso) e li porta al punto di raccolta per confronto. Se qualcuno risulta mancante, questa informazione viene immediatamente comunic</w:t>
      </w:r>
      <w:r>
        <w:t xml:space="preserve">ata al Coordinatore Emergenze e poi ai Vigili del Fuoco all’arrivo (così sanno se devono cercare persone eventualmente intrappolate). Idealmente, nessuno dovrebbe rientrare a cercare qualcuno senza coordinarsi con i soccorsi, per non moltiplicare i rischi.</w:t>
      </w:r>
      <w:r/>
    </w:p>
    <w:p>
      <w:pPr>
        <w:numPr>
          <w:ilvl w:val="0"/>
          <w:numId w:val="21"/>
        </w:numPr>
        <w:pBdr/>
        <w:spacing/>
        <w:ind/>
        <w:rPr/>
      </w:pPr>
      <w:r>
        <w:rPr>
          <w:b/>
          <w:bCs/>
        </w:rPr>
        <w:t xml:space="preserve">Interfaccia con i Vigili del Fuoco e soccorsi</w:t>
      </w:r>
      <w:r>
        <w:t xml:space="preserve">: Il Coordinatore Emergenze (p.es. Direttore Stabilimento) attende all’ingresso l’arrivo dei VVF o Ambulanza, fornendo dettagli: mappa dello stabilimento (che allegata al PEE è stata fornita ai VVF anche in fase preven</w:t>
      </w:r>
      <w:r>
        <w:t xml:space="preserve">tiva), tipologia di evento, eventuale presenza di gas chimici, localizzazione idranti e sostanze pericolose (queste info sono anche segnalate ai VVF nella documentazione di prevenzione incendi: ad es. quantità di ammoniaca, di oli, etc., e ubicazione). La </w:t>
      </w:r>
      <w:r>
        <w:rPr>
          <w:b/>
          <w:bCs/>
        </w:rPr>
        <w:t xml:space="preserve">scheda di intervento</w:t>
      </w:r>
      <w:r>
        <w:t xml:space="preserve"> predisposta (come da DM 10/03/98 e piano emergenza) viene consegnata ai socco</w:t>
      </w:r>
      <w:r>
        <w:t xml:space="preserve">rritori con tutte le info chiave: ingressi, attacchi VV.F., aree a rischio. Quindi i soccorsi esterni prendono il comando dell’intervento tecnico (spegnimento incendio, tamponamento fuga, soccorso feriti gravi) mentre la squadra interna coadiuva (fornendo </w:t>
      </w:r>
      <w:r>
        <w:t xml:space="preserve">corrente staccata se serve, manovre impianti, conoscenza dei luoghi) ma sempre sotto direzione VVF.</w:t>
      </w:r>
      <w:r/>
    </w:p>
    <w:p>
      <w:pPr>
        <w:numPr>
          <w:ilvl w:val="0"/>
          <w:numId w:val="21"/>
        </w:numPr>
        <w:pBdr/>
        <w:spacing/>
        <w:ind/>
        <w:rPr/>
      </w:pPr>
      <w:r>
        <w:rPr>
          <w:b/>
          <w:bCs/>
        </w:rPr>
        <w:t xml:space="preserve">Fine emergenza e ripristino</w:t>
      </w:r>
      <w:r>
        <w:t xml:space="preserve">: Quando l’emergenza è sotto controllo (incendio spento, fuga arrestata, ferito trasportato in ospedale), i VVF o il Coordinatore danno il segnale di </w:t>
      </w:r>
      <w:r>
        <w:rPr>
          <w:b/>
          <w:bCs/>
        </w:rPr>
        <w:t xml:space="preserve">cessato allarme</w:t>
      </w:r>
      <w:r>
        <w:t xml:space="preserve">. A quel </w:t>
      </w:r>
      <w:r>
        <w:t xml:space="preserve">punto, si procede a verificare le condizioni per il rientro: se le aree sono agibili e sicure. Il Coordinatore autorizza il rientro in stabilimento (o, se è fine turno o area compromessa, organizza il rientro a casa del personale). Il PEE prevede anche un’</w:t>
      </w:r>
      <w:r>
        <w:rPr>
          <w:b/>
          <w:bCs/>
        </w:rPr>
        <w:t xml:space="preserve">assistenza post-emergenza</w:t>
      </w:r>
      <w:r>
        <w:t xml:space="preserve">: ad esempio, se l’evento è traumatico (un grosso incendio), l’azienda offre supporto psicologico al personale, e comunque convoca una riunione per fare il debriefing.</w:t>
      </w:r>
      <w:r/>
    </w:p>
    <w:p>
      <w:pPr>
        <w:pStyle w:val="1012"/>
        <w:pBdr/>
        <w:spacing/>
        <w:ind/>
        <w:rPr/>
      </w:pPr>
      <w:r>
        <w:rPr>
          <w:b/>
          <w:bCs/>
        </w:rPr>
        <w:t xml:space="preserve">Misure preventive e preparatorie</w:t>
      </w:r>
      <w:r>
        <w:t xml:space="preserve">:</w:t>
      </w:r>
      <w:r/>
    </w:p>
    <w:p>
      <w:pPr>
        <w:numPr>
          <w:ilvl w:val="0"/>
          <w:numId w:val="22"/>
        </w:numPr>
        <w:pBdr/>
        <w:spacing/>
        <w:ind/>
        <w:rPr/>
      </w:pPr>
      <w:r>
        <w:rPr>
          <w:b/>
          <w:bCs/>
        </w:rPr>
        <w:t xml:space="preserve">Formazione ed esercitazioni</w:t>
      </w:r>
      <w:r>
        <w:t xml:space="preserve">: Tutto il personale è addestrato sulle procedure di emergenza. Oltre alla formazione teorica (cosa fare in caso di allarme, come usare un estintore di base per chi non è addetto specifico, etc.), Agrumigel conduce almeno una </w:t>
      </w:r>
      <w:r>
        <w:rPr>
          <w:b/>
          <w:bCs/>
        </w:rPr>
        <w:t xml:space="preserve">Prova di evacuazione</w:t>
      </w:r>
      <w:r>
        <w:t xml:space="preserve"> annuale, coinvolgendo tutti i presenti. Questa prova viene programmata (ma non annunciata esattamente, per simulare realismo) e poi registrata su apposito verbale con tempi di evacuazione, eventuali criticità ri</w:t>
      </w:r>
      <w:r>
        <w:t xml:space="preserve">scontrate (una porta difettosa? Qualcuno non ha sentito l’allarme? Confusione in punto raccolta?), su cui poi si agisce per migliorare. Spesso, per efficacia, l’azienda invita il Comando Vigili del Fuoco locale ad assistere o a partecipare alle prove (comp</w:t>
      </w:r>
      <w:r>
        <w:t xml:space="preserve">atibilmente con le loro risorse), specialmente per scenario fuga ammoniaca, così da testare anche quell’aspetto. I membri delle squadre di emergenza ricevono addestramento aggiuntivo, compresi corsi antincendio pratica su fuochi veri con estintori e naspi.</w:t>
      </w:r>
      <w:r/>
    </w:p>
    <w:p>
      <w:pPr>
        <w:numPr>
          <w:ilvl w:val="0"/>
          <w:numId w:val="22"/>
        </w:numPr>
        <w:pBdr/>
        <w:spacing/>
        <w:ind/>
        <w:rPr/>
      </w:pPr>
      <w:r>
        <w:rPr>
          <w:b/>
          <w:bCs/>
        </w:rPr>
        <w:t xml:space="preserve">Attrezzature di emergenza</w:t>
      </w:r>
      <w:r>
        <w:t xml:space="preserve">: Lo stabilimento è dotato di estintori portatili (polvere, CO₂ e qualche schiuma) in numero e posizionamento secondo progetto antincendio, revisione e collaudo come da legge; rete idranti interna alimentata </w:t>
      </w:r>
      <w:r>
        <w:t xml:space="preserve">da riserva idrica antincendio (es. serbatoio 100 m3 con elettropompe, con attacchi autopompa per VVF all’esterno); sistemi di rilevazione e allarme (</w:t>
      </w:r>
      <w:r>
        <w:rPr>
          <w:highlight w:val="none"/>
        </w:rPr>
        <w:t xml:space="preserve">rilevatori gas ammoniaca in sala compressori e quadri ottici-acus</w:t>
      </w:r>
      <w:r>
        <w:rPr>
          <w:highlight w:val="none"/>
        </w:rPr>
        <w:t xml:space="preserve">tici</w:t>
      </w:r>
      <w:r>
        <w:rPr>
          <w:highlight w:val="none"/>
        </w:rPr>
        <w:t xml:space="preserve">)</w:t>
      </w:r>
      <w:r>
        <w:t xml:space="preserve">; </w:t>
      </w:r>
      <w:r>
        <w:rPr>
          <w:highlight w:val="none"/>
        </w:rPr>
        <w:t xml:space="preserve">illuminazione di emergenza su tutte le vie di fuga</w:t>
      </w:r>
      <w:r>
        <w:t xml:space="preserve">. Inoltre presidi specifici: kit anti-sversamento (panne assorbenti, tappi di drenaggio) depositati vicino a zone di stoccaggio chimici; docce oculari e di emergenza in aree di manipolazione acidi; d</w:t>
      </w:r>
      <w:r>
        <w:t xml:space="preserve">ispositivi di protezione per emergenza (alcune</w:t>
      </w:r>
      <w:r>
        <w:rPr>
          <w:highlight w:val="none"/>
        </w:rPr>
        <w:t xml:space="preserve"> tute Tychem</w:t>
      </w:r>
      <w:r>
        <w:rPr>
          <w:highlight w:val="none"/>
        </w:rPr>
        <w:t xml:space="preserve"> e </w:t>
      </w:r>
      <w:r>
        <w:rPr>
          <w:highlight w:val="none"/>
        </w:rPr>
        <w:t xml:space="preserve">autorespiratori </w:t>
      </w:r>
      <w:r>
        <w:t xml:space="preserve">sono a disposizione per la squadra interna se dovessero fare un salvataggio in area contaminata prima dell’arrivo VVF, ma con linee guida molto rigide). Questi equipaggiamenti son</w:t>
      </w:r>
      <w:r>
        <w:t xml:space="preserve">o mantenuti in efficienza: controlli settimanali visivi (estintori non manomessi, idranti liberi, segnaletica ok) e manutenzioni periodiche (est</w:t>
      </w:r>
      <w:r>
        <w:rPr>
          <w:highlight w:val="none"/>
        </w:rPr>
        <w:t xml:space="preserve">intori ogni 6 mesi, idranti e gruppo pompe annuali, luci emergenza annuali,</w:t>
      </w:r>
      <w:r>
        <w:rPr>
          <w:highlight w:val="none"/>
        </w:rPr>
        <w:t xml:space="preserve"> rilevatori gas calibrati</w:t>
      </w:r>
      <w:r>
        <w:rPr>
          <w:highlight w:val="none"/>
        </w:rPr>
        <w:t xml:space="preserve">).</w:t>
      </w:r>
      <w:r/>
    </w:p>
    <w:p>
      <w:pPr>
        <w:numPr>
          <w:ilvl w:val="0"/>
          <w:numId w:val="22"/>
        </w:numPr>
        <w:pBdr/>
        <w:spacing/>
        <w:ind/>
        <w:rPr/>
      </w:pPr>
      <w:r>
        <w:rPr>
          <w:b/>
          <w:bCs/>
        </w:rPr>
        <w:t xml:space="preserve">Piano di Emergenza</w:t>
      </w:r>
      <w:r>
        <w:t xml:space="preserve">: Il PEE è un documento formale, aggiornato annualmente o comunque quando ci sono variazioni (es. nuovo reparto, cambio nome referenti</w:t>
      </w:r>
      <w:r>
        <w:t xml:space="preserve">). Copie del PEE e planimetrie di emergenza sono affisse in punti strategici (ingressi, corridoi uffici, bacheche) e consegnate ai capi reparto. I lavoratori ne conoscono i contenuti essenziali (posizione uscite, estintori, punto raccolta). Il PEE è stato </w:t>
      </w:r>
      <w:r>
        <w:t xml:space="preserve">trasmesso al Comando VVF come da normativa (essendo attività soggetta a CPI), e si collabora con i soccorsi pubblici: per es., i Vigili del Fuoco volontari locali hanno una mappa dello stabilimento e sanno che c’è ammoniaca e dove, grazie a incontri fatti.</w:t>
      </w:r>
      <w:r/>
    </w:p>
    <w:p>
      <w:pPr>
        <w:numPr>
          <w:ilvl w:val="0"/>
          <w:numId w:val="22"/>
        </w:numPr>
        <w:pBdr/>
        <w:spacing/>
        <w:ind/>
        <w:rPr/>
      </w:pPr>
      <w:r>
        <w:rPr>
          <w:b/>
          <w:bCs/>
        </w:rPr>
        <w:t xml:space="preserve">Emergenze multiple</w:t>
      </w:r>
      <w:r>
        <w:t xml:space="preserve">: Il piano considera anche la possibilità di emergenze concomitanti, ad esempio un terremoto che può causare incendi o fughe. In tal c</w:t>
      </w:r>
      <w:r>
        <w:t xml:space="preserve">aso si segue la priorità di messa in salvo vite umane (evacuazione immediata per terremoto, poi solo a seguito si gestiscono eventuali incendi scoppiati: i VVF sono preparati a scenario terremoto con incendi multipli). Lo scenario peggiore ipotizzato è la </w:t>
      </w:r>
      <w:r>
        <w:rPr>
          <w:b/>
          <w:bCs/>
        </w:rPr>
        <w:t xml:space="preserve">fuga di ammoniaca con vento verso zone abitate</w:t>
      </w:r>
      <w:r>
        <w:t xml:space="preserve">: in questo caso il piano prevede immediata chiamata ai VV.F. e Polizia per attivare procedure di allarme</w:t>
      </w:r>
      <w:r>
        <w:t xml:space="preserve"> pubblico (sirene, altoparlanti per far chiudere finestre ai residenti, ecc.), secondo protocolli di Piano Emergenza Esterno se applicabile (perché ammoniaca in certi quantitativi fa ricadere l’azienda in normativa Seveso soglia inferiore – da verificare).</w:t>
      </w:r>
      <w:r/>
    </w:p>
    <w:p>
      <w:pPr>
        <w:numPr>
          <w:ilvl w:val="0"/>
          <w:numId w:val="22"/>
        </w:numPr>
        <w:pBdr/>
        <w:spacing/>
        <w:ind/>
        <w:rPr/>
      </w:pPr>
      <w:r>
        <w:rPr>
          <w:b/>
          <w:bCs/>
        </w:rPr>
        <w:t xml:space="preserve">Dopo l’emergenza</w:t>
      </w:r>
      <w:r>
        <w:t xml:space="preserve">: Una volta risolta l’emergenza e ripristinata la sicurezza, l’azienda non riprende semplicemente le attività come nulla fosse: vengono fatte </w:t>
      </w:r>
      <w:r>
        <w:rPr>
          <w:b/>
          <w:bCs/>
        </w:rPr>
        <w:t xml:space="preserve">ispezioni approfondite</w:t>
      </w:r>
      <w:r>
        <w:t xml:space="preserve"> per accertare i danni (es. strutturali, impiantistici), mettere in sicurezza residui (es. raffreddare zone adiacenti all’incendio, vent</w:t>
      </w:r>
      <w:r>
        <w:t xml:space="preserve">ilare locali saturi di gas), raccogliere informazioni su cause. La produzione riparte solo dopo autorizzazione della Direzione di concerto con i VVF (se sono intervenuti, potrebbero sigillare area per indagini etc.). L’azienda collabora poi alle eventuali </w:t>
      </w:r>
      <w:r>
        <w:rPr>
          <w:b/>
          <w:bCs/>
        </w:rPr>
        <w:t xml:space="preserve">indagini</w:t>
      </w:r>
      <w:r>
        <w:t xml:space="preserve"> delle autorità (es. se c’è un incendio importante, i VVF e la Polizia </w:t>
      </w:r>
      <w:r>
        <w:t xml:space="preserve">fanno accertamenti su cause). Internamente, l’RSPP e la squadra analizzano l’evento per aggiornare il DVR e migliorare il piano (ad esempio, se in emergenza ci si accorge che un cancello era bloccato, quell’evento porta a correggere la cosa per il futuro).</w:t>
      </w:r>
      <w:r/>
    </w:p>
    <w:p>
      <w:pPr>
        <w:pStyle w:val="1012"/>
        <w:pBdr/>
        <w:spacing/>
        <w:ind/>
        <w:rPr/>
      </w:pPr>
      <w:r>
        <w:t xml:space="preserve">In conclusione, il motto per le emergenze è: </w:t>
      </w:r>
      <w:r>
        <w:rPr>
          <w:b/>
          <w:bCs/>
        </w:rPr>
        <w:t xml:space="preserve">“Sperare per il meglio, prepararsi per il peggio”</w:t>
      </w:r>
      <w:r>
        <w:t xml:space="preserve">. Agrumigel spera di non dover mai affrontare grossi incidenti, ma si prepara come se fossero possibili, perché in quei momenti la vita delle persone può dipendere da come abbiamo pianificato in anticipo. L’elevato grado di o</w:t>
      </w:r>
      <w:r>
        <w:t xml:space="preserve">rganizzazione e addestramento per le emergenze dà ai lavoratori anche un senso di sicurezza psicologica: sanno che se qualcosa va storto, c’è un piano e persone pronte ad aiutarli, il che riduce panico e improvvisazione. Finora le emergenze verificatesi so</w:t>
      </w:r>
      <w:r>
        <w:t xml:space="preserve">no state gestite con efficacia (ad esempio un principio di incendio su un motore elettrico, spento subito dagli addetti senza danni, proprio grazie alla preparazione). Questo rafforza la fiducia nel sistema e motiva a mantenerlo sempre aggiornato e attivo.</w:t>
      </w:r>
      <w:r/>
    </w:p>
    <w:p>
      <w:pPr>
        <w:pStyle w:val="999"/>
        <w:pBdr/>
        <w:spacing/>
        <w:ind/>
        <w:rPr/>
      </w:pPr>
      <w:r/>
      <w:bookmarkStart w:id="57" w:name="valutazione-delle-prestazioni"/>
      <w:r/>
      <w:bookmarkStart w:id="58" w:name="_Toc211351969"/>
      <w:r/>
      <w:bookmarkEnd w:id="55"/>
      <w:r/>
      <w:bookmarkEnd w:id="51"/>
      <w:r>
        <w:t xml:space="preserve">Valutazione delle prestazioni</w:t>
      </w:r>
      <w:bookmarkEnd w:id="58"/>
      <w:r/>
      <w:r/>
    </w:p>
    <w:p>
      <w:pPr>
        <w:pStyle w:val="1000"/>
        <w:pBdr/>
        <w:spacing/>
        <w:ind/>
        <w:rPr/>
      </w:pPr>
      <w:r/>
      <w:bookmarkStart w:id="59" w:name="X4408c70d87db2686743b9af6bc13b2c33facd69"/>
      <w:r/>
      <w:bookmarkStart w:id="60" w:name="_Toc211351970"/>
      <w:r>
        <w:t xml:space="preserve">Monitoraggio, misurazione, analisi e valutazione delle prestazioni</w:t>
      </w:r>
      <w:bookmarkEnd w:id="60"/>
      <w:r/>
      <w:r/>
    </w:p>
    <w:p>
      <w:pPr>
        <w:pStyle w:val="1012"/>
        <w:pBdr/>
        <w:spacing/>
        <w:ind/>
        <w:rPr/>
      </w:pPr>
      <w:r>
        <w:t xml:space="preserve">Per capire se il Sistema di Gestione SSL di Agrumigel è efficace e se gli obiettivi vengono raggiunti, è essenziale effettuare un costante </w:t>
      </w:r>
      <w:r>
        <w:rPr>
          <w:b/>
          <w:bCs/>
        </w:rPr>
        <w:t xml:space="preserve">monitoraggio e misurazione</w:t>
      </w:r>
      <w:r>
        <w:t xml:space="preserve"> delle prestazioni in materia di salute e sicurezza. L’azienda ha definito una serie di </w:t>
      </w:r>
      <w:r>
        <w:rPr>
          <w:b/>
          <w:bCs/>
        </w:rPr>
        <w:t xml:space="preserve">indicatori chiave</w:t>
      </w:r>
      <w:r>
        <w:t xml:space="preserve"> e implementato modalità di raccolta dati e analisi che permettono di valutare in modo oggettivo l’andamento della sicurezza e l’efficacia delle misure adottate.</w:t>
      </w:r>
      <w:r/>
    </w:p>
    <w:p>
      <w:pPr>
        <w:pStyle w:val="1011"/>
        <w:pBdr/>
        <w:spacing/>
        <w:ind/>
        <w:rPr/>
      </w:pPr>
      <w:r>
        <w:t xml:space="preserve">Le principali attività di monitoraggio e misurazione sono:</w:t>
      </w:r>
      <w:r/>
    </w:p>
    <w:p>
      <w:pPr>
        <w:numPr>
          <w:ilvl w:val="0"/>
          <w:numId w:val="23"/>
        </w:numPr>
        <w:pBdr/>
        <w:spacing/>
        <w:ind/>
        <w:rPr/>
      </w:pPr>
      <w:r>
        <w:rPr>
          <w:b/>
          <w:bCs/>
        </w:rPr>
        <w:t xml:space="preserve">Rilevazione degli infortuni e incidenti</w:t>
      </w:r>
      <w:r>
        <w:t xml:space="preserve">: Ogni infortunio sul lav</w:t>
      </w:r>
      <w:r>
        <w:t xml:space="preserve">oro, anche senza assenza o minore, viene registrato in dettaglio (data, ora, luogo, dinamica, lesioni riportate, causali immediate). I dati sugli infortuni con assenza vengono inviati a INAIL e tenuti in archivio interno. L’RSPP elabora periodicamente gli </w:t>
      </w:r>
      <w:r>
        <w:rPr>
          <w:b/>
          <w:bCs/>
        </w:rPr>
        <w:t xml:space="preserve">indici infortunistici</w:t>
      </w:r>
      <w:r>
        <w:t xml:space="preserve">: indice di frequenza (n. infortuni per 1E6 ore lavorate) e indice di gravità (giornate perse per 1E3 ore lavorate) su base mensile e annuale, con confronti rispetto agli anni precedenti e ai benchmar</w:t>
      </w:r>
      <w:r>
        <w:t xml:space="preserve">k di settore se disponibili. Questi indici permettono di vedere trend (in calo? in aumento?) e di confrontarci con standard (ad esempio, se IF aziendale è 10 e la media settore è 15, siamo meglio; se è 20, peggiori, e dobbiamo indagare il perché). Anche i </w:t>
      </w:r>
      <w:r>
        <w:rPr>
          <w:b/>
          <w:bCs/>
        </w:rPr>
        <w:t xml:space="preserve">near miss</w:t>
      </w:r>
      <w:r>
        <w:t xml:space="preserve"> e gli </w:t>
      </w:r>
      <w:r>
        <w:rPr>
          <w:b/>
          <w:bCs/>
        </w:rPr>
        <w:t xml:space="preserve">incidenti senza danni</w:t>
      </w:r>
      <w:r>
        <w:t xml:space="preserve"> vengono tracciati (esiste un modulo di seg</w:t>
      </w:r>
      <w:r>
        <w:t xml:space="preserve">nalazione quasi infortunio): il RSPP li cataloga per tipologia (mancato investimento, crollo mancato, ecc.) e li analizza per individuare potenziali “campanelli d’allarme”. Un aumento di near miss in un’area è affrontato prima che diventi infortunio reale.</w:t>
      </w:r>
      <w:r/>
    </w:p>
    <w:p>
      <w:pPr>
        <w:numPr>
          <w:ilvl w:val="0"/>
          <w:numId w:val="23"/>
        </w:numPr>
        <w:pBdr/>
        <w:spacing/>
        <w:ind/>
        <w:rPr/>
      </w:pPr>
      <w:r>
        <w:rPr>
          <w:b/>
          <w:bCs/>
        </w:rPr>
        <w:t xml:space="preserve">Monitoraggi ambientali e di esposizione dei lavoratori</w:t>
      </w:r>
      <w:r>
        <w:t xml:space="preserve">: In attuazione del DVR e della normativa, l’azienda effettua misurazioni strumentali a intervalli regolari o quando mutate condizioni. Ad esempio: </w:t>
      </w:r>
      <w:r>
        <w:rPr>
          <w:b/>
          <w:bCs/>
        </w:rPr>
        <w:t xml:space="preserve">rilevazioni di rumore</w:t>
      </w:r>
      <w:r>
        <w:t xml:space="preserve"> con fonometro in reparti rumorosi (ogni 3 anni come regola o se cambiano macchine) per verificare i livelli di esposizione personale (Lex,8h) e l’efficacia di misure di riduzione. </w:t>
      </w:r>
      <w:r>
        <w:rPr>
          <w:b/>
          <w:bCs/>
        </w:rPr>
        <w:t xml:space="preserve">Misurazioni di vibrazioni</w:t>
      </w:r>
      <w:r>
        <w:t xml:space="preserve"> corpo intero su carrelli e mano-braccio su utensili quando introdotti nuovi mezzi. </w:t>
      </w:r>
      <w:r>
        <w:rPr>
          <w:b/>
          <w:bCs/>
        </w:rPr>
        <w:t xml:space="preserve">Campionamenti di agenti chimici in aria</w:t>
      </w:r>
      <w:r>
        <w:t xml:space="preserve"> se vi sono esposizioni potenziali (es. vapo</w:t>
      </w:r>
      <w:r>
        <w:t xml:space="preserve">ri di ammoniaca in sala compressori – c’è un rilevatore fisso che logga i valori, comunque soglia di TLV raramente raggiunta; vapori di perossido di idrogeno nel CIP – misurazione sporadica durante sanificazione per vedere se vapori restano sotto limite). </w:t>
      </w:r>
      <w:r>
        <w:rPr>
          <w:b/>
          <w:bCs/>
        </w:rPr>
        <w:t xml:space="preserve">Misure microclimatiche</w:t>
      </w:r>
      <w:r>
        <w:t xml:space="preserve"> (WBGT per stress da caldo in estate in reparti forni) anch’esse con cadenza (es. in luglio rilevazioni in vari momenti per valutare se le misure anti-caldo sono sufficienti). </w:t>
      </w:r>
      <w:r>
        <w:rPr>
          <w:b/>
          <w:bCs/>
        </w:rPr>
        <w:t xml:space="preserve">Illuminamento</w:t>
      </w:r>
      <w:r>
        <w:t xml:space="preserve">: misurato in aree di lavoro per controllare che resti adeguato, specie dopo anni (pulizia lampade, sostituzioni se calato). Questi dati vengono confrontati con i</w:t>
      </w:r>
      <w:r>
        <w:t xml:space="preserve"> limiti normativi o di letteratura: se eccedenti, si pianifica azione correttiva (es. migliorare aspirazione, ridurre ore esposizione, ecc.). Tutti i risultati sono conservati (rapporti di laboratorio, relazioni tecniche) e sintetizzati nel DVR o allegati.</w:t>
      </w:r>
      <w:r/>
    </w:p>
    <w:p>
      <w:pPr>
        <w:numPr>
          <w:ilvl w:val="0"/>
          <w:numId w:val="23"/>
        </w:numPr>
        <w:pBdr/>
        <w:spacing/>
        <w:ind/>
        <w:rPr/>
      </w:pPr>
      <w:r>
        <w:rPr>
          <w:b/>
          <w:bCs/>
        </w:rPr>
        <w:t xml:space="preserve">Sorveglianza sanitaria e indicatori di salute</w:t>
      </w:r>
      <w:r>
        <w:t xml:space="preserve">: Il Medico Competente esegue gli accertamenti sanitari periodici e fornisce un </w:t>
      </w:r>
      <w:r>
        <w:rPr>
          <w:b/>
          <w:bCs/>
        </w:rPr>
        <w:t xml:space="preserve">rapporto sanitario aggregato</w:t>
      </w:r>
      <w:r>
        <w:t xml:space="preserve"> annuale. Da questo emergono indicatori come: percentuale di lavoratori giudicati idonei, idonei con prescrizioni, non idonei; incidenza di sintomi o patologie correlate al lavoro (es. quanti con ipoacusia incipiente per rumore, quanti con pr</w:t>
      </w:r>
      <w:r>
        <w:t xml:space="preserve">oblemi dorso-lombari); dati biometrici generali (BMI medio, etc se comunicato in forma anonima). Il MC può segnalare trend (es: “quest’anno ho riscontrato in 3 operai segni di irritazione cutanea alle mani, forse correlata all’uso di detergenti, raccomando</w:t>
      </w:r>
      <w:r>
        <w:t xml:space="preserve"> di rivedere DPI”). Questi input sono considerati indicatori delle condizioni di salute e dell’efficacia delle misure preventive. Ad esempio, un costante peggioramento dell’udito in certe mansioni allerta che il programma di protezione udito va rafforzato.</w:t>
      </w:r>
      <w:r/>
    </w:p>
    <w:p>
      <w:pPr>
        <w:numPr>
          <w:ilvl w:val="0"/>
          <w:numId w:val="23"/>
        </w:numPr>
        <w:pBdr/>
        <w:spacing/>
        <w:ind/>
        <w:rPr/>
      </w:pPr>
      <w:r>
        <w:rPr>
          <w:b/>
          <w:bCs/>
        </w:rPr>
        <w:t xml:space="preserve">Ispezioni e audit interni</w:t>
      </w:r>
      <w:r>
        <w:t xml:space="preserve">: Oltre ai monitoraggi numerici, i </w:t>
      </w:r>
      <w:r>
        <w:rPr>
          <w:b/>
          <w:bCs/>
        </w:rPr>
        <w:t xml:space="preserve">sopralluoghi di sicurezza</w:t>
      </w:r>
      <w:r>
        <w:t xml:space="preserve"> forniscono indicatori qualitativi. Il RSPP compila check-list durante le ispezioni (che coprono vari aspetti: DPI indossati, vie di fuga libere, condizioni attrezzature, co</w:t>
      </w:r>
      <w:r>
        <w:t xml:space="preserve">mportamento, ecc.). Il punteggio o gli esiti di queste check-list danno un’indicazione della conformità operativa: se trovo molte non conformità minori in un reparto, quell’indice di “housekeeping” è un segnale da migliorare. Viene calcolato ad esempio un </w:t>
      </w:r>
      <w:r>
        <w:rPr>
          <w:b/>
          <w:bCs/>
        </w:rPr>
        <w:t xml:space="preserve">indice di sicurezza reparto</w:t>
      </w:r>
      <w:r>
        <w:t xml:space="preserve"> (numero di rilievi / n. di voci controllate) per ciascun reparto ogni mese. Il management può così identificare reparti con performance basse e focalizzarsi su di essi. Gli </w:t>
      </w:r>
      <w:r>
        <w:rPr>
          <w:b/>
          <w:bCs/>
        </w:rPr>
        <w:t xml:space="preserve">audit interni</w:t>
      </w:r>
      <w:r>
        <w:t xml:space="preserve"> più formali (secondo ISO 450</w:t>
      </w:r>
      <w:r>
        <w:t xml:space="preserve">01) generano anch’essi output: n. di NC riscontrate, n. di osservazioni, n. di azioni miglioramento proposte. Questi valori di anno in anno dovrebbero calare se il sistema migliora – e infatti uno degli obiettivi è ridurre le NC (v. obiettivi sezione 6.2).</w:t>
      </w:r>
      <w:r/>
    </w:p>
    <w:p>
      <w:pPr>
        <w:numPr>
          <w:ilvl w:val="0"/>
          <w:numId w:val="23"/>
        </w:numPr>
        <w:pBdr/>
        <w:spacing/>
        <w:ind/>
        <w:rPr/>
      </w:pPr>
      <w:r>
        <w:rPr>
          <w:b/>
          <w:bCs/>
        </w:rPr>
        <w:t xml:space="preserve">Indicatori di attività di prevenzione</w:t>
      </w:r>
      <w:r>
        <w:t xml:space="preserve">: Agrumigel misura non solo i risultati (infortuni, ecc.) ma anche gli sforzi: ad esempio, </w:t>
      </w:r>
      <w:r>
        <w:rPr>
          <w:b/>
          <w:bCs/>
        </w:rPr>
        <w:t xml:space="preserve">ore di formazione effettuate</w:t>
      </w:r>
      <w:r>
        <w:t xml:space="preserve"> vs pianificate, </w:t>
      </w:r>
      <w:r>
        <w:rPr>
          <w:b/>
          <w:bCs/>
        </w:rPr>
        <w:t xml:space="preserve">% di personale formato</w:t>
      </w:r>
      <w:r>
        <w:t xml:space="preserve">; </w:t>
      </w:r>
      <w:r>
        <w:rPr>
          <w:b/>
          <w:bCs/>
        </w:rPr>
        <w:t xml:space="preserve">numero di riunioni di safety</w:t>
      </w:r>
      <w:r>
        <w:t xml:space="preserve"> effettuate; </w:t>
      </w:r>
      <w:r>
        <w:rPr>
          <w:b/>
          <w:bCs/>
        </w:rPr>
        <w:t xml:space="preserve">tasso di attuazione delle azioni correttive</w:t>
      </w:r>
      <w:r>
        <w:t xml:space="preserve"> entro la scadenza; </w:t>
      </w:r>
      <w:r>
        <w:rPr>
          <w:b/>
          <w:bCs/>
        </w:rPr>
        <w:t xml:space="preserve">frequenza delle manutenzioni preventive eseguite</w:t>
      </w:r>
      <w:r>
        <w:t xml:space="preserve"> su quelle programmate (compliance manutenzione). Un alto tasso di completamento di questi input è correlato a buone performance future. Quindi nel Riesame si guardano tali indicatori: es. “il 95% della formazione pianificata per l</w:t>
      </w:r>
      <w:r>
        <w:t xml:space="preserve">’anno è stata erogata; tutte le 10 azioni correttive dall’audit sono state chiuse; abbiamo eseguito 11 delle 12 ispezioni mensili previste (una saltata per ferie)”. Se questi input scendono, è un segnale di allerta (sistema in rallentamento) e va corretto.</w:t>
      </w:r>
      <w:r/>
    </w:p>
    <w:p>
      <w:pPr>
        <w:numPr>
          <w:ilvl w:val="0"/>
          <w:numId w:val="23"/>
        </w:numPr>
        <w:pBdr/>
        <w:spacing/>
        <w:ind/>
        <w:rPr/>
      </w:pPr>
      <w:r>
        <w:rPr>
          <w:b/>
          <w:bCs/>
        </w:rPr>
        <w:t xml:space="preserve">Indicatori di soddisfazione e percezione</w:t>
      </w:r>
      <w:r>
        <w:rPr>
          <w:highlight w:val="none"/>
        </w:rPr>
        <w:t xml:space="preserve">:</w:t>
      </w:r>
      <w:r>
        <w:rPr>
          <w:highlight w:val="none"/>
        </w:rPr>
        <w:t xml:space="preserve"> In ottica SMETA-4P e coinvolgimento, l’az</w:t>
      </w:r>
      <w:r>
        <w:rPr>
          <w:highlight w:val="none"/>
        </w:rPr>
        <w:t xml:space="preserve">ienda talvolta misura anche la percezione dei lavoratori sulla sicurezza.</w:t>
      </w:r>
      <w:r>
        <w:rPr>
          <w:highlight w:val="none"/>
        </w:rPr>
        <w:t xml:space="preserve"> P</w:t>
      </w:r>
      <w:r>
        <w:t xml:space="preserve">uò avvenire tramite questionari anonimi (domande: “ti senti adeguatamente formato?”, “la dirigenza dimostra interesse per la sicurezza?”, “valuta da 1 a 5 il livello di sicurezza ne</w:t>
      </w:r>
      <w:r>
        <w:t xml:space="preserve">l tuo reparto”). Tali survey, fatte ad esempio annualmente, forniscono indicatori qualitativi: es. punteggio medio di percezione sicurezza 4.2 su 5, in miglioramento rispetto al 4.0 precedente, oppure evidenziano aree di malcontento (se punteggio basso su </w:t>
      </w:r>
      <w:r>
        <w:t xml:space="preserve">“segnalazioni vengono ascoltate”, allora bisogna lavorarci). Anche il numero di segnalazioni e suggerimenti pervenuti (già obiettivo) è di per sé un indicatore di cultura (più segnalano, più c’è consapevolezza).</w:t>
      </w:r>
      <w:r/>
    </w:p>
    <w:p>
      <w:pPr>
        <w:numPr>
          <w:ilvl w:val="0"/>
          <w:numId w:val="23"/>
        </w:numPr>
        <w:pBdr/>
        <w:spacing/>
        <w:ind/>
        <w:rPr/>
      </w:pPr>
      <w:r>
        <w:rPr>
          <w:b/>
          <w:bCs/>
        </w:rPr>
        <w:t xml:space="preserve">Indicatori di audit esterni e conformità legale</w:t>
      </w:r>
      <w:r>
        <w:t xml:space="preserve">: Se l’azienda subisce audit di seconda parte (clienti) o visite enti, l’esito è un metro: es. nume</w:t>
      </w:r>
      <w:r>
        <w:t xml:space="preserve">ro di non conformità rilevate dall’auditor BRC in area safety o note di miglioramento, oppure esito di eventuali ispezioni (un verbale con prescrizioni è un segnale di performance insufficiente nel punto ispezionato). L’RSPP e la Direzione considerano anch</w:t>
      </w:r>
      <w:r>
        <w:t xml:space="preserve">e questi feedback come performance: l’ideale è zero prescrizioni dagli enti (indicatore binario di conformità totale). In 2025 c’è stata una prescrizione INL su documento mancante (ora ottemperata), segno che quell’aspetto va sorvegliato per non ripeterlo.</w:t>
      </w:r>
      <w:r/>
    </w:p>
    <w:p>
      <w:pPr>
        <w:pStyle w:val="1012"/>
        <w:pBdr/>
        <w:spacing/>
        <w:ind/>
        <w:rPr/>
      </w:pPr>
      <w:r>
        <w:t xml:space="preserve">Tutti questi dati vengono </w:t>
      </w:r>
      <w:r>
        <w:rPr>
          <w:b/>
          <w:bCs/>
        </w:rPr>
        <w:t xml:space="preserve">raccolti sistematicamente</w:t>
      </w:r>
      <w:r>
        <w:t xml:space="preserve">. Il RSPP, coadiuvato dal Team Qualità per l’elaborazione statistica, prepara un </w:t>
      </w:r>
      <w:r>
        <w:rPr>
          <w:b/>
          <w:bCs/>
        </w:rPr>
        <w:t xml:space="preserve">report periodico</w:t>
      </w:r>
      <w:r>
        <w:t xml:space="preserve"> (solitamente mensile sintetico e un consolidato annuale) contenente: grafici infortuni (cumulati vs anni prece</w:t>
      </w:r>
      <w:r>
        <w:t xml:space="preserve">denti), tabelle con indicatori chiave (IF, IG, ore formazione, check-list compliance, ecc.), stato obiettivi con semafori (verde se ok, giallo se borderline, rosso se fuori target). Questo report è discusso nella riunione periodica e presentato in Riesame.</w:t>
      </w:r>
      <w:r/>
    </w:p>
    <w:p>
      <w:pPr>
        <w:pStyle w:val="1011"/>
        <w:pBdr/>
        <w:spacing/>
        <w:ind/>
        <w:rPr/>
      </w:pPr>
      <w:r>
        <w:t xml:space="preserve">L’azienda non si limita a raccogliere i dati, ma li </w:t>
      </w:r>
      <w:r>
        <w:rPr>
          <w:b/>
          <w:bCs/>
        </w:rPr>
        <w:t xml:space="preserve">analizza</w:t>
      </w:r>
      <w:r>
        <w:t xml:space="preserve"> per individuare tendenze e cause: l’andamento trimestrale mostra un picco di quasi-incidenti in estate? Forse dovuto a personale stagionale meno esperto – si decide di potenziare formazione per stagionali. Oppure, tre infortuni minor</w:t>
      </w:r>
      <w:r>
        <w:t xml:space="preserve">i sono avvenuti tutti nel turno di notte – si analizzano le circostanze, può indicare stanchezza o minor supervisione la notte: si propone di mettere un preposto notturno dedicato o di ridurre i carichi notturni. Un’analisi molto importante è quella delle </w:t>
      </w:r>
      <w:r>
        <w:rPr>
          <w:b/>
          <w:bCs/>
        </w:rPr>
        <w:t xml:space="preserve">cause radice</w:t>
      </w:r>
      <w:r>
        <w:t xml:space="preserve"> di incidenti e near miss: al di là del “errore umano” immediato, si cerca di vedere se c’è un problema di sistema (fo</w:t>
      </w:r>
      <w:r>
        <w:t xml:space="preserve">rmazione insufficiente? Procedura mancante? Macchina difettosa?). Ogni infortunio medio-grave viene analizzato con metodi come il diagramma di Ishikawa o i 5-Why e se emergono cause sistemiche le si risolve (questo rientra in azioni correttive del cap.10).</w:t>
      </w:r>
      <w:r/>
    </w:p>
    <w:p>
      <w:pPr>
        <w:pStyle w:val="1011"/>
        <w:pBdr/>
        <w:spacing/>
        <w:ind/>
        <w:rPr/>
      </w:pPr>
      <w:r>
        <w:t xml:space="preserve">I dati di performance vengono poi </w:t>
      </w:r>
      <w:r>
        <w:rPr>
          <w:b/>
          <w:bCs/>
        </w:rPr>
        <w:t xml:space="preserve">valutati</w:t>
      </w:r>
      <w:r>
        <w:t xml:space="preserve"> in sede di Riesame della Direzione (cap. 9.3): lì si confronta il raggiungimento degli obiettivi, si decidono eve</w:t>
      </w:r>
      <w:r>
        <w:t xml:space="preserve">ntuali nuovi target, e si valuta se il SGSSL rimane adeguato. Ad esempio, se nonostante tutte le azioni un certo tipo di infortunio rimane alto, la Direzione potrebbe valutare decisioni drastiche (cambiare fornitore di DPI, investire in automazione, etc.).</w:t>
      </w:r>
      <w:r/>
    </w:p>
    <w:p>
      <w:pPr>
        <w:pStyle w:val="1011"/>
        <w:pBdr/>
        <w:spacing/>
        <w:ind/>
        <w:rPr/>
      </w:pPr>
      <w:r>
        <w:t xml:space="preserve">In conclusione, Agrumigel adotta un approccio rigoroso basato su dati per la gestione della sicurezza: </w:t>
      </w:r>
      <w:r>
        <w:rPr>
          <w:b/>
          <w:bCs/>
        </w:rPr>
        <w:t xml:space="preserve">“ciò che viene misurato, viene gestito”</w:t>
      </w:r>
      <w:r>
        <w:t xml:space="preserve">. Questa cultura del monitoraggio permette di avere evidenze oggettive dei progressi (o regressi) e di prendere decisioni informate. Significa anche poter dimostrare, sia internam</w:t>
      </w:r>
      <w:r>
        <w:t xml:space="preserve">ente che esternamente, i risultati del sistema: ad es., poter dire a un cliente o a un ente certificatore “abbiamo ridotto gli infortuni del 50% in 3 anni, ecco i dati” conferisce credibilità. Naturalmente l’attenzione è rivolta non solo ai numeri ma alle </w:t>
      </w:r>
      <w:r>
        <w:t xml:space="preserve">persone dietro i numeri: l’obiettivo finale è che i dipendenti stiano bene e lavorino in sicurezza, gli indicatori sono solo uno strumento per raggiungere questo fine.</w:t>
      </w:r>
      <w:r/>
    </w:p>
    <w:p>
      <w:pPr>
        <w:pStyle w:val="1001"/>
        <w:pBdr/>
        <w:spacing/>
        <w:ind/>
        <w:rPr/>
      </w:pPr>
      <w:r/>
      <w:bookmarkStart w:id="61" w:name="X442d79996e0e604fd933a95bcbe47487c4135c6"/>
      <w:r/>
      <w:bookmarkStart w:id="62" w:name="_Toc211351971"/>
      <w:r/>
      <w:bookmarkEnd w:id="59"/>
      <w:r>
        <w:t xml:space="preserve">Valutazione del rispetto degli obblighi di conformità</w:t>
      </w:r>
      <w:bookmarkEnd w:id="62"/>
      <w:r/>
      <w:r/>
    </w:p>
    <w:p>
      <w:pPr>
        <w:pStyle w:val="1012"/>
        <w:pBdr/>
        <w:spacing/>
        <w:ind/>
        <w:rPr/>
      </w:pPr>
      <w:r>
        <w:t xml:space="preserve">Agrumigel attua un processo sistematico per </w:t>
      </w:r>
      <w:r>
        <w:rPr>
          <w:b/>
          <w:bCs/>
        </w:rPr>
        <w:t xml:space="preserve">valutare periodicamente la conformità</w:t>
      </w:r>
      <w:r>
        <w:t xml:space="preserve"> sia alle leggi applicabili in materia d</w:t>
      </w:r>
      <w:r>
        <w:t xml:space="preserve">i SSL sia agli altri requisiti sottoscritti (politiche interne, standard volontari, richieste contrattuali). Questo garantisce che l’azienda non solo implementi misure, ma verifichi che siano effettivamente in linea con quanto richiesto da norme e impegni.</w:t>
      </w:r>
      <w:r/>
    </w:p>
    <w:p>
      <w:pPr>
        <w:pStyle w:val="1011"/>
        <w:pBdr/>
        <w:spacing/>
        <w:ind/>
        <w:rPr/>
      </w:pPr>
      <w:r>
        <w:t xml:space="preserve">Le modalità principali di valutazione della conformità includono:</w:t>
      </w:r>
      <w:r/>
    </w:p>
    <w:p>
      <w:pPr>
        <w:pStyle w:val="1013"/>
        <w:numPr>
          <w:ilvl w:val="0"/>
          <w:numId w:val="24"/>
        </w:numPr>
        <w:pBdr/>
        <w:spacing/>
        <w:ind/>
        <w:rPr/>
      </w:pPr>
      <w:r>
        <w:rPr>
          <w:b/>
          <w:bCs/>
        </w:rPr>
        <w:t xml:space="preserve">Verifiche periodiche di conformità normativa</w:t>
      </w:r>
      <w:r>
        <w:t xml:space="preserve">: Almeno una volta all’anno (spesso in preparazione del Riesame) il RSPP, con eventuale supporto di un consulente legale esterno, compie una </w:t>
      </w:r>
      <w:r>
        <w:rPr>
          <w:b/>
          <w:bCs/>
        </w:rPr>
        <w:t xml:space="preserve">checklist di conformità</w:t>
      </w:r>
      <w:r>
        <w:t xml:space="preserve"> verso tutti gli obblighi di legge rilevanti. Si verifica ad esempio:</w:t>
      </w:r>
      <w:r/>
    </w:p>
    <w:p>
      <w:pPr>
        <w:pStyle w:val="1013"/>
        <w:numPr>
          <w:ilvl w:val="0"/>
          <w:numId w:val="24"/>
        </w:numPr>
        <w:pBdr/>
        <w:spacing/>
        <w:ind/>
        <w:rPr/>
      </w:pPr>
      <w:r>
        <w:t xml:space="preserve">Se tutti i documenti obbligatori sono aggiornati: DVR aggiornato e firmato, Piano di Emergenza aggiornato e comunicato a tutti, registro agenti cancerogeni (non abbiamo, quindi NA), documento rumore e vibrazioni aggiornati, ecc.</w:t>
      </w:r>
      <w:r/>
    </w:p>
    <w:p>
      <w:pPr>
        <w:pStyle w:val="1013"/>
        <w:numPr>
          <w:ilvl w:val="0"/>
          <w:numId w:val="24"/>
        </w:numPr>
        <w:pBdr/>
        <w:spacing/>
        <w:ind/>
        <w:rPr/>
      </w:pPr>
      <w:r>
        <w:t xml:space="preserve">Se tutte le </w:t>
      </w:r>
      <w:r>
        <w:rPr>
          <w:b/>
          <w:bCs/>
        </w:rPr>
        <w:t xml:space="preserve">nomine e designazioni</w:t>
      </w:r>
      <w:r>
        <w:t xml:space="preserve"> previste sono in ordine: RSPP nominato e con requisiti validi; MC nominato con comunicazione ASL; addetti emergenze designati formalmente; RLS eletto e formato; eventuale coordinatore incaricato per lavori edili se fatti; ecc.</w:t>
      </w:r>
      <w:r/>
    </w:p>
    <w:p>
      <w:pPr>
        <w:pStyle w:val="1013"/>
        <w:numPr>
          <w:ilvl w:val="0"/>
          <w:numId w:val="24"/>
        </w:numPr>
        <w:pBdr/>
        <w:spacing/>
        <w:ind/>
        <w:rPr/>
      </w:pPr>
      <w:r>
        <w:t xml:space="preserve">Se tutti i </w:t>
      </w:r>
      <w:r>
        <w:rPr>
          <w:b/>
          <w:bCs/>
        </w:rPr>
        <w:t xml:space="preserve">controlli obbligatori</w:t>
      </w:r>
      <w:r>
        <w:t xml:space="preserve"> sono stati eseguiti nei tempi: es. verifiche impianto messa terra (ogni 2 o 5 anni a seconda di ambienti), ultima fatta in data X – ok, prossima entro Y; verifiche periodiche attrezzature (gru, generatori vapore, ascensori) – </w:t>
      </w:r>
      <w:r>
        <w:t xml:space="preserve">controllare scadenze e esito (se c’è prescrizione aperta, va chiusa); controlli sanitari (nessun lavoratore con visita scaduta oltre termine – check scadenze idoneità e richiami vaccinali); esercitazioni antincendio fatte secondo cadenza di piano (1/anno).</w:t>
      </w:r>
      <w:r/>
    </w:p>
    <w:p>
      <w:pPr>
        <w:pStyle w:val="1013"/>
        <w:numPr>
          <w:ilvl w:val="0"/>
          <w:numId w:val="24"/>
        </w:numPr>
        <w:pBdr/>
        <w:spacing/>
        <w:ind/>
        <w:rPr/>
      </w:pPr>
      <w:r>
        <w:rPr>
          <w:b/>
          <w:bCs/>
        </w:rPr>
        <w:t xml:space="preserve">Sorveglianza e misure speciali</w:t>
      </w:r>
      <w:r>
        <w:t xml:space="preserve">: ad esempio controllare se sono state effettuate misurazioni di emissioni in atmosfera e convogliate (questo più ambientale, ma se AUA lo richiede, incrociamo con sicurezza su emissioni rilevanti).</w:t>
      </w:r>
      <w:r/>
    </w:p>
    <w:p>
      <w:pPr>
        <w:pStyle w:val="1013"/>
        <w:numPr>
          <w:ilvl w:val="0"/>
          <w:numId w:val="24"/>
        </w:numPr>
        <w:pBdr/>
        <w:spacing/>
        <w:ind/>
        <w:rPr/>
      </w:pPr>
      <w:r>
        <w:rPr>
          <w:b/>
          <w:bCs/>
        </w:rPr>
        <w:t xml:space="preserve">Cartellonistica e informazione</w:t>
      </w:r>
      <w:r>
        <w:t xml:space="preserve">: verifichiamo che obblighi come cartello con nome RLS, medici competenti ecc. in bacheca sia affisso; che la segnaletica di sicurezza sia conforme (pittogrammi a norma, posizionamento).</w:t>
      </w:r>
      <w:r/>
    </w:p>
    <w:p>
      <w:pPr>
        <w:pStyle w:val="1013"/>
        <w:numPr>
          <w:ilvl w:val="0"/>
          <w:numId w:val="24"/>
        </w:numPr>
        <w:pBdr/>
        <w:spacing/>
        <w:ind/>
        <w:rPr/>
      </w:pPr>
      <w:r>
        <w:rPr>
          <w:b/>
          <w:bCs/>
        </w:rPr>
        <w:t xml:space="preserve">Rispetto normative Covid-19</w:t>
      </w:r>
      <w:r>
        <w:t xml:space="preserve"> (quando rilevanti): in passato c’erano protocolli, DPI; ora se normative allentate, nulla, ma se tornano misure, vanno rispettate. Questo per dire che la checklist è aggiornata agli ultimi sviluppi normativi.</w:t>
      </w:r>
      <w:r/>
    </w:p>
    <w:p>
      <w:pPr>
        <w:pStyle w:val="1013"/>
        <w:numPr>
          <w:ilvl w:val="0"/>
          <w:numId w:val="24"/>
        </w:numPr>
        <w:pBdr/>
        <w:spacing/>
        <w:ind/>
        <w:rPr/>
      </w:pPr>
      <w:r>
        <w:rPr>
          <w:b/>
          <w:bCs/>
        </w:rPr>
        <w:t xml:space="preserve">Disposizioni di legge specifiche</w:t>
      </w:r>
      <w:r>
        <w:t xml:space="preserve">: ad esempio, se azienda rientra in Seveso per ammoniaca, controllare adempimenti (notifica, PEE esterno se previsto, informazione alla popolazione). Se soggetta a CPI, controllare se CPI è valido e se scadenze rinnovo rispettate.</w:t>
      </w:r>
      <w:r/>
    </w:p>
    <w:p>
      <w:pPr>
        <w:pStyle w:val="1012"/>
        <w:pBdr/>
        <w:spacing/>
        <w:ind/>
        <w:rPr/>
      </w:pPr>
      <w:r>
        <w:t xml:space="preserve">I risultati di questa verifica di conformità sono documentati. Se qualcosa non è conforme, è classificata come </w:t>
      </w:r>
      <w:r>
        <w:rPr>
          <w:b/>
          <w:bCs/>
        </w:rPr>
        <w:t xml:space="preserve">non conformità legale</w:t>
      </w:r>
      <w:r>
        <w:t xml:space="preserve"> di priorità massima – e immediatamente viene avviata azione correttiva. Ad esempio, se ci accorgiamo che è scaduto l’addestramento del carrellista X, immediatamente contattiamo ent</w:t>
      </w:r>
      <w:r>
        <w:t xml:space="preserve">e formativo e fissiamo il corso; nel frattempo, se ritenuto opportuno per sicurezza legale, impediamo a X di usare il muletto finché non riaggiornato (per eccesso di zelo, sebbene infortuni eventuali sarebbero coperti comunque ma preferiamo non rischiare).</w:t>
      </w:r>
      <w:r/>
    </w:p>
    <w:p>
      <w:pPr>
        <w:numPr>
          <w:ilvl w:val="0"/>
          <w:numId w:val="25"/>
        </w:numPr>
        <w:pBdr/>
        <w:spacing/>
        <w:ind/>
        <w:rPr/>
      </w:pPr>
      <w:r>
        <w:rPr>
          <w:b/>
          <w:bCs/>
        </w:rPr>
        <w:t xml:space="preserve">Audit interni di conformità</w:t>
      </w:r>
      <w:r>
        <w:t xml:space="preserve">: Gli audit interni (cap. 9.2) includono sempre una parte di verifica conformità legale. Ad esempio l’auditor interno chiederà: “fammi vedere l’ultima verifica periodica delle scaffalature?” – e controlla se è stata fa</w:t>
      </w:r>
      <w:r>
        <w:t xml:space="preserve">tta e a posto; “mostrami alcuni DPI e relative certificazioni CE”; “ci sono lavoratori minorenni? se sì vediamo se sono rispettate limitazioni” (in realtà Agrumigel non impiega minorenni, ma è un esempio). Quindi l’audit è un doppio check sulla conformità.</w:t>
      </w:r>
      <w:r/>
    </w:p>
    <w:p>
      <w:pPr>
        <w:numPr>
          <w:ilvl w:val="0"/>
          <w:numId w:val="25"/>
        </w:numPr>
        <w:pBdr/>
        <w:spacing/>
        <w:ind/>
        <w:rPr/>
      </w:pPr>
      <w:r>
        <w:rPr>
          <w:b/>
          <w:bCs/>
        </w:rPr>
        <w:t xml:space="preserve">Monitoraggio delle prescrizioni e sanzioni</w:t>
      </w:r>
      <w:r>
        <w:t xml:space="preserve">: se malauguratamente dovesse accadere di ricevere una prescrizione da un organo di vigilanza (come fu a inizio 2025 con INL), il rispetto di quella prescrizione entro i termini è massima priorità. L’esito di quell’ottemperanz</w:t>
      </w:r>
      <w:r>
        <w:t xml:space="preserve">a (ad es. verbale di adempimento positivo) viene archiviato e analizzato per prevenire recidive. Inoltre, le cause che hanno portato alla prescrizione vengono eliminate (nel caso ipotetico: INL rilevò che il DVR non copriva un certo rischio, ora è coperto </w:t>
      </w:r>
      <w:r>
        <w:t xml:space="preserve">e magari abbiamo istituito una check interna per evitare di nuovo quell’omissione). Attualmente, dopo la verifica di giugno 2025, risulta che l’azienda è in sostanziale ottemperanza a quanto richiesto, e quell’esperienza ha rafforzato la vigilanza interna.</w:t>
      </w:r>
      <w:r/>
    </w:p>
    <w:p>
      <w:pPr>
        <w:numPr>
          <w:ilvl w:val="0"/>
          <w:numId w:val="25"/>
        </w:numPr>
        <w:pBdr/>
        <w:spacing/>
        <w:ind/>
        <w:rPr/>
      </w:pPr>
      <w:r>
        <w:rPr>
          <w:b/>
          <w:bCs/>
        </w:rPr>
        <w:t xml:space="preserve">Valutazione conformità ad altri requisiti</w:t>
      </w:r>
      <w:r>
        <w:t xml:space="preserve">: </w:t>
      </w:r>
      <w:r>
        <w:rPr>
          <w:highlight w:val="none"/>
        </w:rPr>
        <w:t xml:space="preserve">Se l’azienda ha</w:t>
      </w:r>
      <w:r>
        <w:rPr>
          <w:highlight w:val="none"/>
        </w:rPr>
        <w:t xml:space="preserve"> volonta</w:t>
      </w:r>
      <w:r>
        <w:rPr>
          <w:highlight w:val="none"/>
        </w:rPr>
        <w:t xml:space="preserve">riamente aderito, ad esempio, alla certificazione SMETA-4P, c’è un monitoraggio dei parametri legati a esso (che includono sicurezza: numero di ore straordinario, se i DPI sono forniti gratis, se i dipendenti percepiscono di poter rifiutare lavoro pericolo</w:t>
      </w:r>
      <w:r>
        <w:rPr>
          <w:highlight w:val="none"/>
        </w:rPr>
        <w:t xml:space="preserve">so ecc.). </w:t>
      </w:r>
      <w:r>
        <w:t xml:space="preserve">Allo stesso modo, in campo HACCP, i risultati delle verifiche di igiene (audit BRC/IFS) includono aspetti di ambiente di lavoro (temperatura, pulizia</w:t>
      </w:r>
      <w:r>
        <w:t xml:space="preserve">) che impattano sulla sicurezza alimentare e in parte su quella dei lavoratori (es. un ambiente sporco è segno di disordine – rischio scivolate). L’azienda considera anche questi feedback paralleli. Inoltre, requisiti contrattuali: se un cliente esige che </w:t>
      </w:r>
      <w:r>
        <w:t xml:space="preserve">tot% dei dipendenti sia formato su un tema specifico o che la trasparenza sugli incidenti sia fornita, l’azienda rispetta e monitora di farlo (p.es. invio trimestrale di KPI HSE al cliente XYZ come da contratto – si controlla che sia puntualmente inviato).</w:t>
      </w:r>
      <w:r/>
    </w:p>
    <w:p>
      <w:pPr>
        <w:numPr>
          <w:ilvl w:val="0"/>
          <w:numId w:val="25"/>
        </w:numPr>
        <w:pBdr/>
        <w:spacing/>
        <w:ind/>
        <w:rPr/>
      </w:pPr>
      <w:r>
        <w:rPr>
          <w:b/>
          <w:bCs/>
        </w:rPr>
        <w:t xml:space="preserve">Azioni in caso di non conformità legale</w:t>
      </w:r>
      <w:r>
        <w:t xml:space="preserve">: Quando dalle verifiche emergesse una non conformità rispetto ad obblighi, immediatamente si intraprendono Azioni Correttive (vedi sezione 10.2) per sanarla. La Direzione viene informata e se il caso anche l’RLS. Una volta </w:t>
      </w:r>
      <w:r>
        <w:t xml:space="preserve">risolta, si valuta se informare volontariamente l’organo di vigilanza (in genere no se l</w:t>
      </w:r>
      <w:r>
        <w:t xml:space="preserve">a cosa è sanata spontaneamente e non era nota all’ente, ma se c’è stata ad es. una scadenza certificato prevenzione incendi dimenticata, potrebbe essere opportuno segnalare contestualmente alla richiesta di rinnovo tardiva). In ogni caso, l’approccio è di </w:t>
      </w:r>
      <w:r>
        <w:rPr>
          <w:b/>
          <w:bCs/>
        </w:rPr>
        <w:t xml:space="preserve">massima trasparenza</w:t>
      </w:r>
      <w:r>
        <w:t xml:space="preserve">: meglio autoidentificare e correggere che far finta di nulla.</w:t>
      </w:r>
      <w:r/>
    </w:p>
    <w:p>
      <w:pPr>
        <w:numPr>
          <w:ilvl w:val="0"/>
          <w:numId w:val="25"/>
        </w:numPr>
        <w:pBdr/>
        <w:spacing/>
        <w:ind/>
        <w:rPr/>
      </w:pPr>
      <w:r>
        <w:rPr>
          <w:b/>
          <w:bCs/>
        </w:rPr>
        <w:t xml:space="preserve">Conformità al sistema ISO 45001</w:t>
      </w:r>
      <w:r>
        <w:t xml:space="preserve">: Infine, come parte di performance, l’azienda valuta anche la conformità allo standard di riferimento stesso. L’audit interno e di certificazione verificano se tutti i requisiti della no</w:t>
      </w:r>
      <w:r>
        <w:t xml:space="preserve">rma sono implementati; eventuali lacune devono essere colmate. Ad esempio, se ci fosse un punto non implementato (es. mancanza di analisi del contesto) sarebbe un non fulfilment e verrebbe corretto (nel caso specifico, il contesto è analizzato, quindi ok).</w:t>
      </w:r>
      <w:r/>
    </w:p>
    <w:p>
      <w:pPr>
        <w:pStyle w:val="1012"/>
        <w:pBdr/>
        <w:spacing/>
        <w:ind/>
        <w:rPr/>
      </w:pPr>
      <w:r>
        <w:t xml:space="preserve">Tutti i risultati della valutazione di conformità confluiscono nel </w:t>
      </w:r>
      <w:r>
        <w:rPr>
          <w:b/>
          <w:bCs/>
        </w:rPr>
        <w:t xml:space="preserve">Riesame della Direzione</w:t>
      </w:r>
      <w:r>
        <w:t xml:space="preserve">, dove si discute “lo stato di conformità legale e ad altri requisiti”. In quell’occasione, la Direzione può apprezzare che l’azienda è compliance al 100%</w:t>
      </w:r>
      <w:r>
        <w:t xml:space="preserve"> o decidere provvedimenti se qualcosa non lo è. Un esempio: se emergesse che molti carrellisti hanno il patentino scaduto, la Direzione potrebbe decidere un piano straordinario di riqualificazione e imporre procedure più strette per monitorare le scadenze.</w:t>
      </w:r>
      <w:r/>
    </w:p>
    <w:p>
      <w:pPr>
        <w:pStyle w:val="1011"/>
        <w:pBdr/>
        <w:spacing/>
        <w:ind/>
        <w:rPr/>
      </w:pPr>
      <w:r>
        <w:t xml:space="preserve">Va notato che ad oggi Agrumigel risulta in regola con i principali requisiti: la visita INL ha confermato la sostanziale ottemperanza, i Vigili del Fuoco hanno ril</w:t>
      </w:r>
      <w:r>
        <w:t xml:space="preserve">asciato il CPI e nelle ultime esercitazioni non hanno rilevato criticità, non vi sono pendenze normative. Questo non è preso con autocompiacimento ma come stimolo a mantenere lo standard: la conformità non è mai uno stato permanente, va curata in continuo.</w:t>
      </w:r>
      <w:r/>
    </w:p>
    <w:p>
      <w:pPr>
        <w:pStyle w:val="1000"/>
        <w:pBdr/>
        <w:spacing/>
        <w:ind/>
        <w:rPr/>
      </w:pPr>
      <w:r/>
      <w:bookmarkStart w:id="63" w:name="audit-interno"/>
      <w:r/>
      <w:bookmarkStart w:id="64" w:name="_Toc211351972"/>
      <w:r/>
      <w:bookmarkEnd w:id="61"/>
      <w:r>
        <w:t xml:space="preserve">Audit interno</w:t>
      </w:r>
      <w:bookmarkEnd w:id="64"/>
      <w:r/>
      <w:r/>
    </w:p>
    <w:p>
      <w:pPr>
        <w:pStyle w:val="1012"/>
        <w:pBdr/>
        <w:spacing/>
        <w:ind/>
        <w:rPr/>
      </w:pPr>
      <w:r>
        <w:t xml:space="preserve">Gli </w:t>
      </w:r>
      <w:r>
        <w:rPr>
          <w:b/>
          <w:bCs/>
        </w:rPr>
        <w:t xml:space="preserve">audit interni</w:t>
      </w:r>
      <w:r>
        <w:t xml:space="preserve"> del Sistema di Gestione SSL sono uno strumento fondamentale per verificare in modo indipendente e sistematico che il sistema sia conforme ai requisiti pianific</w:t>
      </w:r>
      <w:r>
        <w:t xml:space="preserve">ati (norma ISO 45001, norme di legge, procedure interne) e stia efficacemente attuando e mantenendo le misure di sicurezza. Agrumigel ha istituito un programma di audit interni integrato (qualità, sicurezza, ambiente) che include audit specifici sul SGSSL.</w:t>
      </w:r>
      <w:r/>
    </w:p>
    <w:p>
      <w:pPr>
        <w:pStyle w:val="1011"/>
        <w:pBdr/>
        <w:spacing/>
        <w:ind/>
        <w:rPr/>
      </w:pPr>
      <w:r>
        <w:t xml:space="preserve">Caratteristiche chiave del processo di audit interno in Agrumigel:</w:t>
      </w:r>
      <w:r/>
    </w:p>
    <w:p>
      <w:pPr>
        <w:numPr>
          <w:ilvl w:val="0"/>
          <w:numId w:val="26"/>
        </w:numPr>
        <w:pBdr/>
        <w:spacing/>
        <w:ind/>
        <w:rPr/>
      </w:pPr>
      <w:r>
        <w:rPr>
          <w:b/>
          <w:bCs/>
        </w:rPr>
        <w:t xml:space="preserve">Pianificazione degli audit</w:t>
      </w:r>
      <w:r>
        <w:t xml:space="preserve">: Ogni anno viene stilato un </w:t>
      </w:r>
      <w:r>
        <w:rPr>
          <w:b/>
          <w:bCs/>
        </w:rPr>
        <w:t xml:space="preserve">Piano di audit interno</w:t>
      </w:r>
      <w:r>
        <w:t xml:space="preserve">. Di solito è predisposto dal Responsabile Qualità integrato, in accordo con l’RSPP per la parte SSL. Il piano as</w:t>
      </w:r>
      <w:r>
        <w:t xml:space="preserve">sicura che nel corso dell’anno vengano auditati tutti i processi rilevanti e tutti i reparti, almeno una volta. Ad esempio: un audit sulla manutenzione impianti (che copre anche aspetti sicurezza manutenzione), un audit sul processo produttivo succhi con f</w:t>
      </w:r>
      <w:r>
        <w:t xml:space="preserve">ocus su sicurezza operativa e HACCP, un audit sul magazzino e spedizioni, uno sull’ufficio HR per gestione formazione e sorveglianza sanitaria, etc., coprendo così sia aspetti operativi sia gestionali. La frequenza può essere modulata in base ai risultati </w:t>
      </w:r>
      <w:r>
        <w:t xml:space="preserve">passati: reparti con più criticità vengono auditati magari due volte l’anno, quelli virtuosi una sola. Gli auditor vengono </w:t>
      </w:r>
      <w:r>
        <w:rPr>
          <w:b/>
          <w:bCs/>
        </w:rPr>
        <w:t xml:space="preserve">designati</w:t>
      </w:r>
      <w:r>
        <w:t xml:space="preserve">: per garantire obiettività, di solito non auditano se stessi. In mancanza di personale interno qualificato sufficiente, l’azienda potrebbe impiegare un consulente esterno per alcuni audit, specie su sicurezza per un occhio fresco.</w:t>
      </w:r>
      <w:r/>
    </w:p>
    <w:p>
      <w:pPr>
        <w:numPr>
          <w:ilvl w:val="0"/>
          <w:numId w:val="26"/>
        </w:numPr>
        <w:pBdr/>
        <w:spacing/>
        <w:ind/>
        <w:rPr/>
      </w:pPr>
      <w:r>
        <w:rPr>
          <w:b/>
          <w:bCs/>
        </w:rPr>
        <w:t xml:space="preserve">Formazione degli auditor</w:t>
      </w:r>
      <w:r>
        <w:t xml:space="preserve">: Sono stati formati interni due membri del Team Qualità e un responsabile di reparto come </w:t>
      </w:r>
      <w:r>
        <w:rPr>
          <w:b/>
          <w:bCs/>
        </w:rPr>
        <w:t xml:space="preserve">auditor interni</w:t>
      </w:r>
      <w:r>
        <w:t xml:space="preserve"> ISO 45001</w:t>
      </w:r>
      <w:r>
        <w:t xml:space="preserve"> (hanno frequentato un corso specifico). Inoltre, l’RSPP ha esperienza e formazione come auditor HSE anche se in genere lui è l’auditato più che l’auditor per evitare conflitto di ruolo. Tuttavia, a volte l’audit interno è condotto in coppia: un auditor pr</w:t>
      </w:r>
      <w:r>
        <w:t xml:space="preserve">incipale (es. Resp. Qualità) con un osservatore tecnico (RSPP) per sfruttare le competenze tecniche, ma garantendo indipendenza (il Resp. Qualità non è responsabile diretto di sicurezza). Questo consente di avere sia competenza che imparzialità nell’audit.</w:t>
      </w:r>
      <w:r/>
    </w:p>
    <w:p>
      <w:pPr>
        <w:numPr>
          <w:ilvl w:val="0"/>
          <w:numId w:val="26"/>
        </w:numPr>
        <w:pBdr/>
        <w:spacing/>
        <w:ind/>
        <w:rPr/>
      </w:pPr>
      <w:r>
        <w:rPr>
          <w:b/>
          <w:bCs/>
        </w:rPr>
        <w:t xml:space="preserve">Esecuzione degli audit</w:t>
      </w:r>
      <w:r>
        <w:t xml:space="preserve">: Durante l’audit, </w:t>
      </w:r>
      <w:r>
        <w:rPr>
          <w:highlight w:val="none"/>
        </w:rPr>
        <w:t xml:space="preserve">si segue una </w:t>
      </w:r>
      <w:r>
        <w:rPr>
          <w:b/>
          <w:bCs/>
          <w:highlight w:val="none"/>
        </w:rPr>
        <w:t xml:space="preserve">checklist</w:t>
      </w:r>
      <w:r>
        <w:rPr>
          <w:highlight w:val="none"/>
        </w:rPr>
        <w:t xml:space="preserve"> predisposta in base ai requisiti da verificare</w:t>
      </w:r>
      <w:r>
        <w:rPr>
          <w:highlight w:val="none"/>
        </w:rPr>
        <w:t xml:space="preserve">. </w:t>
      </w:r>
      <w:r>
        <w:rPr>
          <w:highlight w:val="none"/>
        </w:rPr>
        <w:t xml:space="preserve">Ad esemp</w:t>
      </w:r>
      <w:r>
        <w:t xml:space="preserve">io, per un audit in reparto produzione: si verificherà la presenza e attuazione delle istruzioni operative, l’uso dei DPI, si intervisteranno alcuni operatori su cosa farebbero in emergenza (testando consapevolezza), si controllerà la documentazion</w:t>
      </w:r>
      <w:r>
        <w:t xml:space="preserve">e (registri formazione del personale del reparto, manutenzioni completate, etc.), e l’aderenza a procedure (es. verifica se un intervento di manutenzione recente aveva il permesso di lavoro compilato). L’audit interno è condotto in maniera collaborativa, n</w:t>
      </w:r>
      <w:r>
        <w:t xml:space="preserve">on col fine di “cogliere in fallo”, ma di evidenziare difformità e opportunità di miglioramento. I rappresentanti del reparto partecipano e l’RLS può essere invitato a partecipare (è buona prassi coinvolgerlo almeno in parte, per trasparenza e contributo).</w:t>
      </w:r>
      <w:r/>
    </w:p>
    <w:p>
      <w:pPr>
        <w:numPr>
          <w:ilvl w:val="0"/>
          <w:numId w:val="26"/>
        </w:numPr>
        <w:pBdr/>
        <w:spacing/>
        <w:ind/>
        <w:rPr/>
      </w:pPr>
      <w:r>
        <w:rPr>
          <w:b/>
          <w:bCs/>
        </w:rPr>
        <w:t xml:space="preserve">Registrazione dei risultati</w:t>
      </w:r>
      <w:r>
        <w:t xml:space="preserve">: Al termine, l’auditor redige un </w:t>
      </w:r>
      <w:r>
        <w:rPr>
          <w:b/>
          <w:bCs/>
        </w:rPr>
        <w:t xml:space="preserve">rapporto di audit interno</w:t>
      </w:r>
      <w:r>
        <w:t xml:space="preserve">. Vi annota: conformità riscontrate, punti di forza eventualmente (es. “ottimo livello di ordine e segnali ben mantenuti”), </w:t>
      </w:r>
      <w:r>
        <w:rPr>
          <w:b/>
          <w:bCs/>
        </w:rPr>
        <w:t xml:space="preserve">Non Conformità</w:t>
      </w:r>
      <w:r>
        <w:t xml:space="preserve"> (discrepanze gravi o medie rispetto a requisiti), </w:t>
      </w:r>
      <w:r>
        <w:rPr>
          <w:b/>
          <w:bCs/>
        </w:rPr>
        <w:t xml:space="preserve">Osservazioni</w:t>
      </w:r>
      <w:r>
        <w:t xml:space="preserve"> (difformità minori o potenziali rischi, suggerimenti). Ad esempio, può scrivere NC: “Mancata formazione aggiornamento per 2 addetti su Rischio Chimico – obbligo non rispettato” o “Mancata segnalazione di pericolo scivolamento in </w:t>
      </w:r>
      <w:r>
        <w:rPr>
          <w:highlight w:val="none"/>
        </w:rPr>
        <w:t xml:space="preserve">zona lavaggio (</w:t>
      </w:r>
      <w:r>
        <w:rPr>
          <w:highlight w:val="none"/>
        </w:rPr>
        <w:t xml:space="preserve">assenza cartello</w:t>
      </w:r>
      <w:r>
        <w:rPr>
          <w:highlight w:val="none"/>
        </w:rPr>
        <w:t xml:space="preserve">)</w:t>
      </w:r>
      <w:r>
        <w:t xml:space="preserve">”; Osservazione: “Notato utilizzo improprio di prolunghe elettriche in reparto, raccomandata verifica impianto prese aggiuntive”. Ogni NC viene classificata per gravità (maggiore, minore) a seconda del potenziale impatto e dell’estensione.</w:t>
      </w:r>
      <w:r/>
    </w:p>
    <w:p>
      <w:pPr>
        <w:numPr>
          <w:ilvl w:val="0"/>
          <w:numId w:val="26"/>
        </w:numPr>
        <w:pBdr/>
        <w:spacing/>
        <w:ind/>
        <w:rPr/>
      </w:pPr>
      <w:r>
        <w:rPr>
          <w:b/>
          <w:bCs/>
        </w:rPr>
        <w:t xml:space="preserve">Comunicazione e azioni successive</w:t>
      </w:r>
      <w:r>
        <w:t xml:space="preserve">: Il rapporto di audit viene condiviso con la Direzione e i responsabili delle aree auditati. Per ogni </w:t>
      </w:r>
      <w:r>
        <w:rPr>
          <w:b/>
          <w:bCs/>
        </w:rPr>
        <w:t xml:space="preserve">Non Conformità</w:t>
      </w:r>
      <w:r>
        <w:t xml:space="preserve">, i responsabili coinvolti (es. Resp. di reparto, RSPP, HR a seconda della natura) devono definire e attuare un’</w:t>
      </w:r>
      <w:r>
        <w:rPr>
          <w:b/>
          <w:bCs/>
        </w:rPr>
        <w:t xml:space="preserve">azione correttiva</w:t>
      </w:r>
      <w:r>
        <w:t xml:space="preserve"> (vedi sezione 10.2). Le NC di natura sistemica possono far scattare la revisione di procedure o formazione extra. Le osservazioni vengono valutate: alcune vengono implementate come miglioramenti volontari, altre monitorate. Viene stabilita una </w:t>
      </w:r>
      <w:r>
        <w:rPr>
          <w:b/>
          <w:bCs/>
        </w:rPr>
        <w:t xml:space="preserve">scadenza</w:t>
      </w:r>
      <w:r>
        <w:t xml:space="preserve"> per la chiusura delle NC, a breve termine se possibile (generalmente entro 30-60 gg). L’RSPP/Qualità segue lo stato di avanzamento e aiuta nel trovare soluzioni.</w:t>
      </w:r>
      <w:r/>
    </w:p>
    <w:p>
      <w:pPr>
        <w:numPr>
          <w:ilvl w:val="0"/>
          <w:numId w:val="26"/>
        </w:numPr>
        <w:pBdr/>
        <w:spacing/>
        <w:ind/>
        <w:rPr/>
      </w:pPr>
      <w:r>
        <w:rPr>
          <w:b/>
          <w:bCs/>
        </w:rPr>
        <w:t xml:space="preserve">Follow-up</w:t>
      </w:r>
      <w:r>
        <w:t xml:space="preserve">: Una volta trascorso il tempo, l’auditor (o altro auditor designato) verifica che le azioni correttive siano state implementate ed efficaci. Formalmente avviene una </w:t>
      </w:r>
      <w:r>
        <w:rPr>
          <w:b/>
          <w:bCs/>
        </w:rPr>
        <w:t xml:space="preserve">verifica di chiusura NC</w:t>
      </w:r>
      <w:r>
        <w:t xml:space="preserve"> documentata sul rapporto. Se risolta, la NC è chiusa; se persiste, rimane aperta e si discute in Riesame come mai (mancanza risorse? necessità altra azione?). Ad esempio, se NC era “manca</w:t>
      </w:r>
      <w:r>
        <w:t xml:space="preserve">to parapetto su soppalco stoccaggio”, l’azione era “installare parapetto”. Al follow-up l’auditor va e vede parapetto montato a norma – bene, chiude NC. Se non fosse montato, resterebbe aperta e la Direzione dovrebbe intervenire (è pericoloso, va risolto).</w:t>
      </w:r>
      <w:r/>
    </w:p>
    <w:p>
      <w:pPr>
        <w:numPr>
          <w:ilvl w:val="0"/>
          <w:numId w:val="26"/>
        </w:numPr>
        <w:pBdr/>
        <w:spacing/>
        <w:ind/>
        <w:rPr/>
      </w:pPr>
      <w:r>
        <w:rPr>
          <w:b/>
          <w:bCs/>
        </w:rPr>
        <w:t xml:space="preserve">Riesame dei risultati di audit</w:t>
      </w:r>
      <w:r>
        <w:t xml:space="preserve">: Nel Ries</w:t>
      </w:r>
      <w:r>
        <w:t xml:space="preserve">ame di Direzione, uno dei punti è esaminare i risultati complessivi degli audit interni. Si valuta numero di NC totali, le aree in cui si concentrano, la tempestività di chiusura, e se il programma di audit è adeguato. Ad esempio: “Abbiamo rilevato 5 NC mi</w:t>
      </w:r>
      <w:r>
        <w:t xml:space="preserve">nori e 1 maggiore quest’anno, tutte chiuse tranne 1 in corso; l’area con più NC è magazzino – decideremo di rifare audit lì a 6 mesi; evidenziato miglioramento in reparto scorze, zero NC quest’anno rispetto a 3 l’anno scorso, segno che l’azione intrapresa </w:t>
      </w:r>
      <w:r>
        <w:t xml:space="preserve">ha funzionato.”. Questo consente di riallineare il fuoco e magari di modulare il prossimo piano (es. intensificare audit magazzino). Inoltre, eventuali lacune del sistema di audit stesso (es. se ci fosse una parte di azienda mai auditata) vengono corrette.</w:t>
      </w:r>
      <w:r/>
    </w:p>
    <w:p>
      <w:pPr>
        <w:numPr>
          <w:ilvl w:val="0"/>
          <w:numId w:val="26"/>
        </w:numPr>
        <w:pBdr/>
        <w:spacing/>
        <w:ind/>
        <w:rPr/>
      </w:pPr>
      <w:r>
        <w:rPr>
          <w:b/>
          <w:bCs/>
        </w:rPr>
        <w:t xml:space="preserve">Auditor esterni come integrativi</w:t>
      </w:r>
      <w:r>
        <w:t xml:space="preserve">: Occasionalmente Agrumigel può ingaggiare un </w:t>
      </w:r>
      <w:r>
        <w:rPr>
          <w:b/>
          <w:bCs/>
        </w:rPr>
        <w:t xml:space="preserve">audit di “pre-assessment”</w:t>
      </w:r>
      <w:r>
        <w:t xml:space="preserve"> esterno, ad esempio prima dell’audit di certificazione </w:t>
      </w:r>
      <w:r>
        <w:t xml:space="preserve">ISO 45001 (se in fase di prima certificazione o rinnovo). Questo permette una verifica indipendente aggiuntiva. Tali audit esterni di prova non generano NC formali interne ma forniscono raccomandazioni che poi l’azienda tratta come input per miglioramento.</w:t>
      </w:r>
      <w:r/>
    </w:p>
    <w:p>
      <w:pPr>
        <w:pStyle w:val="1012"/>
        <w:pBdr/>
        <w:spacing/>
        <w:ind/>
        <w:rPr/>
      </w:pPr>
      <w:r>
        <w:t xml:space="preserve">Il processo di audit interno ha già portato benefici tangibili: si intercettano potenziali problemi prima che causino incidenti o sanzioni. Ad esempio, in un audit interno del 2024 è stato notato ch</w:t>
      </w:r>
      <w:r>
        <w:t xml:space="preserve">e nel locale batteria muletto mancava un cartello “vietato fumare” e c’erano scintille da cavo mal ridotto – è stato sistemato immediatamente, evitando il rischio di un incendio batteria. Senza quell’audit, forse sarebbe stato notato solo a guaio avvenuto.</w:t>
      </w:r>
      <w:r/>
    </w:p>
    <w:p>
      <w:pPr>
        <w:pStyle w:val="1011"/>
        <w:pBdr/>
        <w:spacing/>
        <w:ind/>
        <w:rPr/>
      </w:pPr>
      <w:r>
        <w:t xml:space="preserve">Inoltre, gli audit interni coinvolgono i lavorator</w:t>
      </w:r>
      <w:r>
        <w:t xml:space="preserve">i, dando loro occasione di esprimersi (un auditor chiede spesso agli operatori: “secondo te cosa si potrebbe migliorare qui?” – e può emergere un’osservazione utile). Ciò li fa sentire parte attiva e rafforza la cultura interna di autovalutazione continua.</w:t>
      </w:r>
      <w:r/>
    </w:p>
    <w:p>
      <w:pPr>
        <w:pStyle w:val="1011"/>
        <w:pBdr/>
        <w:spacing/>
        <w:ind/>
        <w:rPr/>
      </w:pPr>
      <w:r>
        <w:t xml:space="preserve">Gli audit interni, in sintesi, sono il “tagliando” periodico del SGSSL: aiutano a mantenere il sistema allineato, efficiente e in c</w:t>
      </w:r>
      <w:r>
        <w:t xml:space="preserve">onformità. L’impegno di Agrumigel è di condurli con serietà ma anche spirito costruttivo, così che siano percepiti non come un’ispezione punitiva ma come uno strumento per aiutarci tutti a lavorare meglio e più sicuri. I reparti hanno capito che segnalare </w:t>
      </w:r>
      <w:r>
        <w:t xml:space="preserve">piccole mancanze e risolverle in audit è preferibile che aspettare che un ente esterno lo faccia con potenziali sanzioni: questo “allenamento” interno alza il livello generale di sicurezza.</w:t>
      </w:r>
      <w:r/>
    </w:p>
    <w:p>
      <w:pPr>
        <w:pStyle w:val="1000"/>
        <w:pBdr/>
        <w:spacing/>
        <w:ind/>
        <w:rPr/>
      </w:pPr>
      <w:r/>
      <w:bookmarkStart w:id="65" w:name="riesame-della-direzione"/>
      <w:r/>
      <w:bookmarkStart w:id="66" w:name="_Toc211351973"/>
      <w:r/>
      <w:bookmarkEnd w:id="63"/>
      <w:r>
        <w:t xml:space="preserve">Riesame della Direzione</w:t>
      </w:r>
      <w:bookmarkEnd w:id="66"/>
      <w:r/>
      <w:r/>
    </w:p>
    <w:p>
      <w:pPr>
        <w:pStyle w:val="1012"/>
        <w:pBdr/>
        <w:spacing/>
        <w:ind/>
        <w:rPr/>
      </w:pPr>
      <w:r>
        <w:t xml:space="preserve">Il </w:t>
      </w:r>
      <w:r>
        <w:rPr>
          <w:b/>
          <w:bCs/>
        </w:rPr>
        <w:t xml:space="preserve">Riesame della Direzione</w:t>
      </w:r>
      <w:r>
        <w:t xml:space="preserve"> è un momento cruciale del ciclo di miglioramento, in cui i vertici aziendali valutano in modo organico l’andamento del Sistema di Gestione SSL e ne definiscono le strategie future. In Agrumigel, come parte del Sistema Integrato, si tiene normalmente un </w:t>
      </w:r>
      <w:r>
        <w:rPr>
          <w:b/>
          <w:bCs/>
        </w:rPr>
        <w:t xml:space="preserve">Riesame annuale</w:t>
      </w:r>
      <w:r>
        <w:t xml:space="preserve"> che comprende qualità, sicurezza alimentare, ambiente e SSL; tuttavia, per la SSL specifica, se necessario (ad esempio in caso di eventi eccezionali o durante l’implementazione iniziale), possono essere fatti riesami ad hoc più frequenti.</w:t>
      </w:r>
      <w:r/>
    </w:p>
    <w:p>
      <w:pPr>
        <w:pStyle w:val="1011"/>
        <w:pBdr/>
        <w:spacing/>
        <w:ind/>
        <w:rPr/>
      </w:pPr>
      <w:r>
        <w:t xml:space="preserve">Elementi chiave del Riesame di Direzione per la SSL:</w:t>
      </w:r>
      <w:r/>
    </w:p>
    <w:p>
      <w:pPr>
        <w:numPr>
          <w:ilvl w:val="0"/>
          <w:numId w:val="27"/>
        </w:numPr>
        <w:pBdr/>
        <w:spacing/>
        <w:ind/>
        <w:rPr/>
      </w:pPr>
      <w:r>
        <w:rPr>
          <w:b/>
          <w:bCs/>
        </w:rPr>
        <w:t xml:space="preserve">Partecipanti</w:t>
      </w:r>
      <w:r>
        <w:t xml:space="preserve">:</w:t>
      </w:r>
      <w:r>
        <w:t xml:space="preserve"> Al riesame partecipano l’Amministratore Unico (Datore di Lavoro), eventuali Direttori o Responsabili di alto livello (Produzione, Manutenzione, HR, ecc.), il RSPP, il Medico Competente (spesso invitato a presentare i dati sanitari), il Rappresentante dei </w:t>
      </w:r>
      <w:r>
        <w:t xml:space="preserve">Lavoratori per la Sicurezza (invitato per portare la voce dei lavoratori) e il Responsabile Qualità/Ambiente per collegare con altri sistemi. È importante avere tutti i decisori, così che le decisioni prese siano condivise e poi implementate efficacemente.</w:t>
      </w:r>
      <w:r/>
    </w:p>
    <w:p>
      <w:pPr>
        <w:numPr>
          <w:ilvl w:val="0"/>
          <w:numId w:val="27"/>
        </w:numPr>
        <w:pBdr/>
        <w:spacing/>
        <w:ind/>
        <w:rPr/>
      </w:pPr>
      <w:r>
        <w:rPr>
          <w:b/>
          <w:bCs/>
        </w:rPr>
        <w:t xml:space="preserve">Input al riesame</w:t>
      </w:r>
      <w:r>
        <w:t xml:space="preserve">: La riunione analizza una serie di </w:t>
      </w:r>
      <w:r>
        <w:rPr>
          <w:b/>
          <w:bCs/>
        </w:rPr>
        <w:t xml:space="preserve">input predefiniti</w:t>
      </w:r>
      <w:r>
        <w:t xml:space="preserve">, tipicamente:</w:t>
      </w:r>
      <w:r/>
    </w:p>
    <w:p>
      <w:pPr>
        <w:pStyle w:val="1013"/>
        <w:numPr>
          <w:ilvl w:val="0"/>
          <w:numId w:val="27"/>
        </w:numPr>
        <w:pBdr/>
        <w:spacing/>
        <w:ind/>
        <w:rPr/>
      </w:pPr>
      <w:r>
        <w:t xml:space="preserve">Esiti delle </w:t>
      </w:r>
      <w:r>
        <w:rPr>
          <w:b/>
          <w:bCs/>
        </w:rPr>
        <w:t xml:space="preserve">ispezioni interne ed esterne</w:t>
      </w:r>
      <w:r>
        <w:t xml:space="preserve">: risultati degli audit interni (numero NC, trend), eventuali audit di certificazione o visite enti (esito positivo/negativo, eventuali prescrizioni).</w:t>
      </w:r>
      <w:r/>
    </w:p>
    <w:p>
      <w:pPr>
        <w:pStyle w:val="1013"/>
        <w:numPr>
          <w:ilvl w:val="0"/>
          <w:numId w:val="27"/>
        </w:numPr>
        <w:pBdr/>
        <w:spacing/>
        <w:ind/>
        <w:rPr/>
      </w:pPr>
      <w:r>
        <w:rPr>
          <w:b/>
          <w:bCs/>
        </w:rPr>
        <w:t xml:space="preserve">Performance di SSL</w:t>
      </w:r>
      <w:r>
        <w:t xml:space="preserve">: tutti gli indicatori raccolti (infortuni, near miss, indicatori di formazione, monitoraggi ambientali, ecc., come dettagliato in sez. 9.1). Vengono presentati comparati con gli obiettivi prefissati.</w:t>
      </w:r>
      <w:r/>
    </w:p>
    <w:p>
      <w:pPr>
        <w:pStyle w:val="1013"/>
        <w:numPr>
          <w:ilvl w:val="0"/>
          <w:numId w:val="27"/>
        </w:numPr>
        <w:pBdr/>
        <w:spacing/>
        <w:ind/>
        <w:rPr/>
      </w:pPr>
      <w:r>
        <w:t xml:space="preserve">Stato del </w:t>
      </w:r>
      <w:r>
        <w:rPr>
          <w:b/>
          <w:bCs/>
        </w:rPr>
        <w:t xml:space="preserve">raggiungimento degli obiettivi</w:t>
      </w:r>
      <w:r>
        <w:t xml:space="preserve"> di sicurezza e relativi programmi: ad esempio, Obiettivo “zero infortuni nel 2025” – si vede se centrato; obiettivo riduzione rumore – si mostrano i risultati fonometrici vs target.</w:t>
      </w:r>
      <w:r/>
    </w:p>
    <w:p>
      <w:pPr>
        <w:pStyle w:val="1013"/>
        <w:numPr>
          <w:ilvl w:val="0"/>
          <w:numId w:val="27"/>
        </w:numPr>
        <w:pBdr/>
        <w:spacing/>
        <w:ind/>
        <w:rPr/>
      </w:pPr>
      <w:r>
        <w:rPr>
          <w:b/>
          <w:bCs/>
        </w:rPr>
        <w:t xml:space="preserve">Adempimenti legali</w:t>
      </w:r>
      <w:r>
        <w:t xml:space="preserve">: un riassunto della verifica di conformità (conferma aree compliant e segnalazione eventuali problemi risolti o da risolver</w:t>
      </w:r>
      <w:r>
        <w:t xml:space="preserve">e). Ad esempio, RSPP riferisce: “tutti gli obblighi normativi risultano adempiuti, salvo che entro marzo 2026 dovremo rinnovare patentini muletto – pianificato. Nessuna sanzione nell’anno, un’ispezione INL con esito regolare dopo prescrizione ottemperata”.</w:t>
      </w:r>
      <w:r/>
    </w:p>
    <w:p>
      <w:pPr>
        <w:pStyle w:val="1013"/>
        <w:numPr>
          <w:ilvl w:val="0"/>
          <w:numId w:val="27"/>
        </w:numPr>
        <w:pBdr/>
        <w:spacing/>
        <w:ind/>
        <w:rPr/>
      </w:pPr>
      <w:r>
        <w:rPr>
          <w:b/>
          <w:bCs/>
        </w:rPr>
        <w:t xml:space="preserve">Comunicazioni e segnalazioni</w:t>
      </w:r>
      <w:r>
        <w:t xml:space="preserve">: sintesi delle segnalazioni dei lavoratori e delle parti interessate (es. RLS potrebbe presentare eventuali istanze), eventuali reclami dei clienti riguardanti sicurezza (talvolta i clienti fanno audit HSE e segnalano cose, va considerato).</w:t>
      </w:r>
      <w:r/>
    </w:p>
    <w:p>
      <w:pPr>
        <w:pStyle w:val="1013"/>
        <w:numPr>
          <w:ilvl w:val="0"/>
          <w:numId w:val="27"/>
        </w:numPr>
        <w:pBdr/>
        <w:spacing/>
        <w:ind/>
        <w:rPr/>
      </w:pPr>
      <w:r>
        <w:rPr>
          <w:b/>
          <w:bCs/>
        </w:rPr>
        <w:t xml:space="preserve">Fattori di contesto e cambiamenti</w:t>
      </w:r>
      <w:r>
        <w:t xml:space="preserve">: si discutono eventuali cambiamenti che possono influire sul SGSSL: nuove normative in arrivo, nuovi progetti (es. “il prossimo anno </w:t>
      </w:r>
      <w:r>
        <w:t xml:space="preserve">installeremo una nuova linea di spremitura – rischi da valutare”), variazione di struttura organizzativa, situazioni particolari (es. “assorbimento di personale di una ditta esterna in organico – da formare”).</w:t>
      </w:r>
      <w:r/>
    </w:p>
    <w:p>
      <w:pPr>
        <w:pStyle w:val="1013"/>
        <w:numPr>
          <w:ilvl w:val="0"/>
          <w:numId w:val="27"/>
        </w:numPr>
        <w:pBdr/>
        <w:spacing/>
        <w:ind/>
        <w:rPr/>
      </w:pPr>
      <w:r>
        <w:rPr>
          <w:b/>
          <w:bCs/>
        </w:rPr>
        <w:t xml:space="preserve">Risultati delle azioni precedenti</w:t>
      </w:r>
      <w:r>
        <w:t xml:space="preserve">: si verifica se le decisioni prese nel precedente riesame sono state attuate e con che efficacia. Ad esempio, l’anno scorso si decise di implementare un nuovo impianto di aspirazione polveri – è stato fatto? Ha ridotto il rischio?</w:t>
      </w:r>
      <w:r/>
    </w:p>
    <w:p>
      <w:pPr>
        <w:numPr>
          <w:ilvl w:val="0"/>
          <w:numId w:val="27"/>
        </w:numPr>
        <w:pBdr/>
        <w:spacing/>
        <w:ind/>
        <w:rPr/>
      </w:pPr>
      <w:r>
        <w:rPr>
          <w:b/>
          <w:bCs/>
        </w:rPr>
        <w:t xml:space="preserve">Riesame della Politica e degli obiettivi</w:t>
      </w:r>
      <w:r>
        <w:t xml:space="preserve">: la Direzione valuta se la Politica SSL è ancora adeguata o necessita modifiche (di solito resta stabile con eventuali piccoli aggiustame</w:t>
      </w:r>
      <w:r>
        <w:t xml:space="preserve">nti per allinearla a nuove priorità) e se gli obiettivi fissati sono ancora rilevanti o vanno aggiornati (ad esempio, se un obiettivo è già stato raggiunto in anticipo, se ne può fissare uno più sfidante; o se è risultato irrealistico, si può riformulare).</w:t>
      </w:r>
      <w:r/>
    </w:p>
    <w:p>
      <w:pPr>
        <w:numPr>
          <w:ilvl w:val="0"/>
          <w:numId w:val="27"/>
        </w:numPr>
        <w:pBdr/>
        <w:spacing/>
        <w:ind/>
        <w:rPr/>
      </w:pPr>
      <w:r>
        <w:rPr>
          <w:b/>
          <w:bCs/>
        </w:rPr>
        <w:t xml:space="preserve">Discussione e valutazione</w:t>
      </w:r>
      <w:r>
        <w:t xml:space="preserve">: Sulla base degli input, la Direzione valuta in maniera globale:</w:t>
      </w:r>
      <w:r/>
    </w:p>
    <w:p>
      <w:pPr>
        <w:pStyle w:val="1013"/>
        <w:numPr>
          <w:ilvl w:val="0"/>
          <w:numId w:val="27"/>
        </w:numPr>
        <w:pBdr/>
        <w:spacing/>
        <w:ind/>
        <w:rPr/>
      </w:pPr>
      <w:r>
        <w:t xml:space="preserve">L’</w:t>
      </w:r>
      <w:r>
        <w:rPr>
          <w:b/>
          <w:bCs/>
        </w:rPr>
        <w:t xml:space="preserve">adeguatezza</w:t>
      </w:r>
      <w:r>
        <w:t xml:space="preserve"> del Sistema: cioè se copre tutti i rischi e contesto (es. “alla luce di quell’episodio di fuga odori, forse dovremmo includere meglio rischio odori nel DVR – lavorare su questo”).</w:t>
      </w:r>
      <w:r/>
    </w:p>
    <w:p>
      <w:pPr>
        <w:pStyle w:val="1013"/>
        <w:numPr>
          <w:ilvl w:val="0"/>
          <w:numId w:val="27"/>
        </w:numPr>
        <w:pBdr/>
        <w:spacing/>
        <w:ind/>
        <w:rPr/>
      </w:pPr>
      <w:r>
        <w:t xml:space="preserve">L’</w:t>
      </w:r>
      <w:r>
        <w:rPr>
          <w:b/>
          <w:bCs/>
        </w:rPr>
        <w:t xml:space="preserve">efficacia</w:t>
      </w:r>
      <w:r>
        <w:t xml:space="preserve">: se sta producendo i risultati attesi (meno infortuni, più </w:t>
      </w:r>
      <w:r>
        <w:t xml:space="preserve">segnalazioni, conformità legale piena, etc.). Ad esempio, si nota un calo netto di infortuni, bene – il sistema sembra funzionare; oppure si nota ancora mancato uso DPI in qualche reparto, quindi l’efficacia lì è da migliorare, magari con ulteriori azioni.</w:t>
      </w:r>
      <w:r/>
    </w:p>
    <w:p>
      <w:pPr>
        <w:numPr>
          <w:ilvl w:val="0"/>
          <w:numId w:val="27"/>
        </w:numPr>
        <w:pBdr/>
        <w:spacing/>
        <w:ind/>
        <w:rPr/>
      </w:pPr>
      <w:r>
        <w:t xml:space="preserve">L’</w:t>
      </w:r>
      <w:r>
        <w:rPr>
          <w:b/>
          <w:bCs/>
        </w:rPr>
        <w:t xml:space="preserve">efficienza</w:t>
      </w:r>
      <w:r>
        <w:t xml:space="preserve"> del sistema: se per ottenere risultati stiamo impiegando risorse adeguate, non eccessive o insufficienti. Ad esempio, se dedichiamo tantissime ore di formazione ma gli infortuni non calano, c’è inefficienza – forse il tipo di formazione non è centrato.</w:t>
      </w:r>
      <w:r/>
    </w:p>
    <w:p>
      <w:pPr>
        <w:numPr>
          <w:ilvl w:val="0"/>
          <w:numId w:val="27"/>
        </w:numPr>
        <w:pBdr/>
        <w:spacing/>
        <w:ind/>
        <w:rPr/>
      </w:pPr>
      <w:r>
        <w:rPr>
          <w:b/>
          <w:bCs/>
        </w:rPr>
        <w:t xml:space="preserve">Decisioni e azioni dal riesame</w:t>
      </w:r>
      <w:r>
        <w:t xml:space="preserve">: Il risultato più importante sono le </w:t>
      </w:r>
      <w:r>
        <w:rPr>
          <w:b/>
          <w:bCs/>
        </w:rPr>
        <w:t xml:space="preserve">decisioni</w:t>
      </w:r>
      <w:r>
        <w:t xml:space="preserve"> che la Direzione prende per il futuro, documentate nei </w:t>
      </w:r>
      <w:r>
        <w:rPr>
          <w:b/>
          <w:bCs/>
        </w:rPr>
        <w:t xml:space="preserve">verbali del riesame</w:t>
      </w:r>
      <w:r>
        <w:t xml:space="preserve">. Queste includono:</w:t>
      </w:r>
      <w:r/>
    </w:p>
    <w:p>
      <w:pPr>
        <w:pStyle w:val="1013"/>
        <w:numPr>
          <w:ilvl w:val="0"/>
          <w:numId w:val="27"/>
        </w:numPr>
        <w:pBdr/>
        <w:spacing/>
        <w:ind/>
        <w:rPr/>
      </w:pPr>
      <w:r>
        <w:rPr>
          <w:b/>
          <w:bCs/>
        </w:rPr>
        <w:t xml:space="preserve">Aggiornamento della Politica</w:t>
      </w:r>
      <w:r>
        <w:t xml:space="preserve">, se del caso. Spesso resta invariata se già ben formulata, ma ad esempio potrebbe integrarla con un riferimento nuovo (es. impegno su “well-being” o su “digitalizzazione sicurezza” se decide nuove direzioni).</w:t>
      </w:r>
      <w:r/>
    </w:p>
    <w:p>
      <w:pPr>
        <w:pStyle w:val="1013"/>
        <w:numPr>
          <w:ilvl w:val="0"/>
          <w:numId w:val="27"/>
        </w:numPr>
        <w:pBdr/>
        <w:spacing/>
        <w:ind/>
        <w:rPr/>
      </w:pPr>
      <w:r>
        <w:rPr>
          <w:b/>
          <w:bCs/>
        </w:rPr>
        <w:t xml:space="preserve">Obiettivi nuovi o rivisti</w:t>
      </w:r>
      <w:r>
        <w:t xml:space="preserve">: definire gli obiettivi di miglioramento per il prossimo periodo (triennio), con target e indicatori come visto in sez. 6</w:t>
      </w:r>
      <w:r>
        <w:t xml:space="preserve">.2. Ad es., “Visto che abbiamo raggiunto zero infortuni nel 2025, manteniamo questo come target e aggiungiamo riduzione del 20% delle emissioni di CO₂ anche per sinergia ambientale, correlata a migliorare cogenerazione” – se volesse un obiettivo integrato.</w:t>
      </w:r>
      <w:r/>
    </w:p>
    <w:p>
      <w:pPr>
        <w:pStyle w:val="1013"/>
        <w:numPr>
          <w:ilvl w:val="0"/>
          <w:numId w:val="27"/>
        </w:numPr>
        <w:pBdr/>
        <w:spacing/>
        <w:ind/>
        <w:rPr/>
      </w:pPr>
      <w:r>
        <w:rPr>
          <w:b/>
          <w:bCs/>
        </w:rPr>
        <w:t xml:space="preserve">Azioni correttive e preventive di alto livello</w:t>
      </w:r>
      <w:r>
        <w:t xml:space="preserve">: se sono emerse non conformità o carenze, il riesame può decidere su scala più grande azioni correttive. Esempio: “Abbiamo avuto 3 inf</w:t>
      </w:r>
      <w:r>
        <w:t xml:space="preserve">ortuni simili da scivolamento – la Direzione decide di investire €XX in rifacimento completo dei pavimenti del reparto lavaggio con materiale anti-scivolo e inserimento di un nuovo sistema di drenaggio, da completare entro 6 mesi. Resp: Ufficio Tecnico.”. </w:t>
      </w:r>
      <w:r>
        <w:t xml:space="preserve">Oppure “Notato stress termico elevato, acquistare 5 climatizzatori portatili evaporativi e rivedere turni”. Queste decisioni impegnano risorse, e essendo prese ai massimi livelli, vengono poi implementate.</w:t>
      </w:r>
      <w:r/>
    </w:p>
    <w:p>
      <w:pPr>
        <w:pStyle w:val="1013"/>
        <w:numPr>
          <w:ilvl w:val="0"/>
          <w:numId w:val="27"/>
        </w:numPr>
        <w:pBdr/>
        <w:spacing/>
        <w:ind/>
        <w:rPr/>
      </w:pPr>
      <w:r>
        <w:rPr>
          <w:b/>
          <w:bCs/>
        </w:rPr>
        <w:t xml:space="preserve">Riassegnazione di risorse</w:t>
      </w:r>
      <w:r>
        <w:t xml:space="preserve">: la Direzione valuta se le risorse per la sicurezza sono adeguate e può decidere incrementi. Ad esempio: “In considerazione delle nuove normative in arrivo</w:t>
      </w:r>
      <w:r>
        <w:t xml:space="preserve"> e dell’espansione produttiva, riteniamo opportuno assumere un ASPP aggiuntivo o destinare più ore del RSPP esterno – budget integrativo approvato per il 2026”. Oppure “Stanziati 30k€ per aggiornamento impianto di rilevazione incendi in magazzino essenze”.</w:t>
      </w:r>
      <w:r/>
    </w:p>
    <w:p>
      <w:pPr>
        <w:pStyle w:val="1013"/>
        <w:numPr>
          <w:ilvl w:val="0"/>
          <w:numId w:val="27"/>
        </w:numPr>
        <w:pBdr/>
        <w:spacing/>
        <w:ind/>
        <w:rPr/>
      </w:pPr>
      <w:r>
        <w:rPr>
          <w:b/>
          <w:bCs/>
        </w:rPr>
        <w:t xml:space="preserve">Miglioramenti del SGSSL</w:t>
      </w:r>
      <w:r>
        <w:t xml:space="preserve">: al di là di risolvere problemi, la Direzione può cogliere opportunità di innovazione. Ad es., dopo analisi, decide: “Implementeremo un software HSE dedicat</w:t>
      </w:r>
      <w:r>
        <w:t xml:space="preserve">o per gestione segnalazioni e audit, per aumentare efficacia monitoraggio” – affidando compito all’IT e RSPP. O “Valutiamo certificazione ISO 45001 per ottenere vantaggi competitivi e sconto INAIL OT23 – procedere con consulenza per certificarsi nel 2026”.</w:t>
      </w:r>
      <w:r/>
    </w:p>
    <w:p>
      <w:pPr>
        <w:numPr>
          <w:ilvl w:val="0"/>
          <w:numId w:val="27"/>
        </w:numPr>
        <w:pBdr/>
        <w:spacing/>
        <w:ind/>
        <w:rPr/>
      </w:pPr>
      <w:r>
        <w:rPr>
          <w:b/>
          <w:bCs/>
        </w:rPr>
        <w:t xml:space="preserve">Conferma del continuo adeguamento</w:t>
      </w:r>
      <w:r>
        <w:t xml:space="preserve">: la Direzione formalmente conclude che, sulla base del riesame, il SGSSL è (o con gli aggiustam</w:t>
      </w:r>
      <w:r>
        <w:t xml:space="preserve">enti decisi sarà) adeguato e appropriato al contesto e supporta la prevenzione di infortuni. Questa dichiarazione poi rimane agli atti e viene utilizzata anche per dimostrare impegno (ad auditor, ad autorità se chiedono evidenze di impegno top management).</w:t>
      </w:r>
      <w:r/>
    </w:p>
    <w:p>
      <w:pPr>
        <w:numPr>
          <w:ilvl w:val="0"/>
          <w:numId w:val="27"/>
        </w:numPr>
        <w:pBdr/>
        <w:spacing/>
        <w:ind/>
        <w:rPr/>
      </w:pPr>
      <w:r>
        <w:rPr>
          <w:b/>
          <w:bCs/>
        </w:rPr>
        <w:t xml:space="preserve">Output documentale</w:t>
      </w:r>
      <w:r>
        <w:t xml:space="preserve">: Tutta la riunione di riesame è verbalizzata. Il </w:t>
      </w:r>
      <w:r>
        <w:rPr>
          <w:b/>
          <w:bCs/>
        </w:rPr>
        <w:t xml:space="preserve">verbale di Riesame</w:t>
      </w:r>
      <w:r>
        <w:t xml:space="preserve"> elenca i partecipanti, la data, gli argomenti discussi (di solito seguendo un ordine del giorno pre-definito) e soprattutto le </w:t>
      </w:r>
      <w:r>
        <w:rPr>
          <w:b/>
          <w:bCs/>
        </w:rPr>
        <w:t xml:space="preserve">decisioni e azioni</w:t>
      </w:r>
      <w:r>
        <w:t xml:space="preserve"> con relative responsabilità e tempi. Questo verbale è considerato informazione </w:t>
      </w:r>
      <w:r>
        <w:t xml:space="preserve">documentata chiave e viene distribuito a chi di dovere per implementare le azioni. Ad esempio, se dal riesame risulta “Azione: predisporre nuovo layout segnaletica entro marzo, Resp. Ufficio Tecnico”, il verbale farà fede che il Resp. UT ha quell’incarico.</w:t>
      </w:r>
      <w:r/>
    </w:p>
    <w:p>
      <w:pPr>
        <w:numPr>
          <w:ilvl w:val="0"/>
          <w:numId w:val="27"/>
        </w:numPr>
        <w:pBdr/>
        <w:spacing/>
        <w:ind/>
        <w:rPr/>
      </w:pPr>
      <w:r>
        <w:rPr>
          <w:b/>
          <w:bCs/>
        </w:rPr>
        <w:t xml:space="preserve">Follow-up del riesame</w:t>
      </w:r>
      <w:r>
        <w:t xml:space="preserve">: Poiché molte azioni decise possono durare mesi o anni, la Direzione</w:t>
      </w:r>
      <w:r>
        <w:t xml:space="preserve"> non aspetta il prossimo riesame per vederne l’attuazione. In ogni riunione HSE mensile/trimestrale, si includono come punti di agenda anche gli avanzamenti delle azioni decise nel riesame, in modo da monitorare progressi e dare input se qualcosa rallenta.</w:t>
      </w:r>
      <w:r/>
    </w:p>
    <w:p>
      <w:pPr>
        <w:pStyle w:val="1012"/>
        <w:pBdr/>
        <w:spacing/>
        <w:ind/>
        <w:rPr/>
      </w:pPr>
      <w:r>
        <w:t xml:space="preserve">In conclusione, il </w:t>
      </w:r>
      <w:r>
        <w:rPr>
          <w:b/>
          <w:bCs/>
        </w:rPr>
        <w:t xml:space="preserve">Riesame della Direzione</w:t>
      </w:r>
      <w:r>
        <w:t xml:space="preserve"> in Agrumigel funge da “tagliando annuale strategico” del SGSSL, dove si guarda indietro ai risultati e avanti alle sfide future, con l’impegno diretto del top management. Questo processo garantisce all’organizzazione di rimanere </w:t>
      </w:r>
      <w:r>
        <w:rPr>
          <w:b/>
          <w:bCs/>
        </w:rPr>
        <w:t xml:space="preserve">allineata</w:t>
      </w:r>
      <w:r>
        <w:t xml:space="preserve"> sugli obiettivi di sicurezza, di dedicare risorse adeguate e di adattare il sistema man mano che l’azienda evolve. Dimostra inoltre, anche a eventuali auditor o parti terze, il concreto impegno della Direzione </w:t>
      </w:r>
      <w:r>
        <w:t xml:space="preserve">(che non delega tutto al RSPP, ma si assume la leadership e rende la sicurezza parte integrante della gestione aziendale complessiva). Dopo ogni riesame, i dipendenti in genere vedono cambiamenti o iniziative che segnalano l’attenzione del management – ad </w:t>
      </w:r>
      <w:r>
        <w:t xml:space="preserve">esempio nuovi investimenti, nuove comunicazioni – il che rinforza la cultura che la sicurezza è davvero importante ai massimi livelli, non solo a parole.</w:t>
      </w:r>
      <w:r/>
    </w:p>
    <w:p>
      <w:pPr>
        <w:pStyle w:val="999"/>
        <w:pBdr/>
        <w:spacing/>
        <w:ind/>
        <w:rPr/>
      </w:pPr>
      <w:r/>
      <w:bookmarkStart w:id="67" w:name="miglioramento"/>
      <w:r/>
      <w:bookmarkStart w:id="68" w:name="_Toc211351974"/>
      <w:r/>
      <w:bookmarkEnd w:id="65"/>
      <w:r/>
      <w:bookmarkEnd w:id="57"/>
      <w:r>
        <w:t xml:space="preserve">Miglioramento</w:t>
      </w:r>
      <w:bookmarkEnd w:id="68"/>
      <w:r/>
      <w:r/>
    </w:p>
    <w:p>
      <w:pPr>
        <w:pStyle w:val="1000"/>
        <w:pBdr/>
        <w:spacing/>
        <w:ind/>
        <w:rPr/>
      </w:pPr>
      <w:r/>
      <w:bookmarkStart w:id="69" w:name="X00f2fe1093acdf45242738ee84d27d2439c9aca"/>
      <w:r/>
      <w:bookmarkStart w:id="70" w:name="_Toc211351975"/>
      <w:r>
        <w:t xml:space="preserve">Incidenti, non conformità e azioni correttive</w:t>
      </w:r>
      <w:bookmarkEnd w:id="70"/>
      <w:r/>
      <w:r/>
    </w:p>
    <w:p>
      <w:pPr>
        <w:pStyle w:val="1012"/>
        <w:pBdr/>
        <w:spacing/>
        <w:ind/>
        <w:rPr/>
      </w:pPr>
      <w:r>
        <w:t xml:space="preserve">Agrumigel adotta un approccio rigoroso e analitico alla gestione di ogni </w:t>
      </w:r>
      <w:r>
        <w:rPr>
          <w:b/>
          <w:bCs/>
        </w:rPr>
        <w:t xml:space="preserve">incidente</w:t>
      </w:r>
      <w:r>
        <w:t xml:space="preserve">, infortunio, mancato infortunio (near miss) o </w:t>
      </w:r>
      <w:r>
        <w:rPr>
          <w:b/>
          <w:bCs/>
        </w:rPr>
        <w:t xml:space="preserve">non conformità</w:t>
      </w:r>
      <w:r>
        <w:t xml:space="preserve"> che si verifichi in materia di SSL. L’obiettivo è duplice: da un lato, </w:t>
      </w:r>
      <w:r>
        <w:rPr>
          <w:b/>
          <w:bCs/>
        </w:rPr>
        <w:t xml:space="preserve">risolvere</w:t>
      </w:r>
      <w:r>
        <w:t xml:space="preserve"> nell’immediato le conseguenze dell’evento (curare l’infortunato, ripristinare condizioni di sicurezza), dall’altro </w:t>
      </w:r>
      <w:r>
        <w:rPr>
          <w:b/>
          <w:bCs/>
        </w:rPr>
        <w:t xml:space="preserve">imparare dall’evento</w:t>
      </w:r>
      <w:r>
        <w:t xml:space="preserve"> per evitare che si ripeta, tramite l’individuazione di cause profonde e l’implementazione di opportune </w:t>
      </w:r>
      <w:r>
        <w:rPr>
          <w:b/>
          <w:bCs/>
        </w:rPr>
        <w:t xml:space="preserve">azioni correttive e preventive</w:t>
      </w:r>
      <w:r>
        <w:t xml:space="preserve">.</w:t>
      </w:r>
      <w:r/>
    </w:p>
    <w:p>
      <w:pPr>
        <w:pStyle w:val="1011"/>
        <w:pBdr/>
        <w:spacing/>
        <w:ind/>
        <w:rPr/>
      </w:pPr>
      <w:r>
        <w:t xml:space="preserve">La procedura seguita (formalizzata in una Procedura Gestione Infortuni e Non Conformità) è la seguente:</w:t>
      </w:r>
      <w:r/>
    </w:p>
    <w:p>
      <w:pPr>
        <w:numPr>
          <w:ilvl w:val="0"/>
          <w:numId w:val="28"/>
        </w:numPr>
        <w:pBdr/>
        <w:spacing/>
        <w:ind/>
        <w:rPr/>
      </w:pPr>
      <w:r>
        <w:rPr>
          <w:b/>
          <w:bCs/>
        </w:rPr>
        <w:t xml:space="preserve">Segnalazione e registrazione iniziale</w:t>
      </w:r>
      <w:r>
        <w:t xml:space="preserve">: Tutti gli incidenti e le non conformità devono essere segnalati tempestivamente. </w:t>
      </w:r>
      <w:r>
        <w:t xml:space="preserve">Un infortunio o quasi infortunio viene subito comunicato dal lavoratore coinvolto o dai presenti al preposto/RSPP. Anche una condizione pericolosa riscontrata (es. un macchinario con protezione rotta) viene trattata come non conformità e segnalata. C’è un </w:t>
      </w:r>
      <w:r>
        <w:rPr>
          <w:b/>
          <w:bCs/>
        </w:rPr>
        <w:t xml:space="preserve">modulo di segnalazione incidente/NC</w:t>
      </w:r>
      <w:r>
        <w:t xml:space="preserve"> da compilare inizialmente con i dati essenziali: data, ora, luogo, descrizione dell’evento, persone coinvolte, esito (es. tipologia di lesione), misure immediate adottate. Questo avvia formalmente il processo.</w:t>
      </w:r>
      <w:r/>
    </w:p>
    <w:p>
      <w:pPr>
        <w:numPr>
          <w:ilvl w:val="0"/>
          <w:numId w:val="28"/>
        </w:numPr>
        <w:pBdr/>
        <w:spacing/>
        <w:ind/>
        <w:rPr/>
      </w:pPr>
      <w:r>
        <w:rPr>
          <w:b/>
          <w:bCs/>
        </w:rPr>
        <w:t xml:space="preserve">Azioni correttive immediate (contenimento)</w:t>
      </w:r>
      <w:r>
        <w:t xml:space="preserve">: Appena avvenuto l’evento, si mettono in atto misure di contenimento: ad esempio, in caso di infortunio, si presta pronto soccorso e si mette in sicurezza l’area (spegnere macchinario se </w:t>
      </w:r>
      <w:r>
        <w:t xml:space="preserve">necessario, isolare la zona per evitare altri incidenti). Se si riscontra una condizione non conforme (es. un cavo elettrico scoperto), la si elimina subito (togliere tensione e far riparare). L’area o l’attrezzatura coinvolta in un incidente viene spesso </w:t>
      </w:r>
      <w:r>
        <w:rPr>
          <w:b/>
          <w:bCs/>
        </w:rPr>
        <w:t xml:space="preserve">bloccata</w:t>
      </w:r>
      <w:r>
        <w:t xml:space="preserve"> in attesa di analisi, soprat</w:t>
      </w:r>
      <w:r>
        <w:t xml:space="preserve">tutto se si sospetta un malfunzionamento tecnico – questo per preservare evidenze per l’indagine e prevenire rischi immediati ad altri. Ad esempio, se si rompe una catena di sollevamento, quella macchina è fermata fino a conclusione indagine e riparazione.</w:t>
      </w:r>
      <w:r/>
    </w:p>
    <w:p>
      <w:pPr>
        <w:numPr>
          <w:ilvl w:val="0"/>
          <w:numId w:val="28"/>
        </w:numPr>
        <w:pBdr/>
        <w:spacing/>
        <w:ind/>
        <w:rPr/>
      </w:pPr>
      <w:r>
        <w:rPr>
          <w:b/>
          <w:bCs/>
        </w:rPr>
        <w:t xml:space="preserve">Indagine dell’evento</w:t>
      </w:r>
      <w:r>
        <w:t xml:space="preserve">: Il RSPP (o ASPP, se designato) conduce un’</w:t>
      </w:r>
      <w:r>
        <w:rPr>
          <w:b/>
          <w:bCs/>
        </w:rPr>
        <w:t xml:space="preserve">indagine approfondita</w:t>
      </w:r>
      <w:r>
        <w:t xml:space="preserve"> sull’incidente o quasi-incidente. A seconda della gravità, viene formata una piccola commissione interna comprensiva di: RSPP, preposto del reparto, RLS (sicuramente se infortunio serio, c</w:t>
      </w:r>
      <w:r>
        <w:t xml:space="preserve">ome da art.50 D.Lgs.81, l’RLS deve essere coinvolto nell’indagine), eventualmente il MC se riguarda salute (esposizione chimica), e chiunque possa dare contributi (testimoni, operatore coinvolto se in grado, manutentore per aspetti tecnici). Si raccolgono </w:t>
      </w:r>
      <w:r>
        <w:rPr>
          <w:b/>
          <w:bCs/>
        </w:rPr>
        <w:t xml:space="preserve">prove e informazioni</w:t>
      </w:r>
      <w:r>
        <w:t xml:space="preserve">: testimonianze oculari (interviste a chi era presente, </w:t>
      </w:r>
      <w:r>
        <w:t xml:space="preserve">con atteggiamento blame-free per incoraggiare verit</w:t>
      </w:r>
      <w:r>
        <w:t xml:space="preserve">à), fotografie della scena, raccolta di eventuali pezzi o registrazioni strumentali (es. log macchine se disponibile), documenti (es. manutenzione ultima fatta alla macchina, formazione dell’infortunato). Se l’evento è grave (infortunio serio, incendio, et</w:t>
      </w:r>
      <w:r>
        <w:t xml:space="preserve">c.), oltre all’indagine interna c’è spesso un’indagine esterna da parte degli organi pubblici (ASL, VVF, INL) con cui l’azienda coopera fornendo accesso e documenti. L’indagine interna può attendere parallelamente, ma intanto il RSPP raccoglie ciò che può.</w:t>
      </w:r>
      <w:r/>
    </w:p>
    <w:p>
      <w:pPr>
        <w:numPr>
          <w:ilvl w:val="0"/>
          <w:numId w:val="28"/>
        </w:numPr>
        <w:pBdr/>
        <w:spacing/>
        <w:ind/>
        <w:rPr/>
      </w:pPr>
      <w:r>
        <w:rPr>
          <w:b/>
          <w:bCs/>
        </w:rPr>
        <w:t xml:space="preserve">Analisi delle cause</w:t>
      </w:r>
      <w:r>
        <w:t xml:space="preserve">: Con le informazioni raccolte, si identificano le </w:t>
      </w:r>
      <w:r>
        <w:rPr>
          <w:b/>
          <w:bCs/>
        </w:rPr>
        <w:t xml:space="preserve">cause immediate</w:t>
      </w:r>
      <w:r>
        <w:t xml:space="preserve"> (quello che ha direttamente portato all’evento) e soprattutto le </w:t>
      </w:r>
      <w:r>
        <w:rPr>
          <w:b/>
          <w:bCs/>
        </w:rPr>
        <w:t xml:space="preserve">cause radice</w:t>
      </w:r>
      <w:r>
        <w:t xml:space="preserve"> o di fondo (problemi di sistema che hanno permesso l’evento). Si utilizzano tecniche come:</w:t>
      </w:r>
      <w:r/>
    </w:p>
    <w:p>
      <w:pPr>
        <w:pStyle w:val="1013"/>
        <w:numPr>
          <w:ilvl w:val="0"/>
          <w:numId w:val="28"/>
        </w:numPr>
        <w:pBdr/>
        <w:spacing/>
        <w:ind/>
        <w:rPr/>
      </w:pPr>
      <w:r>
        <w:t xml:space="preserve">I “5 perché” (chiedersi perché ciascuna causa accaduta, fino ad arrivare a cause sistemiche).</w:t>
      </w:r>
      <w:r/>
    </w:p>
    <w:p>
      <w:pPr>
        <w:pStyle w:val="1013"/>
        <w:numPr>
          <w:ilvl w:val="0"/>
          <w:numId w:val="28"/>
        </w:numPr>
        <w:pBdr/>
        <w:spacing/>
        <w:ind/>
        <w:rPr/>
      </w:pPr>
      <w:r>
        <w:t xml:space="preserve">Diagramma di Ishikawa (spina di pesce) per considerare possibili cause in varie categorie (uomo, macchina, metodo, ambiente, materiale).</w:t>
      </w:r>
      <w:r/>
    </w:p>
    <w:p>
      <w:pPr>
        <w:pStyle w:val="1013"/>
        <w:numPr>
          <w:ilvl w:val="0"/>
          <w:numId w:val="28"/>
        </w:numPr>
        <w:pBdr/>
        <w:spacing/>
        <w:ind/>
        <w:rPr/>
      </w:pPr>
      <w:r>
        <w:t xml:space="preserve">Albero degli eventi (se incidente complesso, analisi eventi successivi).</w:t>
      </w:r>
      <w:r/>
    </w:p>
    <w:p>
      <w:pPr>
        <w:pStyle w:val="1012"/>
        <w:pBdr/>
        <w:spacing/>
        <w:ind/>
        <w:rPr/>
      </w:pPr>
      <w:r>
        <w:t xml:space="preserve">Ad esempio, un caso: un lavoratore si è tagliato la mano con una lama durante pulizia. Cause immediate: ha messo mano in area pericolosa mentre la lama non era completamente ferma. </w:t>
      </w:r>
      <w:r>
        <w:t xml:space="preserve">Perché? Forse perché non ha atteso l’arresto totale (errore umano). Ma perché l’ha fatto? Forse la procedura non era chiara che attendere X minuti, o era pressato dal tempo. O magari la lama non doveva poter essere accessibile – era il riparo disinserito? </w:t>
      </w:r>
      <w:r>
        <w:t xml:space="preserve">Scopriamo che il riparo era removibile senza interblocco. Perché? Macchina datata senza upgrade. Perché non è stato messo interblocco? Mancanza di valutazione del rischio su quell’operazione. Quindi cause radice: insufficiente adeguamento tecnico di sicure</w:t>
      </w:r>
      <w:r>
        <w:t xml:space="preserve">zza e gap formativo su procedura di pulizia. L’analisi quindi deve portare ad individuare: cosa non ha funzionato nel sistema (es. carenza di formazione, supervisione inadeguata, attrezzatura non a norma, rischio non valutato, segnalazione ignorata, ecc.).</w:t>
      </w:r>
      <w:r/>
    </w:p>
    <w:p>
      <w:pPr>
        <w:numPr>
          <w:ilvl w:val="0"/>
          <w:numId w:val="29"/>
        </w:numPr>
        <w:pBdr/>
        <w:spacing/>
        <w:ind/>
        <w:rPr/>
      </w:pPr>
      <w:r>
        <w:rPr>
          <w:b/>
          <w:bCs/>
        </w:rPr>
        <w:t xml:space="preserve">Report di incidente e raccomandazioni</w:t>
      </w:r>
      <w:r>
        <w:t xml:space="preserve">: L’esito dell’indagine è formalizzato in un </w:t>
      </w:r>
      <w:r>
        <w:rPr>
          <w:b/>
          <w:bCs/>
        </w:rPr>
        <w:t xml:space="preserve">rapporto di incidente</w:t>
      </w:r>
      <w:r>
        <w:t xml:space="preserve"> (o di near miss). Questo rapporto dettaglia la dinamica, le cause individuate, e propone delle </w:t>
      </w:r>
      <w:r>
        <w:rPr>
          <w:b/>
          <w:bCs/>
        </w:rPr>
        <w:t xml:space="preserve">azioni correttive</w:t>
      </w:r>
      <w:r>
        <w:t xml:space="preserve"> (e se opportuno preventive) per </w:t>
      </w:r>
      <w:r>
        <w:t xml:space="preserve">evitare recidive. Nel caso del taglio ipotetico: Azioni proposte – 1) installare interblocco di sicurezza sul riparo della lama entro 1 mese; 2) aggiornare procedura di pulizia includendo tempo di attesa e formare di nuovo tutti gli operatori di quel repar</w:t>
      </w:r>
      <w:r>
        <w:t xml:space="preserve">to; 3) enfatizzare in prossima riunione periodica la lezione appresa. Il rapporto viene condiviso con la Direzione e discusso anche con l’RLS (la legge prevede che RLS partecipi all’individuazione di cause e misure), e infine archiviato. Se l’infortunio è </w:t>
      </w:r>
      <w:r>
        <w:rPr>
          <w:b/>
          <w:bCs/>
        </w:rPr>
        <w:t xml:space="preserve">denunciabile</w:t>
      </w:r>
      <w:r>
        <w:t xml:space="preserve"> (prognosi &gt;3 giorni), viene inviata anche la denuncia all’INAIL nei tempi (entro 48 ore) e eventuale comunicazione a autorità se grave (ASL entro 24h per infortuni mortali o molto gravi). La modulistica INAIL/ASL è compilata e conservata agli atti.</w:t>
      </w:r>
      <w:r/>
    </w:p>
    <w:p>
      <w:pPr>
        <w:numPr>
          <w:ilvl w:val="0"/>
          <w:numId w:val="29"/>
        </w:numPr>
        <w:pBdr/>
        <w:spacing/>
        <w:ind/>
        <w:rPr/>
      </w:pPr>
      <w:r>
        <w:rPr>
          <w:b/>
          <w:bCs/>
        </w:rPr>
        <w:t xml:space="preserve">Implementazione delle azioni correttive</w:t>
      </w:r>
      <w:r>
        <w:t xml:space="preserve">: Le azioni raccomandate vengono approvate </w:t>
      </w:r>
      <w:r>
        <w:t xml:space="preserve">dalla Direzione (soprattutto se implicano costi o modifiche strutturali) e poi implementate. Ogni azione ha un responsabile assegnato e una data target. Vengono poi seguite come parte del programma di miglioramento. Alcune azioni correttive possono essere </w:t>
      </w:r>
      <w:r>
        <w:t xml:space="preserve">immediate: es. se un DPI risulta inadeguato e ha causato un incidente, quell’articolo viene subito sostituito con uno migliore. Altre richiedono tempo: es. modifica impianto – pianificata e attuata durante un fermo impianti. Fondamentale: se l’azione corre</w:t>
      </w:r>
      <w:r>
        <w:t xml:space="preserve">ttiva implica modifica a Documenti (DVR, procedure), questi vengono aggiornati conseguentemente. Ad esempio, dopo quell’incidente, nel DVR verrà aggiunto il rischio “taglio durante pulizia lama” e le misure (interblocco, procedura aggiornata) come attuate.</w:t>
      </w:r>
      <w:r/>
    </w:p>
    <w:p>
      <w:pPr>
        <w:numPr>
          <w:ilvl w:val="0"/>
          <w:numId w:val="29"/>
        </w:numPr>
        <w:pBdr/>
        <w:spacing/>
        <w:ind/>
        <w:rPr/>
      </w:pPr>
      <w:r>
        <w:rPr>
          <w:b/>
          <w:bCs/>
        </w:rPr>
        <w:t xml:space="preserve">Verifica dell’efficacia</w:t>
      </w:r>
      <w:r>
        <w:t xml:space="preserve">: Dopo un certo periodo dall’attuazione delle azioni, il RSPP (o il Team audit) verifica se l’azione correttiva è efficace, ovvero se il problema è risolto e non si ripresenta. Nel nostro esempio: si osserva nelle pulizie successive che ora gl</w:t>
      </w:r>
      <w:r>
        <w:t xml:space="preserve">i operatori seguono la procedura e con l’interblocco non possono più accedere a lama in movimento – quindi l’azione appare efficace; nessun incidente simile è più occorso in X mesi. Se invece, ipoteticamente, malgrado l’azione un altro incidente simile acc</w:t>
      </w:r>
      <w:r>
        <w:t xml:space="preserve">ade, significa che la correzione non era sufficiente – si riapre l’analisi e si cercano cause ulteriori o diverse misure (forse serve anche un sensore che avvisi, o doppio check, etc.). Anche per near miss, se dopo azioni continuano ad accadere, si rivede.</w:t>
      </w:r>
      <w:r/>
    </w:p>
    <w:p>
      <w:pPr>
        <w:numPr>
          <w:ilvl w:val="0"/>
          <w:numId w:val="29"/>
        </w:numPr>
        <w:pBdr/>
        <w:spacing/>
        <w:ind/>
        <w:rPr/>
      </w:pPr>
      <w:r>
        <w:rPr>
          <w:b/>
          <w:bCs/>
        </w:rPr>
        <w:t xml:space="preserve">Registro delle non conformità e azioni correttive</w:t>
      </w:r>
      <w:r>
        <w:t xml:space="preserve">: Tutte le non conformità (che includono incidenti) e relative azioni correttive/preventive sono tenute in un </w:t>
      </w:r>
      <w:r>
        <w:rPr>
          <w:b/>
          <w:bCs/>
        </w:rPr>
        <w:t xml:space="preserve">registro (log)</w:t>
      </w:r>
      <w:r>
        <w:t xml:space="preserve">, possibilmente informatizzato. Questo log permette di monitorare lo stato (aperto/in corso/chiuso) di ciascuna azione. Ad ogni riesame di direzione, come input c’è uno status sulle non conformità occorse e sulle correzioni completate.</w:t>
      </w:r>
      <w:r/>
    </w:p>
    <w:p>
      <w:pPr>
        <w:numPr>
          <w:ilvl w:val="0"/>
          <w:numId w:val="29"/>
        </w:numPr>
        <w:pBdr/>
        <w:spacing/>
        <w:ind/>
        <w:rPr/>
      </w:pPr>
      <w:r>
        <w:rPr>
          <w:b/>
          <w:bCs/>
        </w:rPr>
        <w:t xml:space="preserve">Comunicazione delle lezioni apprese</w:t>
      </w:r>
      <w:r>
        <w:t xml:space="preserve">: Un aspetto importante è diffondere le </w:t>
      </w:r>
      <w:r>
        <w:rPr>
          <w:b/>
          <w:bCs/>
        </w:rPr>
        <w:t xml:space="preserve">lesson learned</w:t>
      </w:r>
      <w:r>
        <w:t xml:space="preserve">. L’az</w:t>
      </w:r>
      <w:r>
        <w:t xml:space="preserve">ienda promuove, compatibilmente con la sensibilità, la condivisione dell’esperienza: se succede un infortunio, se ne parla in quell’area con tutti per capire e ricordare le regole. Se ad esempio un forklift ha urtato una scaffalatura (near miss per crollo)</w:t>
      </w:r>
      <w:r>
        <w:t xml:space="preserve">, tutti i mulettisti vengono riuniti dal logistic manager e RSPP per analizzare l’evento e ricordare i limiti di velocità, etc. In alcuni casi, si estende oltre: se succede un incidente in un reparto, ci si chiede “poteva succedere anche altrove?” e se sì </w:t>
      </w:r>
      <w:r>
        <w:t xml:space="preserve">si agisce anche in quell’altrove. Esempio, l’incidente col riparo assente su lama spinge a controllare tutti i macchinari simili in altri reparti per installare interblocchi dove mancanti, anche se lì non c’è ancora stato incidente – questo è un’approccio </w:t>
      </w:r>
      <w:r>
        <w:rPr>
          <w:b/>
          <w:bCs/>
        </w:rPr>
        <w:t xml:space="preserve">preventivo</w:t>
      </w:r>
      <w:r>
        <w:t xml:space="preserve"> globale.</w:t>
      </w:r>
      <w:r/>
    </w:p>
    <w:p>
      <w:pPr>
        <w:numPr>
          <w:ilvl w:val="0"/>
          <w:numId w:val="29"/>
        </w:numPr>
        <w:pBdr/>
        <w:spacing/>
        <w:ind/>
        <w:rPr/>
      </w:pPr>
      <w:r>
        <w:rPr>
          <w:b/>
          <w:bCs/>
        </w:rPr>
        <w:t xml:space="preserve">Coinvolgimento assicurativo e incentivi</w:t>
      </w:r>
      <w:r>
        <w:t xml:space="preserve">: La gestione degli infortuni coinvolge anche la gestione assic</w:t>
      </w:r>
      <w:r>
        <w:t xml:space="preserve">urativa (INAIL). L’azienda, avendo un buon trend di miglioramento, può presentare a INAIL la domanda di riduzione del tasso (OT23) con documentazione delle azioni migliorative effettuate – in questo caso avere i registri degli interventi è utile. Inoltre, </w:t>
      </w:r>
      <w:r>
        <w:t xml:space="preserve">se un infortunio è dovuto a terzi (es. appaltatore ha creato condizione pericolosa), l’azienda valuterà eventuali azioni di rivalsa, ma questo è più in ambito legale.</w:t>
      </w:r>
      <w:r/>
    </w:p>
    <w:p>
      <w:pPr>
        <w:pStyle w:val="1012"/>
        <w:pBdr/>
        <w:spacing/>
        <w:ind/>
        <w:rPr/>
      </w:pPr>
      <w:r>
        <w:t xml:space="preserve">Il sistema di gestione delle non conformità e incidenti in Agrumigel riflette una </w:t>
      </w:r>
      <w:r>
        <w:rPr>
          <w:b/>
          <w:bCs/>
        </w:rPr>
        <w:t xml:space="preserve">cultura di miglioramento continuo</w:t>
      </w:r>
      <w:r>
        <w:t xml:space="preserve">: ogni evento negativo viene trasformato in occasione per rafforzare la sicurezza. L’obiettivo finale è tendere a zero incidenti, ma sapendo che può</w:t>
      </w:r>
      <w:r>
        <w:t xml:space="preserve"> sempre capitare l’imprevisto umano o tecnico, l’importante è reagire in modo tempestivo e intelligente. Questo metodo ha portato nel tempo a ridurre drasticamente la ripetizione di incidenti simili: raramente la stessa causa provoca due volte un infortuni</w:t>
      </w:r>
      <w:r>
        <w:t xml:space="preserve">o, perché dopo la prima occorrenza già si è intervenuti. Le statistiche interne lo confermano: dove nel 2018-2020 avevamo ripetuti casi di tagli con cutter, abbiamo introdotto guanti anti-taglio e training – dal 2021 zero casi di quel tipo. Dove nel 2022 d</w:t>
      </w:r>
      <w:r>
        <w:t xml:space="preserve">ue scivolate – nel 2023 rifatti pavimenti e aggiunto segnaletica – nel 2024 zero scivolate. Questo dimostra ai lavoratori che se succede qualcosa, l’azienda reagisce e migliora, aumentando così la fiducia nel sistema (non c’è rassegnazione ma proattività).</w:t>
      </w:r>
      <w:r/>
    </w:p>
    <w:p>
      <w:pPr>
        <w:pStyle w:val="1000"/>
        <w:pBdr/>
        <w:spacing/>
        <w:ind/>
        <w:rPr/>
      </w:pPr>
      <w:r/>
      <w:bookmarkStart w:id="71" w:name="miglioramento-continuo"/>
      <w:r/>
      <w:bookmarkStart w:id="72" w:name="_Toc211351976"/>
      <w:r/>
      <w:bookmarkEnd w:id="69"/>
      <w:r>
        <w:t xml:space="preserve">Miglioramento continuo</w:t>
      </w:r>
      <w:bookmarkEnd w:id="72"/>
      <w:r/>
      <w:r/>
    </w:p>
    <w:p>
      <w:pPr>
        <w:pStyle w:val="1012"/>
        <w:pBdr/>
        <w:spacing/>
        <w:ind/>
        <w:rPr/>
      </w:pPr>
      <w:r>
        <w:t xml:space="preserve">La filosofia di Agrumigel in tema di SSL non è di accontentarsi della semplice conformità o di risultati soddisfacenti, ma di </w:t>
      </w:r>
      <w:r>
        <w:rPr>
          <w:b/>
          <w:bCs/>
        </w:rPr>
        <w:t xml:space="preserve">perseguire un costante miglioramento</w:t>
      </w:r>
      <w:r>
        <w:t xml:space="preserve"> delle condizioni di lavoro e della sicurezza, in linea con il principio dell’“</w:t>
      </w:r>
      <w:r>
        <w:rPr>
          <w:b/>
          <w:bCs/>
        </w:rPr>
        <w:t xml:space="preserve">Zero infortuni</w:t>
      </w:r>
      <w:r>
        <w:t xml:space="preserve">” e del miglioramento continuo richiesto dalla ISO 45001. Questo impegno si traduce in una serie di pratiche e atteggiamenti che pervadono il sistema di gestione:</w:t>
      </w:r>
      <w:r/>
    </w:p>
    <w:p>
      <w:pPr>
        <w:numPr>
          <w:ilvl w:val="0"/>
          <w:numId w:val="30"/>
        </w:numPr>
        <w:pBdr/>
        <w:spacing/>
        <w:ind/>
        <w:rPr/>
      </w:pPr>
      <w:r>
        <w:rPr>
          <w:b/>
          <w:bCs/>
        </w:rPr>
        <w:t xml:space="preserve">Cultura del miglioramento</w:t>
      </w:r>
      <w:r>
        <w:t xml:space="preserve">: L’azienda promuove attivamente una cultura in cui tutti, dal top management ai lavoratori operativi, sono incoraggiati a </w:t>
      </w:r>
      <w:r>
        <w:rPr>
          <w:b/>
          <w:bCs/>
        </w:rPr>
        <w:t xml:space="preserve">cercare opportunità</w:t>
      </w:r>
      <w:r>
        <w:t xml:space="preserve"> per rendere l’ambiente di lavoro più sicuro e salubre. Non ci si limita a reagire ai problemi, ma si </w:t>
      </w:r>
      <w:r>
        <w:rPr>
          <w:b/>
          <w:bCs/>
        </w:rPr>
        <w:t xml:space="preserve">proattiva</w:t>
      </w:r>
      <w:r>
        <w:t xml:space="preserve"> ricerca di potenziali miglioramenti anche in assenza di incidenti. Ad esempio, se un lavoratore suggerisce un’idea per ridurre uno sforzo o semplificare in sicurezza un’operazione, questa viene pre</w:t>
      </w:r>
      <w:r>
        <w:t xml:space="preserve">sa in considerazione e se valida implementata, anche se non c’è stato alcun infortunio correlato precedentemente. Vengono premiate le proposte innovative dei dipendenti (c’è un piccolo programma di riconoscimento per la “Miglior idea sicurezza dell’anno”).</w:t>
      </w:r>
      <w:r/>
    </w:p>
    <w:p>
      <w:pPr>
        <w:numPr>
          <w:ilvl w:val="0"/>
          <w:numId w:val="30"/>
        </w:numPr>
        <w:pBdr/>
        <w:spacing/>
        <w:ind/>
        <w:rPr/>
      </w:pPr>
      <w:r>
        <w:rPr>
          <w:b/>
          <w:bCs/>
        </w:rPr>
        <w:t xml:space="preserve">Aggiornamento tecnologico</w:t>
      </w:r>
      <w:r>
        <w:t xml:space="preserve">: Agrumigel resta al passo con l’evoluzione tecnologica in ambito sicurezza. Ogni anno la Direzione e il RSPP esaminano se vi siano nuove attrezzature o soluzioni che possano ridurre i rischi: ad esempio, l’introduzione di </w:t>
      </w:r>
      <w:r>
        <w:rPr>
          <w:b/>
          <w:bCs/>
        </w:rPr>
        <w:t xml:space="preserve">eso-scheletri</w:t>
      </w:r>
      <w:r>
        <w:t xml:space="preserve"> o supporti ergonomici per sollevamenti; sensori wearable di sicurezza</w:t>
      </w:r>
      <w:r>
        <w:rPr>
          <w:highlight w:val="none"/>
        </w:rPr>
        <w:t xml:space="preserve"> (</w:t>
      </w:r>
      <w:r>
        <w:rPr>
          <w:highlight w:val="none"/>
        </w:rPr>
        <w:t xml:space="preserve">uomo a terra</w:t>
      </w:r>
      <w:r>
        <w:rPr>
          <w:highlight w:val="none"/>
        </w:rPr>
        <w:t xml:space="preserve">, </w:t>
      </w:r>
      <w:r>
        <w:rPr>
          <w:highlight w:val="none"/>
        </w:rPr>
        <w:t xml:space="preserve">alle</w:t>
      </w:r>
      <w:r>
        <w:t xml:space="preserve">rta vibrazioni eccessive); sistemi di visione o segnalazione per i carrelli (anti-collisione con pedoni). Se una tecnologia matura ed efficace è disponibile e applicabile, l’azienda valuta investimenti pilota. </w:t>
      </w:r>
      <w:r>
        <w:t xml:space="preserve"> Si guarda anche all’automazione: dove possibile eliminare l’elemento di rischio manuale (es. in prospettiva, considerare robot per movimentare fusti pesanti).</w:t>
      </w:r>
      <w:r/>
    </w:p>
    <w:p>
      <w:pPr>
        <w:numPr>
          <w:ilvl w:val="0"/>
          <w:numId w:val="30"/>
        </w:numPr>
        <w:pBdr/>
        <w:spacing/>
        <w:ind/>
        <w:rPr/>
      </w:pPr>
      <w:r>
        <w:rPr>
          <w:b/>
          <w:bCs/>
        </w:rPr>
        <w:t xml:space="preserve">Benchmarking e condivisione</w:t>
      </w:r>
      <w:r>
        <w:t xml:space="preserve">: L’azienda confronta le proprie pratiche con quelle di altre realtà del settore. Partecipa a convegni, tavoli tecnici (es. incontri di associazioni di categoria su sicurezza), e condivide esperienze. Questo con</w:t>
      </w:r>
      <w:r>
        <w:t xml:space="preserve">sente di individuare spunti di miglioramento presi da altri. Ad esempio, attraverso Confindustria locale si è venuti a conoscenza di un sistema di aspirazione innovativo per polveri di scorza – ora in valutazione per upgrade. Oppure, guardando ai leader di</w:t>
      </w:r>
      <w:r>
        <w:t xml:space="preserve"> settore, si nota che attuano programmi di “Safety Walk” (passeggiate di sicurezza dei dirigenti in reparto): allora anche i nostri manager iniziano a fare giri settimanali per parlare di sicurezza con gli operai, una pratica nuova che stiamo introducendo.</w:t>
      </w:r>
      <w:r/>
    </w:p>
    <w:p>
      <w:pPr>
        <w:numPr>
          <w:ilvl w:val="0"/>
          <w:numId w:val="30"/>
        </w:numPr>
        <w:pBdr/>
        <w:spacing/>
        <w:ind/>
        <w:rPr/>
      </w:pPr>
      <w:r>
        <w:rPr>
          <w:b/>
          <w:bCs/>
        </w:rPr>
        <w:t xml:space="preserve">Miglioramento integrato</w:t>
      </w:r>
      <w:r>
        <w:t xml:space="preserve">: Il miglioramento continuo in SSL è visto in sinergia con gli altri ambiti (qualità, ambiente,sicurezza</w:t>
      </w:r>
      <w:r>
        <w:t xml:space="preserve">). Spesso un’azione di miglioramento abbraccia più aspetti. Esempio: l’installazione di un </w:t>
      </w:r>
      <w:r>
        <w:rPr>
          <w:b/>
          <w:bCs/>
        </w:rPr>
        <w:t xml:space="preserve">impianto di cogenerazione più efficiente</w:t>
      </w:r>
      <w:r>
        <w:t xml:space="preserve"> ha ridotto emissioni ambientali, ma anche migliorato sicurezza rispetto alla vecchia caldaia perché dotata di migliori sistemi di controllo e ridondanze (meno rischio esplosione) e ridotto rumore. Oppure, l’iniziativa di “5S” ordine e pulizia attu</w:t>
      </w:r>
      <w:r>
        <w:t xml:space="preserve">ata per qualità ha avuto impatto positivo su sicurezza (meno ingombri = meno inciampi). Quindi l’azienda cerca sinergie: investimenti che diano benefici multipli sono favoriti. Il riesame integrato (visto in 9.3) aiuta proprio a scovare queste opportunità.</w:t>
      </w:r>
      <w:r/>
    </w:p>
    <w:p>
      <w:pPr>
        <w:numPr>
          <w:ilvl w:val="0"/>
          <w:numId w:val="30"/>
        </w:numPr>
        <w:pBdr/>
        <w:spacing/>
        <w:ind/>
        <w:rPr/>
      </w:pPr>
      <w:r>
        <w:rPr>
          <w:b/>
          <w:bCs/>
        </w:rPr>
        <w:t xml:space="preserve">Coinvolgimento continuo dei lavoratori</w:t>
      </w:r>
      <w:r>
        <w:t xml:space="preserve">: Il miglioramento continuo è alimentato dal </w:t>
      </w:r>
      <w:r>
        <w:rPr>
          <w:b/>
          <w:bCs/>
        </w:rPr>
        <w:t xml:space="preserve">ciclo PDCA</w:t>
      </w:r>
      <w:r>
        <w:t xml:space="preserve"> (Plan-Do-Check-Act) ma anche dal ciclo “</w:t>
      </w:r>
      <w:r>
        <w:rPr>
          <w:b/>
          <w:bCs/>
        </w:rPr>
        <w:t xml:space="preserve">Ascolta-Partecipa-Migliora</w:t>
      </w:r>
      <w:r>
        <w:t xml:space="preserve">”. I lavoratori sono costantemente invitati a esprimere le loro idee e i loro bisogni. Ad esempio, nel 2024, su suggerimento di alcuni operatori che lamentavano stanchezza agli occhi in area confezionamento essenze (dove serviva attenzione a et</w:t>
      </w:r>
      <w:r>
        <w:t xml:space="preserve">ichette), l’azienda ha sperimentato luci a spettro naturale e pause visive: ciò non era obbligo di legge, ma ha migliorato il comfort e ridotto errori. Questo spirito di recepire il feedback e tradurlo in azione mantiene il sistema vivo e in miglioramento.</w:t>
      </w:r>
      <w:r/>
    </w:p>
    <w:p>
      <w:pPr>
        <w:numPr>
          <w:ilvl w:val="0"/>
          <w:numId w:val="30"/>
        </w:numPr>
        <w:pBdr/>
        <w:spacing/>
        <w:ind/>
        <w:rPr/>
      </w:pPr>
      <w:r>
        <w:rPr>
          <w:b/>
          <w:bCs/>
        </w:rPr>
        <w:t xml:space="preserve">Revisioni e aggiornamenti</w:t>
      </w:r>
      <w:r>
        <w:t xml:space="preserve">: Tutti gli elementi del SGSSL sono soggetti a revisione quando opportuno. DVR, procedure, istruzioni vengono rivisti non solo per obbligo periodico, ma ogni volta che c’è un cambiamento o un’esperienza nuova. Lo scopo è che la document</w:t>
      </w:r>
      <w:r>
        <w:t xml:space="preserve">azione e le prassi non restino statiche, ma evolvano. Ad esempio, nel 2023 è stato aggiornato l’allegato del DVR sulla movimentazione carichi introducendo la valutazione dei rischi da posture prolungate in piedi (cosa non dettagliata prima) e prevedendo ta</w:t>
      </w:r>
      <w:r>
        <w:t xml:space="preserve">ppetini antifatica – questo in ottica di migliorare anche aspetti ergonomici che prima erano considerati secondari. Ogni revisione è occasione di migliorare contenuti: il motto è “il DVR successivo deve essere migliore del precedente, non solo più spesso”.</w:t>
      </w:r>
      <w:r/>
    </w:p>
    <w:p>
      <w:pPr>
        <w:numPr>
          <w:ilvl w:val="0"/>
          <w:numId w:val="30"/>
        </w:numPr>
        <w:pBdr/>
        <w:spacing/>
        <w:ind/>
        <w:rPr/>
      </w:pPr>
      <w:r>
        <w:rPr>
          <w:b/>
          <w:bCs/>
        </w:rPr>
        <w:t xml:space="preserve">Miglioramento dei risultati</w:t>
      </w:r>
      <w:r>
        <w:t xml:space="preserve">: Il focus ultimo è migliorare le </w:t>
      </w:r>
      <w:r>
        <w:rPr>
          <w:b/>
          <w:bCs/>
        </w:rPr>
        <w:t xml:space="preserve">prestazioni di sicurezza</w:t>
      </w:r>
      <w:r>
        <w:t xml:space="preserve">: ridurre incidenti, ridurre livelli di esposizione a rischi, migliorare benessere. Finora, come citato, Agrumigel ha ottenuto progressi significativi (calo indici infortunistici, aumento </w:t>
      </w:r>
      <w:r>
        <w:t xml:space="preserve">formazione, ecc.). Non si ferma: se oggi l’indice infortuni è X, puntiamo a X-Δ il prossimo anno; se oggi il 90%</w:t>
      </w:r>
      <w:r>
        <w:t xml:space="preserve"> dei lavoratori ritiene l’ambiente sicuro, puntiamo al 95%. Ci sarà sempre margine di miglioramento, finché non si arriva all’ideale di zero infortuni e condizioni ottimali – e anche allora, l’obiettivo diventa mantenerli e prevenire qualunque regressione.</w:t>
      </w:r>
      <w:r/>
    </w:p>
    <w:p>
      <w:pPr>
        <w:numPr>
          <w:ilvl w:val="0"/>
          <w:numId w:val="30"/>
        </w:numPr>
        <w:pBdr/>
        <w:spacing/>
        <w:ind/>
        <w:rPr/>
      </w:pPr>
      <w:r>
        <w:rPr>
          <w:b/>
          <w:bCs/>
        </w:rPr>
        <w:t xml:space="preserve">Innovazione e progetti futuri</w:t>
      </w:r>
      <w:r>
        <w:t xml:space="preserve">: Alcune linee di miglioramento in pipeline: l’azienda sta valutando di implementare un </w:t>
      </w:r>
      <w:r>
        <w:rPr>
          <w:b/>
          <w:bCs/>
        </w:rPr>
        <w:t xml:space="preserve">sistema di gestione HSE informatizzato</w:t>
      </w:r>
      <w:r>
        <w:t xml:space="preserve"> che integrerà segnalazioni via app, monitoraggio KPI in tempo reale – questo per migliorare reattività e coinvolgimento (i giovani lavoratori apprezzano strumenti digitali). Si sta anche pensando di aderire a un </w:t>
      </w:r>
      <w:r>
        <w:rPr>
          <w:b/>
          <w:bCs/>
        </w:rPr>
        <w:t xml:space="preserve">sistema di gestione della salute e sicurezza sul lavoro “eccellente”</w:t>
      </w:r>
      <w:r>
        <w:t xml:space="preserve"> (tipo Vision Zero o simili iniziative) per confrontarsi con best practice globali. Un altro progetto in valutazione è la promozione di </w:t>
      </w:r>
      <w:r>
        <w:rPr>
          <w:b/>
          <w:bCs/>
        </w:rPr>
        <w:t xml:space="preserve">salute olistica</w:t>
      </w:r>
      <w:r>
        <w:t xml:space="preserve">: offrire programmi di fitness ai lavoratori, convenzioni mediche, p</w:t>
      </w:r>
      <w:r>
        <w:t xml:space="preserve">er migliorare salute generale – che riduce anche infortuni indirettamente (un lavoratore in forma ha meno probabilità di farsi male, resiste meglio allo stress). Questi progetti vanno oltre il minimo, segno di un approccio di miglioramento continuo maturo.</w:t>
      </w:r>
      <w:r/>
    </w:p>
    <w:p>
      <w:pPr>
        <w:numPr>
          <w:ilvl w:val="0"/>
          <w:numId w:val="30"/>
        </w:numPr>
        <w:pBdr/>
        <w:spacing/>
        <w:ind/>
        <w:rPr/>
      </w:pPr>
      <w:r>
        <w:rPr>
          <w:b/>
          <w:bCs/>
        </w:rPr>
        <w:t xml:space="preserve">Miglioramento continuo come requisito ISO</w:t>
      </w:r>
      <w:r>
        <w:t xml:space="preserve">: Naturalmente, la ISO 45001 esige il miglioramento continuo del si</w:t>
      </w:r>
      <w:r>
        <w:t xml:space="preserve">stema. In ogni audit di certificazione, verrà valutato se l’azienda è migliorata rispetto all’anno prima (non solo negli indicatori, ma se ha affrontato le NC precedenti, se ha incrementato efficacia). Finora, i riscontri esterni confermano la traiettoria </w:t>
      </w:r>
      <w:r>
        <w:t xml:space="preserve">positiva: ad esempio l’auditor di sorveglianza 2024 ha notato “significativa riduzione degli infortuni e rafforzamento del coinvolgimento lavoratori rispetto al 2022” – segnale che il miglioramento è percepito, e il certificato viene mantenuto con encomio.</w:t>
      </w:r>
      <w:r/>
    </w:p>
    <w:p>
      <w:pPr>
        <w:pStyle w:val="1012"/>
        <w:pBdr/>
        <w:spacing/>
        <w:ind/>
        <w:rPr/>
      </w:pPr>
      <w:r>
        <w:t xml:space="preserve">In sintesi, per Agrumigel il miglioramento continuo in ambito SSL non è un progetto a termine ma un </w:t>
      </w:r>
      <w:r>
        <w:rPr>
          <w:b/>
          <w:bCs/>
        </w:rPr>
        <w:t xml:space="preserve">processo permanente</w:t>
      </w:r>
      <w:r>
        <w:t xml:space="preserve">: ogn</w:t>
      </w:r>
      <w:r>
        <w:t xml:space="preserve">i giorno si può fare qualcosa di meglio di ieri in termini di sicurezza. Che sia grande (un nuovo impianto di abbattimento rischi) o piccola (affiggere un nuovo cartello più chiaro), ogni miglioramento conta. Questa tensione al miglioramento è alimentata d</w:t>
      </w:r>
      <w:r>
        <w:t xml:space="preserve">all’orgoglio professionale di chi lavora qui: poter dire “lavoro in un’azienda che ogni anno è più sicura” è motivo di soddisfazione e ai</w:t>
      </w:r>
      <w:r>
        <w:rPr>
          <w:highlight w:val="none"/>
        </w:rPr>
        <w:t xml:space="preserve">uta anche a trattenere i dipendenti</w:t>
      </w:r>
      <w:r>
        <w:rPr>
          <w:highlight w:val="none"/>
        </w:rPr>
        <w:t xml:space="preserve"> (un ambiente sicuro e attento è un fattore di fidelizzazione)</w:t>
      </w:r>
      <w:r>
        <w:rPr>
          <w:highlight w:val="none"/>
        </w:rPr>
        <w:t xml:space="preserve">.</w:t>
      </w:r>
      <w:r/>
    </w:p>
    <w:p>
      <w:pPr>
        <w:pStyle w:val="1011"/>
        <w:pBdr/>
        <w:spacing/>
        <w:ind/>
        <w:rPr/>
      </w:pPr>
      <w:r>
        <w:t xml:space="preserve">La Direzione sostiene pienamente questo spirito, convinta che </w:t>
      </w:r>
      <w:r>
        <w:rPr>
          <w:b/>
          <w:bCs/>
        </w:rPr>
        <w:t xml:space="preserve">una sicurezza migliore coincida con un’azienda migliore</w:t>
      </w:r>
      <w:r>
        <w:t xml:space="preserve"> a tutto tondo. I risultati economici e di qualità v</w:t>
      </w:r>
      <w:r>
        <w:t xml:space="preserve">anno di pari passo con la sicurezza: un luogo senza incidenti è anche più efficiente e di qualità. Pertanto, l’impegno è di continuare su questa strada, consolidando i traguardi raggiunti e ponendosi sempre nuovi obiettivi, in un ciclo virtuoso senza fine.</w:t>
      </w:r>
      <w:bookmarkStart w:id="73" w:name="citations"/>
      <w:r/>
      <w:bookmarkEnd w:id="71"/>
      <w:r/>
      <w:bookmarkEnd w:id="67"/>
      <w:r/>
      <w:bookmarkEnd w:id="1"/>
      <w:r/>
      <w:bookmarkEnd w:id="2"/>
      <w:r/>
      <w:bookmarkEnd w:id="73"/>
      <w:r/>
      <w:r/>
    </w:p>
    <w:sectPr>
      <w:headerReference w:type="default" r:id="rId9"/>
      <w:footerReference w:type="default" r:id="rId10"/>
      <w:footnotePr>
        <w:numRestart w:val="eachSect"/>
      </w:footnotePr>
      <w:endnotePr/>
      <w:type w:val="nextPage"/>
      <w:pgSz w:h="15840" w:orient="portrait" w:w="12240"/>
      <w:pgMar w:top="1417" w:right="1134" w:bottom="1134" w:left="1134" w:header="720" w:footer="720"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Francesco Scavello" w:date="2025-10-20T08:48:28Z" w:initials="FS">
    <w:p w14:paraId="00000001" w14:textId="00000001">
      <w:pPr>
        <w:spacing w:line="240" w:after="0" w:lineRule="auto" w:before="0"/>
        <w:ind w:firstLine="0" w:left="0" w:right="0"/>
        <w:jc w:val="left"/>
      </w:pPr>
      <w:r>
        <w:rPr>
          <w:rFonts w:eastAsia="Arial" w:ascii="Arial" w:hAnsi="Arial" w:cs="Arial"/>
          <w:sz w:val="22"/>
        </w:rPr>
        <w:t xml:space="preserve">Mettiamo SMETA-4P? SA8000 fatta disdetta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72C085A8" w16cex:dateUtc="2025-10-20T06:48:28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72C085A8"/>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ind/>
        <w:rPr/>
      </w:pPr>
      <w:r>
        <w:separator/>
      </w:r>
      <w:r/>
    </w:p>
  </w:endnote>
  <w:endnote w:type="continuationSeparator" w:id="0">
    <w:p>
      <w:pPr>
        <w:pBdr/>
        <w:spacing w:after="0"/>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17711698"/>
      <w:docPartObj>
        <w:docPartGallery w:val="Page Numbers (Bottom of Page)"/>
        <w:docPartUnique w:val="true"/>
      </w:docPartObj>
      <w:rPr/>
    </w:sdtPr>
    <w:sdtContent>
      <w:p>
        <w:pPr>
          <w:pStyle w:val="1083"/>
          <w:pBdr/>
          <w:spacing/>
          <w:ind/>
          <w:jc w:val="right"/>
          <w:rPr/>
        </w:pPr>
        <w:r>
          <w:fldChar w:fldCharType="begin"/>
        </w:r>
        <w:r>
          <w:instrText xml:space="preserve">PAGE   \* MERGEFORMAT</w:instrText>
        </w:r>
        <w:r>
          <w:fldChar w:fldCharType="separate"/>
        </w:r>
        <w:r>
          <w:rPr>
            <w:lang w:val="it-IT"/>
          </w:rPr>
          <w:t xml:space="preserve">2</w:t>
        </w:r>
        <w:r>
          <w:fldChar w:fldCharType="end"/>
        </w:r>
        <w:r/>
      </w:p>
    </w:sdtContent>
  </w:sdt>
  <w:p>
    <w:pPr>
      <w:pStyle w:val="108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ind/>
        <w:rPr/>
      </w:pPr>
      <w:r>
        <w:separator/>
      </w:r>
      <w:r/>
    </w:p>
  </w:footnote>
  <w:footnote w:type="continuationSeparator" w:id="0">
    <w:p>
      <w:pPr>
        <w:pBdr/>
        <w:spacing w:after="0"/>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jc w:val="center"/>
      <w:tblW w:w="10314" w:type="dxa"/>
      <w:tblBorders/>
      <w:tblLook w:val="04A0" w:firstRow="1" w:lastRow="0" w:firstColumn="1" w:lastColumn="0" w:noHBand="0" w:noVBand="1"/>
      <w:tblStyle w:val="1085"/>
    </w:tblPr>
    <w:tblGrid>
      <w:gridCol w:w="2943"/>
      <w:gridCol w:w="4678"/>
      <w:gridCol w:w="2693"/>
    </w:tblGrid>
    <w:tr>
      <w:trPr>
        <w:jc w:val="center"/>
        <w:trHeight w:val="977"/>
      </w:trPr>
      <w:tc>
        <w:tcPr>
          <w:tcBorders/>
          <w:tcW w:w="2943" w:type="dxa"/>
          <w:vAlign w:val="center"/>
          <w:textDirection w:val="lrTb"/>
          <w:noWrap w:val="false"/>
        </w:tcPr>
        <w:p>
          <w:pPr>
            <w:pStyle w:val="1081"/>
            <w:pBdr/>
            <w:spacing/>
            <w:ind/>
            <w:rPr>
              <w:lang w:val="it-IT"/>
            </w:rPr>
          </w:pPr>
          <w:r>
            <w:rPr>
              <w:lang w:val="it-IT"/>
            </w:rPr>
            <mc:AlternateContent>
              <mc:Choice Requires="wpg">
                <w:drawing>
                  <wp:inline xmlns:wp="http://schemas.openxmlformats.org/drawingml/2006/wordprocessingDrawing" distT="0" distB="0" distL="0" distR="0">
                    <wp:extent cx="1085850" cy="514350"/>
                    <wp:effectExtent l="0" t="0" r="0" b="0"/>
                    <wp:docPr id="1" name="Immagine 2" descr="Immagine che contiene pesce, clipart, illustrazion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6367" name="Immagine 2" descr="Immagine che contiene pesce, clipart, illustrazione&#10;&#10;Il contenuto generato dall'IA potrebbe non essere corretto."/>
                            <pic:cNvPicPr>
                              <a:picLocks noChangeAspect="1"/>
                            </pic:cNvPicPr>
                            <pic:nvPr/>
                          </pic:nvPicPr>
                          <pic:blipFill>
                            <a:blip r:embed="rId1"/>
                            <a:stretch/>
                          </pic:blipFill>
                          <pic:spPr bwMode="auto">
                            <a:xfrm>
                              <a:off x="0" y="0"/>
                              <a:ext cx="1085850" cy="5143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5.50pt;height:40.50pt;mso-wrap-distance-left:0.00pt;mso-wrap-distance-top:0.00pt;mso-wrap-distance-right:0.00pt;mso-wrap-distance-bottom:0.00pt;z-index:1;" stroked="f">
                    <v:imagedata r:id="rId1" o:title=""/>
                    <o:lock v:ext="edit" rotation="t"/>
                  </v:shape>
                </w:pict>
              </mc:Fallback>
            </mc:AlternateContent>
          </w:r>
          <w:r>
            <w:rPr>
              <w:lang w:val="it-IT"/>
            </w:rPr>
          </w:r>
          <w:r>
            <w:rPr>
              <w:lang w:val="it-IT"/>
            </w:rPr>
          </w:r>
        </w:p>
      </w:tc>
      <w:tc>
        <w:tcPr>
          <w:tcBorders/>
          <w:tcW w:w="4678" w:type="dxa"/>
          <w:vAlign w:val="center"/>
          <w:textDirection w:val="lrTb"/>
          <w:noWrap w:val="false"/>
        </w:tcPr>
        <w:p>
          <w:pPr>
            <w:pStyle w:val="1081"/>
            <w:pBdr/>
            <w:spacing/>
            <w:ind/>
            <w:rPr>
              <w:lang w:val="it-IT"/>
            </w:rPr>
          </w:pPr>
          <w:r>
            <w:rPr>
              <w:b/>
              <w:bCs/>
              <w:lang w:val="it-IT"/>
            </w:rPr>
            <w:t xml:space="preserve">Manuale del Sistema di Gestione Salute e Sicurezza sul Lavoro</w:t>
          </w:r>
          <w:r>
            <w:rPr>
              <w:lang w:val="it-IT"/>
            </w:rPr>
          </w:r>
          <w:r>
            <w:rPr>
              <w:lang w:val="it-IT"/>
            </w:rPr>
          </w:r>
        </w:p>
      </w:tc>
      <w:tc>
        <w:tcPr>
          <w:tcBorders/>
          <w:tcW w:w="2693" w:type="dxa"/>
          <w:vAlign w:val="center"/>
          <w:textDirection w:val="lrTb"/>
          <w:noWrap w:val="false"/>
        </w:tcPr>
        <w:p>
          <w:pPr>
            <w:pStyle w:val="1081"/>
            <w:pBdr/>
            <w:spacing/>
            <w:ind/>
            <w:rPr>
              <w:lang w:val="it-IT"/>
            </w:rPr>
          </w:pPr>
          <w:r>
            <w:rPr>
              <w:lang w:val="it-IT"/>
            </w:rPr>
            <w:t xml:space="preserve">MAN.</w:t>
          </w:r>
          <w:r>
            <w:rPr>
              <w:lang w:val="it-IT"/>
            </w:rPr>
          </w:r>
          <w:r>
            <w:rPr>
              <w:lang w:val="it-IT"/>
            </w:rPr>
          </w:r>
        </w:p>
        <w:p>
          <w:pPr>
            <w:pStyle w:val="1081"/>
            <w:pBdr/>
            <w:spacing/>
            <w:ind/>
            <w:rPr>
              <w:lang w:val="it-IT"/>
            </w:rPr>
          </w:pPr>
          <w:r>
            <w:rPr>
              <w:lang w:val="it-IT"/>
            </w:rPr>
            <w:t xml:space="preserve">REV. </w:t>
          </w:r>
          <w:r>
            <w:rPr>
              <w:lang w:val="it-IT"/>
            </w:rPr>
            <w:t xml:space="preserve">00</w:t>
          </w:r>
          <w:r>
            <w:rPr>
              <w:lang w:val="it-IT"/>
            </w:rPr>
            <w:t xml:space="preserve"> del </w:t>
          </w:r>
          <w:r>
            <w:rPr>
              <w:lang w:val="it-IT"/>
            </w:rPr>
            <w:t xml:space="preserve">14</w:t>
          </w:r>
          <w:r>
            <w:rPr>
              <w:lang w:val="it-IT"/>
            </w:rPr>
            <w:t xml:space="preserve">-</w:t>
          </w:r>
          <w:r>
            <w:rPr>
              <w:lang w:val="it-IT"/>
            </w:rPr>
            <w:t xml:space="preserve">10</w:t>
          </w:r>
          <w:r>
            <w:rPr>
              <w:lang w:val="it-IT"/>
            </w:rPr>
            <w:t xml:space="preserve">-2025</w:t>
          </w:r>
          <w:r>
            <w:rPr>
              <w:lang w:val="it-IT"/>
            </w:rPr>
          </w:r>
          <w:r>
            <w:rPr>
              <w:lang w:val="it-IT"/>
            </w:rPr>
          </w:r>
        </w:p>
      </w:tc>
    </w:tr>
  </w:tbl>
  <w:p>
    <w:pPr>
      <w:pStyle w:val="108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
      <w:numFmt w:val="bullet"/>
      <w:pPr>
        <w:pBdr/>
        <w:spacing/>
        <w:ind w:hanging="360" w:left="720"/>
      </w:pPr>
      <w:rPr/>
      <w:start w:val="0"/>
      <w:suff w:val="tab"/>
    </w:lvl>
    <w:lvl w:ilvl="1">
      <w:isLgl w:val="false"/>
      <w:lvlJc w:val="left"/>
      <w:lvlText w:val=" "/>
      <w:numFmt w:val="bullet"/>
      <w:pPr>
        <w:pBdr/>
        <w:spacing/>
        <w:ind w:hanging="360" w:left="1440"/>
      </w:pPr>
      <w:rPr/>
      <w:start w:val="0"/>
      <w:suff w:val="tab"/>
    </w:lvl>
    <w:lvl w:ilvl="2">
      <w:isLgl w:val="false"/>
      <w:lvlJc w:val="left"/>
      <w:lvlText w:val=" "/>
      <w:numFmt w:val="bullet"/>
      <w:pPr>
        <w:pBdr/>
        <w:spacing/>
        <w:ind w:hanging="360" w:left="2160"/>
      </w:pPr>
      <w:rPr/>
      <w:start w:val="0"/>
      <w:suff w:val="tab"/>
    </w:lvl>
    <w:lvl w:ilvl="3">
      <w:isLgl w:val="false"/>
      <w:lvlJc w:val="left"/>
      <w:lvlText w:val=" "/>
      <w:numFmt w:val="bullet"/>
      <w:pPr>
        <w:pBdr/>
        <w:spacing/>
        <w:ind w:hanging="360" w:left="2880"/>
      </w:pPr>
      <w:rPr/>
      <w:start w:val="0"/>
      <w:suff w:val="tab"/>
    </w:lvl>
    <w:lvl w:ilvl="4">
      <w:isLgl w:val="false"/>
      <w:lvlJc w:val="left"/>
      <w:lvlText w:val=" "/>
      <w:numFmt w:val="bullet"/>
      <w:pPr>
        <w:pBdr/>
        <w:spacing/>
        <w:ind w:hanging="360" w:left="3600"/>
      </w:pPr>
      <w:rPr/>
      <w:start w:val="0"/>
      <w:suff w:val="tab"/>
    </w:lvl>
    <w:lvl w:ilvl="5">
      <w:isLgl w:val="false"/>
      <w:lvlJc w:val="left"/>
      <w:lvlText w:val=" "/>
      <w:numFmt w:val="bullet"/>
      <w:pPr>
        <w:pBdr/>
        <w:spacing/>
        <w:ind w:hanging="360" w:left="4320"/>
      </w:pPr>
      <w:rPr/>
      <w:start w:val="0"/>
      <w:suff w:val="tab"/>
    </w:lvl>
    <w:lvl w:ilvl="6">
      <w:isLgl w:val="false"/>
      <w:lvlJc w:val="left"/>
      <w:lvlText w:val=" "/>
      <w:numFmt w:val="bullet"/>
      <w:pPr>
        <w:pBdr/>
        <w:spacing/>
        <w:ind w:hanging="360" w:left="5040"/>
      </w:pPr>
      <w:rPr/>
      <w:start w:val="0"/>
      <w:suff w:val="tab"/>
    </w:lvl>
    <w:lvl w:ilvl="7">
      <w:isLgl w:val="false"/>
      <w:lvlJc w:val="left"/>
      <w:lvlText w:val=" "/>
      <w:numFmt w:val="bullet"/>
      <w:pPr>
        <w:pBdr/>
        <w:spacing/>
        <w:ind w:hanging="360" w:left="5760"/>
      </w:pPr>
      <w:rPr/>
      <w:start w:val="0"/>
      <w:suff w:val="tab"/>
    </w:lvl>
    <w:lvl w:ilvl="8">
      <w:isLgl w:val="false"/>
      <w:lvlJc w:val="left"/>
      <w:lvlText w:val=" "/>
      <w:numFmt w:val="bullet"/>
      <w:pPr>
        <w:pBdr/>
        <w:spacing/>
        <w:ind w:hanging="360" w:left="6480"/>
      </w:pPr>
      <w:rPr/>
      <w:start w:val="0"/>
      <w:suff w:val="tab"/>
    </w:lvl>
  </w:abstractNum>
  <w:abstractNum w:abstractNumId="1">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2">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576" w:left="576"/>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864" w:left="864"/>
      </w:pPr>
      <w:rPr>
        <w:rFonts w:hint="default"/>
      </w:rPr>
      <w:start w:val="1"/>
      <w:suff w:val="tab"/>
    </w:lvl>
    <w:lvl w:ilvl="4">
      <w:isLgl w:val="false"/>
      <w:lvlJc w:val="left"/>
      <w:lvlText w:val="%1.%2.%3.%4.%5"/>
      <w:numFmt w:val="decimal"/>
      <w:pPr>
        <w:pBdr/>
        <w:spacing/>
        <w:ind w:hanging="1008" w:left="1008"/>
      </w:pPr>
      <w:rPr>
        <w:rFonts w:hint="default"/>
      </w:rPr>
      <w:start w:val="1"/>
      <w:suff w:val="tab"/>
    </w:lvl>
    <w:lvl w:ilvl="5">
      <w:isLgl w:val="false"/>
      <w:lvlJc w:val="left"/>
      <w:lvlText w:val="%1.%2.%3.%4.%5.%6"/>
      <w:numFmt w:val="decimal"/>
      <w:pPr>
        <w:pBdr/>
        <w:spacing/>
        <w:ind w:hanging="1152" w:left="1152"/>
      </w:pPr>
      <w:rPr>
        <w:rFonts w:hint="default"/>
      </w:rPr>
      <w:start w:val="1"/>
      <w:suff w:val="tab"/>
    </w:lvl>
    <w:lvl w:ilvl="6">
      <w:isLgl w:val="false"/>
      <w:lvlJc w:val="left"/>
      <w:lvlText w:val="%1.%2.%3.%4.%5.%6.%7"/>
      <w:numFmt w:val="decimal"/>
      <w:pPr>
        <w:pBdr/>
        <w:spacing/>
        <w:ind w:hanging="1296" w:left="1296"/>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rPr>
        <w:rFonts w:hint="default"/>
      </w:rPr>
      <w:start w:val="1"/>
      <w:suff w:val="tab"/>
    </w:lvl>
  </w:abstractNum>
  <w:abstractNum w:abstractNumId="3">
    <w:lvl w:ilvl="0">
      <w:isLgl w:val="false"/>
      <w:lvlJc w:val="left"/>
      <w:lvlText w:val="%1."/>
      <w:numFmt w:val="decimal"/>
      <w:pPr>
        <w:pBdr/>
        <w:spacing/>
        <w:ind w:hanging="360" w:left="360"/>
      </w:pPr>
      <w:pStyle w:val="999"/>
      <w:rPr>
        <w:rFonts w:hint="default"/>
      </w:rPr>
      <w:start w:val="1"/>
      <w:suff w:val="tab"/>
    </w:lvl>
    <w:lvl w:ilvl="1">
      <w:isLgl w:val="false"/>
      <w:lvlJc w:val="left"/>
      <w:lvlText w:val="%1.%2"/>
      <w:numFmt w:val="decimal"/>
      <w:pPr>
        <w:pBdr/>
        <w:spacing/>
        <w:ind w:hanging="576" w:left="576"/>
      </w:pPr>
      <w:pStyle w:val="1000"/>
      <w:rPr>
        <w:rFonts w:hint="default"/>
      </w:rPr>
      <w:start w:val="1"/>
      <w:suff w:val="tab"/>
    </w:lvl>
    <w:lvl w:ilvl="2">
      <w:isLgl w:val="false"/>
      <w:lvlJc w:val="left"/>
      <w:lvlText w:val="%1.%2.%3"/>
      <w:numFmt w:val="decimal"/>
      <w:pPr>
        <w:pBdr/>
        <w:spacing/>
        <w:ind w:hanging="720" w:left="720"/>
      </w:pPr>
      <w:pStyle w:val="1001"/>
      <w:rPr>
        <w:rFonts w:hint="default"/>
      </w:rPr>
      <w:start w:val="1"/>
      <w:suff w:val="tab"/>
    </w:lvl>
    <w:lvl w:ilvl="3">
      <w:isLgl w:val="false"/>
      <w:lvlJc w:val="left"/>
      <w:lvlText w:val="%1.%2.%3.%4"/>
      <w:numFmt w:val="decimal"/>
      <w:pPr>
        <w:pBdr/>
        <w:spacing/>
        <w:ind w:hanging="864" w:left="864"/>
      </w:pPr>
      <w:pStyle w:val="1002"/>
      <w:rPr>
        <w:rFonts w:hint="default"/>
      </w:rPr>
      <w:start w:val="1"/>
      <w:suff w:val="tab"/>
    </w:lvl>
    <w:lvl w:ilvl="4">
      <w:isLgl w:val="false"/>
      <w:lvlJc w:val="left"/>
      <w:lvlText w:val="%1.%2.%3.%4.%5"/>
      <w:numFmt w:val="decimal"/>
      <w:pPr>
        <w:pBdr/>
        <w:spacing/>
        <w:ind w:hanging="1008" w:left="1008"/>
      </w:pPr>
      <w:pStyle w:val="1003"/>
      <w:rPr>
        <w:rFonts w:hint="default"/>
      </w:rPr>
      <w:start w:val="1"/>
      <w:suff w:val="tab"/>
    </w:lvl>
    <w:lvl w:ilvl="5">
      <w:isLgl w:val="false"/>
      <w:lvlJc w:val="left"/>
      <w:lvlText w:val="%1.%2.%3.%4.%5.%6"/>
      <w:numFmt w:val="decimal"/>
      <w:pPr>
        <w:pBdr/>
        <w:spacing/>
        <w:ind w:hanging="1152" w:left="1152"/>
      </w:pPr>
      <w:pStyle w:val="1004"/>
      <w:rPr>
        <w:rFonts w:hint="default"/>
      </w:rPr>
      <w:start w:val="1"/>
      <w:suff w:val="tab"/>
    </w:lvl>
    <w:lvl w:ilvl="6">
      <w:isLgl w:val="false"/>
      <w:lvlJc w:val="left"/>
      <w:lvlText w:val="%1.%2.%3.%4.%5.%6.%7"/>
      <w:numFmt w:val="decimal"/>
      <w:pPr>
        <w:pBdr/>
        <w:spacing/>
        <w:ind w:hanging="1296" w:left="1296"/>
      </w:pPr>
      <w:pStyle w:val="1005"/>
      <w:rPr>
        <w:rFonts w:hint="default"/>
      </w:rPr>
      <w:start w:val="1"/>
      <w:suff w:val="tab"/>
    </w:lvl>
    <w:lvl w:ilvl="7">
      <w:isLgl w:val="false"/>
      <w:lvlJc w:val="left"/>
      <w:lvlText w:val="%1.%2.%3.%4.%5.%6.%7.%8"/>
      <w:numFmt w:val="decimal"/>
      <w:pPr>
        <w:pBdr/>
        <w:spacing/>
        <w:ind w:hanging="1440" w:left="1440"/>
      </w:pPr>
      <w:pStyle w:val="1006"/>
      <w:rPr>
        <w:rFonts w:hint="default"/>
      </w:rPr>
      <w:start w:val="1"/>
      <w:suff w:val="tab"/>
    </w:lvl>
    <w:lvl w:ilvl="8">
      <w:isLgl w:val="false"/>
      <w:lvlJc w:val="left"/>
      <w:lvlText w:val="%1.%2.%3.%4.%5.%6.%7.%8.%9"/>
      <w:numFmt w:val="decimal"/>
      <w:pPr>
        <w:pBdr/>
        <w:spacing/>
        <w:ind w:hanging="1584" w:left="1584"/>
      </w:pPr>
      <w:pStyle w:val="1007"/>
      <w:rPr>
        <w:rFonts w:hint="default"/>
      </w:rPr>
      <w:start w:val="1"/>
      <w:suff w:val="tab"/>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2"/>
  </w:num>
  <w:num w:numId="32">
    <w:abstractNumId w:val="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
  </w:num>
  <w:num w:numId="34">
    <w:abstractNumId w:val="3"/>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Francesco Scavello">
    <w15:presenceInfo w15:providerId="Teamlab" w15:userId="ocxcoxtpen8o_Scavel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283"/>
  <w:characterSpacingControl w:val="doNotCompress"/>
  <w:footnotePr>
    <w:pos w:val="pageBottom"/>
    <w:numFmt w:val="decimal"/>
    <w:numStart w:val="1"/>
    <w:numRestart w:val="eachSect"/>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it"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34">
    <w:name w:val="Table Grid Light"/>
    <w:basedOn w:val="10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Plain Table 1"/>
    <w:basedOn w:val="10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Plain Table 2"/>
    <w:basedOn w:val="10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Plain Table 3"/>
    <w:basedOn w:val="10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Plain Table 4"/>
    <w:basedOn w:val="10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Plain Table 5"/>
    <w:basedOn w:val="10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1 Light"/>
    <w:basedOn w:val="10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1 Light - Accent 1"/>
    <w:basedOn w:val="10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1 Light - Accent 2"/>
    <w:basedOn w:val="10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1 Light - Accent 3"/>
    <w:basedOn w:val="10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1 Light - Accent 4"/>
    <w:basedOn w:val="10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1 Light - Accent 5"/>
    <w:basedOn w:val="10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1 Light - Accent 6"/>
    <w:basedOn w:val="10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2"/>
    <w:basedOn w:val="10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2 - Accent 1"/>
    <w:basedOn w:val="10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2 - Accent 2"/>
    <w:basedOn w:val="10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2 - Accent 3"/>
    <w:basedOn w:val="10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2 - Accent 4"/>
    <w:basedOn w:val="10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2 - Accent 5"/>
    <w:basedOn w:val="10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2 - Accent 6"/>
    <w:basedOn w:val="10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3"/>
    <w:basedOn w:val="10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3 - Accent 1"/>
    <w:basedOn w:val="10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3 - Accent 2"/>
    <w:basedOn w:val="10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3 - Accent 3"/>
    <w:basedOn w:val="10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3 - Accent 4"/>
    <w:basedOn w:val="10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3 - Accent 5"/>
    <w:basedOn w:val="10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3 - Accent 6"/>
    <w:basedOn w:val="10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4"/>
    <w:basedOn w:val="10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4 - Accent 1"/>
    <w:basedOn w:val="10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4 - Accent 2"/>
    <w:basedOn w:val="10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4 - Accent 3"/>
    <w:basedOn w:val="10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4 - Accent 4"/>
    <w:basedOn w:val="10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4 - Accent 5"/>
    <w:basedOn w:val="10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4 - Accent 6"/>
    <w:basedOn w:val="10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5 Dark"/>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5 Dark- Accent 1"/>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5 Dark - Accent 2"/>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5 Dark - Accent 3"/>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5 Dark- Accent 4"/>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5 Dark - Accent 5"/>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5 Dark - Accent 6"/>
    <w:basedOn w:val="10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6 Colorful"/>
    <w:basedOn w:val="10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76">
    <w:name w:val="Grid Table 6 Colorful - Accent 1"/>
    <w:basedOn w:val="10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77">
    <w:name w:val="Grid Table 6 Colorful - Accent 2"/>
    <w:basedOn w:val="10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78">
    <w:name w:val="Grid Table 6 Colorful - Accent 3"/>
    <w:basedOn w:val="10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79">
    <w:name w:val="Grid Table 6 Colorful - Accent 4"/>
    <w:basedOn w:val="10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80">
    <w:name w:val="Grid Table 6 Colorful - Accent 5"/>
    <w:basedOn w:val="10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1">
    <w:name w:val="Grid Table 6 Colorful - Accent 6"/>
    <w:basedOn w:val="10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82">
    <w:name w:val="Grid Table 7 Colorful"/>
    <w:basedOn w:val="10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7 Colorful - Accent 1"/>
    <w:basedOn w:val="10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a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7 Colorful - Accent 2"/>
    <w:basedOn w:val="10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7 Colorful - Accent 3"/>
    <w:basedOn w:val="10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7 Colorful - Accent 4"/>
    <w:basedOn w:val="10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7 Colorful - Accent 5"/>
    <w:basedOn w:val="10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7 Colorful - Accent 6"/>
    <w:basedOn w:val="10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1 Light"/>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1 Light - Accent 1"/>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1 Light - Accent 2"/>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1 Light - Accent 3"/>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1 Light - Accent 4"/>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1 Light - Accent 5"/>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1 Light - Accent 6"/>
    <w:basedOn w:val="10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2"/>
    <w:basedOn w:val="10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2 - Accent 1"/>
    <w:basedOn w:val="10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2 - Accent 2"/>
    <w:basedOn w:val="10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2 - Accent 3"/>
    <w:basedOn w:val="10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2 - Accent 4"/>
    <w:basedOn w:val="10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2 - Accent 5"/>
    <w:basedOn w:val="10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2 - Accent 6"/>
    <w:basedOn w:val="10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3"/>
    <w:basedOn w:val="10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3 - Accent 1"/>
    <w:basedOn w:val="10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3 - Accent 2"/>
    <w:basedOn w:val="10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3 - Accent 3"/>
    <w:basedOn w:val="10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3 - Accent 4"/>
    <w:basedOn w:val="10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3 - Accent 5"/>
    <w:basedOn w:val="10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3 - Accent 6"/>
    <w:basedOn w:val="10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4"/>
    <w:basedOn w:val="10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4 - Accent 1"/>
    <w:basedOn w:val="10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4 - Accent 2"/>
    <w:basedOn w:val="10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4 - Accent 3"/>
    <w:basedOn w:val="10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4 - Accent 4"/>
    <w:basedOn w:val="10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4 - Accent 5"/>
    <w:basedOn w:val="10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4 - Accent 6"/>
    <w:basedOn w:val="10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5 Dark"/>
    <w:basedOn w:val="10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8">
    <w:name w:val="List Table 5 Dark - Accent 1"/>
    <w:basedOn w:val="10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19">
    <w:name w:val="List Table 5 Dark - Accent 2"/>
    <w:basedOn w:val="10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0">
    <w:name w:val="List Table 5 Dark - Accent 3"/>
    <w:basedOn w:val="10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1">
    <w:name w:val="List Table 5 Dark - Accent 4"/>
    <w:basedOn w:val="10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2">
    <w:name w:val="List Table 5 Dark - Accent 5"/>
    <w:basedOn w:val="10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3">
    <w:name w:val="List Table 5 Dark - Accent 6"/>
    <w:basedOn w:val="10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4">
    <w:name w:val="List Table 6 Colorful"/>
    <w:basedOn w:val="10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6 Colorful - Accent 1"/>
    <w:basedOn w:val="10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6 Colorful - Accent 2"/>
    <w:basedOn w:val="10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6 Colorful - Accent 3"/>
    <w:basedOn w:val="10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6 Colorful - Accent 4"/>
    <w:basedOn w:val="10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6 Colorful - Accent 5"/>
    <w:basedOn w:val="10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6 Colorful - Accent 6"/>
    <w:basedOn w:val="10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7 Colorful"/>
    <w:basedOn w:val="10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32">
    <w:name w:val="List Table 7 Colorful - Accent 1"/>
    <w:basedOn w:val="10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933">
    <w:name w:val="List Table 7 Colorful - Accent 2"/>
    <w:basedOn w:val="10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934">
    <w:name w:val="List Table 7 Colorful - Accent 3"/>
    <w:basedOn w:val="10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62e"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935">
    <w:name w:val="List Table 7 Colorful - Accent 4"/>
    <w:basedOn w:val="10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a"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936">
    <w:name w:val="List Table 7 Colorful - Accent 5"/>
    <w:basedOn w:val="10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6288a"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937">
    <w:name w:val="List Table 7 Colorful - Accent 6"/>
    <w:basedOn w:val="10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938">
    <w:name w:val="Lined - Accent"/>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ned - Accent 1"/>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ned - Accent 2"/>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ned - Accent 3"/>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ned - Accent 4"/>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ned - Accent 5"/>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ned - Accent 6"/>
    <w:basedOn w:val="10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Bordered &amp; Lined - Accent"/>
    <w:basedOn w:val="10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Bordered &amp; Lined - Accent 1"/>
    <w:basedOn w:val="10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Bordered &amp; Lined - Accent 2"/>
    <w:basedOn w:val="10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Bordered &amp; Lined - Accent 3"/>
    <w:basedOn w:val="10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Bordered &amp; Lined - Accent 4"/>
    <w:basedOn w:val="10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Bordered &amp; Lined - Accent 5"/>
    <w:basedOn w:val="10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Bordered &amp; Lined - Accent 6"/>
    <w:basedOn w:val="10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Bordered"/>
    <w:basedOn w:val="10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Bordered - Accent 1"/>
    <w:basedOn w:val="10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Bordered - Accent 2"/>
    <w:basedOn w:val="10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Bordered - Accent 3"/>
    <w:basedOn w:val="10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Bordered - Accent 4"/>
    <w:basedOn w:val="10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Bordered - Accent 5"/>
    <w:basedOn w:val="10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 Accent 6"/>
    <w:basedOn w:val="10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59">
    <w:name w:val="Heading 1 Char"/>
    <w:basedOn w:val="1008"/>
    <w:link w:val="999"/>
    <w:uiPriority w:val="9"/>
    <w:pPr>
      <w:pBdr/>
      <w:spacing/>
      <w:ind/>
    </w:pPr>
    <w:rPr>
      <w:rFonts w:ascii="Arial" w:hAnsi="Arial" w:eastAsia="Arial" w:cs="Arial"/>
      <w:color w:val="0f4761" w:themeColor="accent1" w:themeShade="BF"/>
      <w:sz w:val="40"/>
      <w:szCs w:val="40"/>
    </w:rPr>
  </w:style>
  <w:style w:type="character" w:styleId="960">
    <w:name w:val="Heading 2 Char"/>
    <w:basedOn w:val="1008"/>
    <w:link w:val="1000"/>
    <w:uiPriority w:val="9"/>
    <w:pPr>
      <w:pBdr/>
      <w:spacing/>
      <w:ind/>
    </w:pPr>
    <w:rPr>
      <w:rFonts w:ascii="Arial" w:hAnsi="Arial" w:eastAsia="Arial" w:cs="Arial"/>
      <w:color w:val="0f4761" w:themeColor="accent1" w:themeShade="BF"/>
      <w:sz w:val="32"/>
      <w:szCs w:val="32"/>
    </w:rPr>
  </w:style>
  <w:style w:type="character" w:styleId="961">
    <w:name w:val="Heading 3 Char"/>
    <w:basedOn w:val="1008"/>
    <w:link w:val="1001"/>
    <w:uiPriority w:val="9"/>
    <w:pPr>
      <w:pBdr/>
      <w:spacing/>
      <w:ind/>
    </w:pPr>
    <w:rPr>
      <w:rFonts w:ascii="Arial" w:hAnsi="Arial" w:eastAsia="Arial" w:cs="Arial"/>
      <w:color w:val="0f4761" w:themeColor="accent1" w:themeShade="BF"/>
      <w:sz w:val="28"/>
      <w:szCs w:val="28"/>
    </w:rPr>
  </w:style>
  <w:style w:type="character" w:styleId="962">
    <w:name w:val="Heading 4 Char"/>
    <w:basedOn w:val="1008"/>
    <w:link w:val="1002"/>
    <w:uiPriority w:val="9"/>
    <w:pPr>
      <w:pBdr/>
      <w:spacing/>
      <w:ind/>
    </w:pPr>
    <w:rPr>
      <w:rFonts w:ascii="Arial" w:hAnsi="Arial" w:eastAsia="Arial" w:cs="Arial"/>
      <w:i/>
      <w:iCs/>
      <w:color w:val="0f4761" w:themeColor="accent1" w:themeShade="BF"/>
    </w:rPr>
  </w:style>
  <w:style w:type="character" w:styleId="963">
    <w:name w:val="Heading 5 Char"/>
    <w:basedOn w:val="1008"/>
    <w:link w:val="1003"/>
    <w:uiPriority w:val="9"/>
    <w:pPr>
      <w:pBdr/>
      <w:spacing/>
      <w:ind/>
    </w:pPr>
    <w:rPr>
      <w:rFonts w:ascii="Arial" w:hAnsi="Arial" w:eastAsia="Arial" w:cs="Arial"/>
      <w:color w:val="0f4761" w:themeColor="accent1" w:themeShade="BF"/>
    </w:rPr>
  </w:style>
  <w:style w:type="character" w:styleId="964">
    <w:name w:val="Heading 6 Char"/>
    <w:basedOn w:val="1008"/>
    <w:link w:val="1004"/>
    <w:uiPriority w:val="9"/>
    <w:pPr>
      <w:pBdr/>
      <w:spacing/>
      <w:ind/>
    </w:pPr>
    <w:rPr>
      <w:rFonts w:ascii="Arial" w:hAnsi="Arial" w:eastAsia="Arial" w:cs="Arial"/>
      <w:i/>
      <w:iCs/>
      <w:color w:val="595959" w:themeColor="text1" w:themeTint="A6"/>
    </w:rPr>
  </w:style>
  <w:style w:type="character" w:styleId="965">
    <w:name w:val="Heading 7 Char"/>
    <w:basedOn w:val="1008"/>
    <w:link w:val="1005"/>
    <w:uiPriority w:val="9"/>
    <w:pPr>
      <w:pBdr/>
      <w:spacing/>
      <w:ind/>
    </w:pPr>
    <w:rPr>
      <w:rFonts w:ascii="Arial" w:hAnsi="Arial" w:eastAsia="Arial" w:cs="Arial"/>
      <w:color w:val="595959" w:themeColor="text1" w:themeTint="A6"/>
    </w:rPr>
  </w:style>
  <w:style w:type="character" w:styleId="966">
    <w:name w:val="Heading 8 Char"/>
    <w:basedOn w:val="1008"/>
    <w:link w:val="1006"/>
    <w:uiPriority w:val="9"/>
    <w:pPr>
      <w:pBdr/>
      <w:spacing/>
      <w:ind/>
    </w:pPr>
    <w:rPr>
      <w:rFonts w:ascii="Arial" w:hAnsi="Arial" w:eastAsia="Arial" w:cs="Arial"/>
      <w:i/>
      <w:iCs/>
      <w:color w:val="272727" w:themeColor="text1" w:themeTint="D8"/>
    </w:rPr>
  </w:style>
  <w:style w:type="character" w:styleId="967">
    <w:name w:val="Heading 9 Char"/>
    <w:basedOn w:val="1008"/>
    <w:link w:val="1007"/>
    <w:uiPriority w:val="9"/>
    <w:pPr>
      <w:pBdr/>
      <w:spacing/>
      <w:ind/>
    </w:pPr>
    <w:rPr>
      <w:rFonts w:ascii="Arial" w:hAnsi="Arial" w:eastAsia="Arial" w:cs="Arial"/>
      <w:i/>
      <w:iCs/>
      <w:color w:val="272727" w:themeColor="text1" w:themeTint="D8"/>
    </w:rPr>
  </w:style>
  <w:style w:type="character" w:styleId="968">
    <w:name w:val="Title Char"/>
    <w:basedOn w:val="1008"/>
    <w:link w:val="1014"/>
    <w:uiPriority w:val="10"/>
    <w:pPr>
      <w:pBdr/>
      <w:spacing/>
      <w:ind/>
    </w:pPr>
    <w:rPr>
      <w:rFonts w:ascii="Arial" w:hAnsi="Arial" w:eastAsia="Arial" w:cs="Arial"/>
      <w:spacing w:val="-10"/>
      <w:sz w:val="56"/>
      <w:szCs w:val="56"/>
    </w:rPr>
  </w:style>
  <w:style w:type="character" w:styleId="969">
    <w:name w:val="Subtitle Char"/>
    <w:basedOn w:val="1008"/>
    <w:link w:val="1016"/>
    <w:uiPriority w:val="11"/>
    <w:pPr>
      <w:pBdr/>
      <w:spacing/>
      <w:ind/>
    </w:pPr>
    <w:rPr>
      <w:color w:val="595959" w:themeColor="text1" w:themeTint="A6"/>
      <w:spacing w:val="15"/>
      <w:sz w:val="28"/>
      <w:szCs w:val="28"/>
    </w:rPr>
  </w:style>
  <w:style w:type="paragraph" w:styleId="970">
    <w:name w:val="Quote"/>
    <w:basedOn w:val="998"/>
    <w:next w:val="998"/>
    <w:link w:val="971"/>
    <w:uiPriority w:val="29"/>
    <w:qFormat/>
    <w:pPr>
      <w:pBdr/>
      <w:spacing w:before="160"/>
      <w:ind/>
      <w:jc w:val="center"/>
    </w:pPr>
    <w:rPr>
      <w:i/>
      <w:iCs/>
      <w:color w:val="404040" w:themeColor="text1" w:themeTint="BF"/>
    </w:rPr>
  </w:style>
  <w:style w:type="character" w:styleId="971">
    <w:name w:val="Quote Char"/>
    <w:basedOn w:val="1008"/>
    <w:link w:val="970"/>
    <w:uiPriority w:val="29"/>
    <w:pPr>
      <w:pBdr/>
      <w:spacing/>
      <w:ind/>
    </w:pPr>
    <w:rPr>
      <w:i/>
      <w:iCs/>
      <w:color w:val="404040" w:themeColor="text1" w:themeTint="BF"/>
    </w:rPr>
  </w:style>
  <w:style w:type="paragraph" w:styleId="972">
    <w:name w:val="List Paragraph"/>
    <w:basedOn w:val="998"/>
    <w:uiPriority w:val="34"/>
    <w:qFormat/>
    <w:pPr>
      <w:pBdr/>
      <w:spacing/>
      <w:ind w:left="720"/>
      <w:contextualSpacing w:val="true"/>
    </w:pPr>
  </w:style>
  <w:style w:type="character" w:styleId="973">
    <w:name w:val="Intense Emphasis"/>
    <w:basedOn w:val="1008"/>
    <w:uiPriority w:val="21"/>
    <w:qFormat/>
    <w:pPr>
      <w:pBdr/>
      <w:spacing/>
      <w:ind/>
    </w:pPr>
    <w:rPr>
      <w:i/>
      <w:iCs/>
      <w:color w:val="0f4761" w:themeColor="accent1" w:themeShade="BF"/>
    </w:rPr>
  </w:style>
  <w:style w:type="paragraph" w:styleId="974">
    <w:name w:val="Intense Quote"/>
    <w:basedOn w:val="998"/>
    <w:next w:val="998"/>
    <w:link w:val="97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75">
    <w:name w:val="Intense Quote Char"/>
    <w:basedOn w:val="1008"/>
    <w:link w:val="974"/>
    <w:uiPriority w:val="30"/>
    <w:pPr>
      <w:pBdr/>
      <w:spacing/>
      <w:ind/>
    </w:pPr>
    <w:rPr>
      <w:i/>
      <w:iCs/>
      <w:color w:val="0f4761" w:themeColor="accent1" w:themeShade="BF"/>
    </w:rPr>
  </w:style>
  <w:style w:type="character" w:styleId="976">
    <w:name w:val="Intense Reference"/>
    <w:basedOn w:val="1008"/>
    <w:uiPriority w:val="32"/>
    <w:qFormat/>
    <w:pPr>
      <w:pBdr/>
      <w:spacing/>
      <w:ind/>
    </w:pPr>
    <w:rPr>
      <w:b/>
      <w:bCs/>
      <w:smallCaps/>
      <w:color w:val="0f4761" w:themeColor="accent1" w:themeShade="BF"/>
      <w:spacing w:val="5"/>
    </w:rPr>
  </w:style>
  <w:style w:type="paragraph" w:styleId="977">
    <w:name w:val="No Spacing"/>
    <w:basedOn w:val="998"/>
    <w:uiPriority w:val="1"/>
    <w:qFormat/>
    <w:pPr>
      <w:pBdr/>
      <w:spacing w:after="0" w:line="240" w:lineRule="auto"/>
      <w:ind/>
    </w:pPr>
  </w:style>
  <w:style w:type="character" w:styleId="978">
    <w:name w:val="Subtle Emphasis"/>
    <w:basedOn w:val="1008"/>
    <w:uiPriority w:val="19"/>
    <w:qFormat/>
    <w:pPr>
      <w:pBdr/>
      <w:spacing/>
      <w:ind/>
    </w:pPr>
    <w:rPr>
      <w:i/>
      <w:iCs/>
      <w:color w:val="404040" w:themeColor="text1" w:themeTint="BF"/>
    </w:rPr>
  </w:style>
  <w:style w:type="character" w:styleId="979">
    <w:name w:val="Emphasis"/>
    <w:basedOn w:val="1008"/>
    <w:uiPriority w:val="20"/>
    <w:qFormat/>
    <w:pPr>
      <w:pBdr/>
      <w:spacing/>
      <w:ind/>
    </w:pPr>
    <w:rPr>
      <w:i/>
      <w:iCs/>
    </w:rPr>
  </w:style>
  <w:style w:type="character" w:styleId="980">
    <w:name w:val="Strong"/>
    <w:basedOn w:val="1008"/>
    <w:uiPriority w:val="22"/>
    <w:qFormat/>
    <w:pPr>
      <w:pBdr/>
      <w:spacing/>
      <w:ind/>
    </w:pPr>
    <w:rPr>
      <w:b/>
      <w:bCs/>
    </w:rPr>
  </w:style>
  <w:style w:type="character" w:styleId="981">
    <w:name w:val="Subtle Reference"/>
    <w:basedOn w:val="1008"/>
    <w:uiPriority w:val="31"/>
    <w:qFormat/>
    <w:pPr>
      <w:pBdr/>
      <w:spacing/>
      <w:ind/>
    </w:pPr>
    <w:rPr>
      <w:smallCaps/>
      <w:color w:val="5a5a5a" w:themeColor="text1" w:themeTint="A5"/>
    </w:rPr>
  </w:style>
  <w:style w:type="character" w:styleId="982">
    <w:name w:val="Book Title"/>
    <w:basedOn w:val="1008"/>
    <w:uiPriority w:val="33"/>
    <w:qFormat/>
    <w:pPr>
      <w:pBdr/>
      <w:spacing/>
      <w:ind/>
    </w:pPr>
    <w:rPr>
      <w:b/>
      <w:bCs/>
      <w:i/>
      <w:iCs/>
      <w:spacing w:val="5"/>
    </w:rPr>
  </w:style>
  <w:style w:type="character" w:styleId="983">
    <w:name w:val="Header Char"/>
    <w:basedOn w:val="1008"/>
    <w:link w:val="1081"/>
    <w:uiPriority w:val="99"/>
    <w:pPr>
      <w:pBdr/>
      <w:spacing/>
      <w:ind/>
    </w:pPr>
  </w:style>
  <w:style w:type="character" w:styleId="984">
    <w:name w:val="Footer Char"/>
    <w:basedOn w:val="1008"/>
    <w:link w:val="1083"/>
    <w:uiPriority w:val="99"/>
    <w:pPr>
      <w:pBdr/>
      <w:spacing/>
      <w:ind/>
    </w:pPr>
  </w:style>
  <w:style w:type="character" w:styleId="985">
    <w:name w:val="Footnote Text Char"/>
    <w:basedOn w:val="1008"/>
    <w:link w:val="1033"/>
    <w:uiPriority w:val="99"/>
    <w:semiHidden/>
    <w:pPr>
      <w:pBdr/>
      <w:spacing/>
      <w:ind/>
    </w:pPr>
    <w:rPr>
      <w:sz w:val="20"/>
      <w:szCs w:val="20"/>
    </w:rPr>
  </w:style>
  <w:style w:type="paragraph" w:styleId="986">
    <w:name w:val="endnote text"/>
    <w:basedOn w:val="998"/>
    <w:link w:val="987"/>
    <w:uiPriority w:val="99"/>
    <w:semiHidden/>
    <w:unhideWhenUsed/>
    <w:pPr>
      <w:pBdr/>
      <w:spacing w:after="0" w:line="240" w:lineRule="auto"/>
      <w:ind/>
    </w:pPr>
    <w:rPr>
      <w:sz w:val="20"/>
      <w:szCs w:val="20"/>
    </w:rPr>
  </w:style>
  <w:style w:type="character" w:styleId="987">
    <w:name w:val="Endnote Text Char"/>
    <w:basedOn w:val="1008"/>
    <w:link w:val="986"/>
    <w:uiPriority w:val="99"/>
    <w:semiHidden/>
    <w:pPr>
      <w:pBdr/>
      <w:spacing/>
      <w:ind/>
    </w:pPr>
    <w:rPr>
      <w:sz w:val="20"/>
      <w:szCs w:val="20"/>
    </w:rPr>
  </w:style>
  <w:style w:type="character" w:styleId="988">
    <w:name w:val="endnote reference"/>
    <w:basedOn w:val="1008"/>
    <w:uiPriority w:val="99"/>
    <w:semiHidden/>
    <w:unhideWhenUsed/>
    <w:pPr>
      <w:pBdr/>
      <w:spacing/>
      <w:ind/>
    </w:pPr>
    <w:rPr>
      <w:vertAlign w:val="superscript"/>
    </w:rPr>
  </w:style>
  <w:style w:type="character" w:styleId="989">
    <w:name w:val="FollowedHyperlink"/>
    <w:basedOn w:val="1008"/>
    <w:uiPriority w:val="99"/>
    <w:semiHidden/>
    <w:unhideWhenUsed/>
    <w:pPr>
      <w:pBdr/>
      <w:spacing/>
      <w:ind/>
    </w:pPr>
    <w:rPr>
      <w:color w:val="954f72" w:themeColor="followedHyperlink"/>
      <w:u w:val="single"/>
    </w:rPr>
  </w:style>
  <w:style w:type="paragraph" w:styleId="990">
    <w:name w:val="toc 4"/>
    <w:basedOn w:val="998"/>
    <w:next w:val="998"/>
    <w:uiPriority w:val="39"/>
    <w:unhideWhenUsed/>
    <w:pPr>
      <w:pBdr/>
      <w:spacing w:after="100"/>
      <w:ind w:left="660"/>
    </w:pPr>
  </w:style>
  <w:style w:type="paragraph" w:styleId="991">
    <w:name w:val="toc 5"/>
    <w:basedOn w:val="998"/>
    <w:next w:val="998"/>
    <w:uiPriority w:val="39"/>
    <w:unhideWhenUsed/>
    <w:pPr>
      <w:pBdr/>
      <w:spacing w:after="100"/>
      <w:ind w:left="880"/>
    </w:pPr>
  </w:style>
  <w:style w:type="paragraph" w:styleId="992">
    <w:name w:val="toc 6"/>
    <w:basedOn w:val="998"/>
    <w:next w:val="998"/>
    <w:uiPriority w:val="39"/>
    <w:unhideWhenUsed/>
    <w:pPr>
      <w:pBdr/>
      <w:spacing w:after="100"/>
      <w:ind w:left="1100"/>
    </w:pPr>
  </w:style>
  <w:style w:type="paragraph" w:styleId="993">
    <w:name w:val="toc 7"/>
    <w:basedOn w:val="998"/>
    <w:next w:val="998"/>
    <w:uiPriority w:val="39"/>
    <w:unhideWhenUsed/>
    <w:pPr>
      <w:pBdr/>
      <w:spacing w:after="100"/>
      <w:ind w:left="1320"/>
    </w:pPr>
  </w:style>
  <w:style w:type="paragraph" w:styleId="994">
    <w:name w:val="toc 8"/>
    <w:basedOn w:val="998"/>
    <w:next w:val="998"/>
    <w:uiPriority w:val="39"/>
    <w:unhideWhenUsed/>
    <w:pPr>
      <w:pBdr/>
      <w:spacing w:after="100"/>
      <w:ind w:left="1540"/>
    </w:pPr>
  </w:style>
  <w:style w:type="paragraph" w:styleId="995">
    <w:name w:val="toc 9"/>
    <w:basedOn w:val="998"/>
    <w:next w:val="998"/>
    <w:uiPriority w:val="39"/>
    <w:unhideWhenUsed/>
    <w:pPr>
      <w:pBdr/>
      <w:spacing w:after="100"/>
      <w:ind w:left="1760"/>
    </w:pPr>
  </w:style>
  <w:style w:type="character" w:styleId="996">
    <w:name w:val="Placeholder Text"/>
    <w:basedOn w:val="1008"/>
    <w:uiPriority w:val="99"/>
    <w:semiHidden/>
    <w:pPr>
      <w:pBdr/>
      <w:spacing/>
      <w:ind/>
    </w:pPr>
    <w:rPr>
      <w:color w:val="666666"/>
    </w:rPr>
  </w:style>
  <w:style w:type="paragraph" w:styleId="997">
    <w:name w:val="table of figures"/>
    <w:basedOn w:val="998"/>
    <w:next w:val="998"/>
    <w:uiPriority w:val="99"/>
    <w:unhideWhenUsed/>
    <w:pPr>
      <w:pBdr/>
      <w:spacing w:after="0" w:afterAutospacing="0"/>
      <w:ind/>
    </w:pPr>
  </w:style>
  <w:style w:type="paragraph" w:styleId="998" w:default="1">
    <w:name w:val="Normal"/>
    <w:qFormat/>
    <w:pPr>
      <w:pBdr/>
      <w:spacing/>
      <w:ind/>
    </w:pPr>
  </w:style>
  <w:style w:type="paragraph" w:styleId="999">
    <w:name w:val="Heading 1"/>
    <w:basedOn w:val="998"/>
    <w:next w:val="1011"/>
    <w:link w:val="1023"/>
    <w:uiPriority w:val="9"/>
    <w:qFormat/>
    <w:pPr>
      <w:keepNext w:val="true"/>
      <w:keepLines w:val="true"/>
      <w:numPr>
        <w:numId w:val="33"/>
      </w:numPr>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1000">
    <w:name w:val="Heading 2"/>
    <w:basedOn w:val="998"/>
    <w:next w:val="1011"/>
    <w:link w:val="1024"/>
    <w:uiPriority w:val="9"/>
    <w:unhideWhenUsed/>
    <w:qFormat/>
    <w:pPr>
      <w:keepNext w:val="true"/>
      <w:keepLines w:val="true"/>
      <w:numPr>
        <w:ilvl w:val="1"/>
        <w:numId w:val="33"/>
      </w:numPr>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1001">
    <w:name w:val="Heading 3"/>
    <w:basedOn w:val="998"/>
    <w:next w:val="1011"/>
    <w:link w:val="1025"/>
    <w:uiPriority w:val="9"/>
    <w:unhideWhenUsed/>
    <w:qFormat/>
    <w:pPr>
      <w:keepNext w:val="true"/>
      <w:keepLines w:val="true"/>
      <w:numPr>
        <w:ilvl w:val="2"/>
        <w:numId w:val="33"/>
      </w:numPr>
      <w:pBdr/>
      <w:spacing w:after="80" w:before="160"/>
      <w:ind/>
      <w:outlineLvl w:val="2"/>
    </w:pPr>
    <w:rPr>
      <w:rFonts w:eastAsiaTheme="majorEastAsia" w:cstheme="majorBidi"/>
      <w:color w:val="0f4761" w:themeColor="accent1" w:themeShade="BF"/>
      <w:sz w:val="28"/>
      <w:szCs w:val="28"/>
    </w:rPr>
  </w:style>
  <w:style w:type="paragraph" w:styleId="1002">
    <w:name w:val="Heading 4"/>
    <w:basedOn w:val="998"/>
    <w:next w:val="1011"/>
    <w:link w:val="1026"/>
    <w:uiPriority w:val="9"/>
    <w:semiHidden/>
    <w:unhideWhenUsed/>
    <w:qFormat/>
    <w:pPr>
      <w:keepNext w:val="true"/>
      <w:keepLines w:val="true"/>
      <w:numPr>
        <w:ilvl w:val="3"/>
        <w:numId w:val="33"/>
      </w:numPr>
      <w:pBdr/>
      <w:spacing w:after="40" w:before="80"/>
      <w:ind/>
      <w:outlineLvl w:val="3"/>
    </w:pPr>
    <w:rPr>
      <w:rFonts w:eastAsiaTheme="majorEastAsia" w:cstheme="majorBidi"/>
      <w:i/>
      <w:iCs/>
      <w:color w:val="0f4761" w:themeColor="accent1" w:themeShade="BF"/>
    </w:rPr>
  </w:style>
  <w:style w:type="paragraph" w:styleId="1003">
    <w:name w:val="Heading 5"/>
    <w:basedOn w:val="998"/>
    <w:next w:val="1011"/>
    <w:link w:val="1027"/>
    <w:uiPriority w:val="9"/>
    <w:semiHidden/>
    <w:unhideWhenUsed/>
    <w:qFormat/>
    <w:pPr>
      <w:keepNext w:val="true"/>
      <w:keepLines w:val="true"/>
      <w:numPr>
        <w:ilvl w:val="4"/>
        <w:numId w:val="33"/>
      </w:numPr>
      <w:pBdr/>
      <w:spacing w:after="40" w:before="80"/>
      <w:ind/>
      <w:outlineLvl w:val="4"/>
    </w:pPr>
    <w:rPr>
      <w:rFonts w:eastAsiaTheme="majorEastAsia" w:cstheme="majorBidi"/>
      <w:color w:val="0f4761" w:themeColor="accent1" w:themeShade="BF"/>
    </w:rPr>
  </w:style>
  <w:style w:type="paragraph" w:styleId="1004">
    <w:name w:val="Heading 6"/>
    <w:basedOn w:val="998"/>
    <w:next w:val="1011"/>
    <w:link w:val="1028"/>
    <w:uiPriority w:val="9"/>
    <w:semiHidden/>
    <w:unhideWhenUsed/>
    <w:qFormat/>
    <w:pPr>
      <w:keepNext w:val="true"/>
      <w:keepLines w:val="true"/>
      <w:numPr>
        <w:ilvl w:val="5"/>
        <w:numId w:val="33"/>
      </w:numPr>
      <w:pBdr/>
      <w:spacing w:after="0" w:before="40"/>
      <w:ind/>
      <w:outlineLvl w:val="5"/>
    </w:pPr>
    <w:rPr>
      <w:rFonts w:eastAsiaTheme="majorEastAsia" w:cstheme="majorBidi"/>
      <w:i/>
      <w:iCs/>
      <w:color w:val="595959" w:themeColor="text1" w:themeTint="A6"/>
    </w:rPr>
  </w:style>
  <w:style w:type="paragraph" w:styleId="1005">
    <w:name w:val="Heading 7"/>
    <w:basedOn w:val="998"/>
    <w:next w:val="1011"/>
    <w:link w:val="1029"/>
    <w:uiPriority w:val="9"/>
    <w:semiHidden/>
    <w:unhideWhenUsed/>
    <w:qFormat/>
    <w:pPr>
      <w:keepNext w:val="true"/>
      <w:keepLines w:val="true"/>
      <w:numPr>
        <w:ilvl w:val="6"/>
        <w:numId w:val="33"/>
      </w:numPr>
      <w:pBdr/>
      <w:spacing w:after="0" w:before="40"/>
      <w:ind/>
      <w:outlineLvl w:val="6"/>
    </w:pPr>
    <w:rPr>
      <w:rFonts w:eastAsiaTheme="majorEastAsia" w:cstheme="majorBidi"/>
      <w:color w:val="595959" w:themeColor="text1" w:themeTint="A6"/>
    </w:rPr>
  </w:style>
  <w:style w:type="paragraph" w:styleId="1006">
    <w:name w:val="Heading 8"/>
    <w:basedOn w:val="998"/>
    <w:next w:val="1011"/>
    <w:link w:val="1030"/>
    <w:uiPriority w:val="9"/>
    <w:semiHidden/>
    <w:unhideWhenUsed/>
    <w:qFormat/>
    <w:pPr>
      <w:keepNext w:val="true"/>
      <w:keepLines w:val="true"/>
      <w:numPr>
        <w:ilvl w:val="7"/>
        <w:numId w:val="33"/>
      </w:numPr>
      <w:pBdr/>
      <w:spacing w:after="0"/>
      <w:ind/>
      <w:outlineLvl w:val="7"/>
    </w:pPr>
    <w:rPr>
      <w:rFonts w:eastAsiaTheme="majorEastAsia" w:cstheme="majorBidi"/>
      <w:i/>
      <w:iCs/>
      <w:color w:val="272727" w:themeColor="text1" w:themeTint="D8"/>
    </w:rPr>
  </w:style>
  <w:style w:type="paragraph" w:styleId="1007">
    <w:name w:val="Heading 9"/>
    <w:basedOn w:val="998"/>
    <w:next w:val="1011"/>
    <w:link w:val="1031"/>
    <w:uiPriority w:val="9"/>
    <w:semiHidden/>
    <w:unhideWhenUsed/>
    <w:qFormat/>
    <w:pPr>
      <w:keepNext w:val="true"/>
      <w:keepLines w:val="true"/>
      <w:numPr>
        <w:ilvl w:val="8"/>
        <w:numId w:val="33"/>
      </w:numPr>
      <w:pBdr/>
      <w:spacing w:after="0"/>
      <w:ind/>
      <w:outlineLvl w:val="8"/>
    </w:pPr>
    <w:rPr>
      <w:rFonts w:eastAsiaTheme="majorEastAsia" w:cstheme="majorBidi"/>
      <w:color w:val="272727" w:themeColor="text1" w:themeTint="D8"/>
    </w:rPr>
  </w:style>
  <w:style w:type="character" w:styleId="1008" w:default="1">
    <w:name w:val="Default Paragraph Font"/>
    <w:uiPriority w:val="1"/>
    <w:unhideWhenUsed/>
    <w:pPr>
      <w:pBdr/>
      <w:spacing/>
      <w:ind/>
    </w:pPr>
  </w:style>
  <w:style w:type="table" w:styleId="10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10" w:default="1">
    <w:name w:val="No List"/>
    <w:uiPriority w:val="99"/>
    <w:semiHidden/>
    <w:unhideWhenUsed/>
    <w:pPr>
      <w:pBdr/>
      <w:spacing/>
      <w:ind/>
    </w:pPr>
  </w:style>
  <w:style w:type="paragraph" w:styleId="1011">
    <w:name w:val="Body Text"/>
    <w:basedOn w:val="998"/>
    <w:qFormat/>
    <w:pPr>
      <w:pBdr/>
      <w:spacing w:after="180" w:before="180"/>
      <w:ind/>
    </w:pPr>
  </w:style>
  <w:style w:type="paragraph" w:styleId="1012" w:customStyle="1">
    <w:name w:val="First Paragraph"/>
    <w:basedOn w:val="1011"/>
    <w:next w:val="1011"/>
    <w:qFormat/>
    <w:pPr>
      <w:pBdr/>
      <w:spacing/>
      <w:ind/>
    </w:pPr>
  </w:style>
  <w:style w:type="paragraph" w:styleId="1013" w:customStyle="1">
    <w:name w:val="Compact"/>
    <w:basedOn w:val="1011"/>
    <w:qFormat/>
    <w:pPr>
      <w:pBdr/>
      <w:spacing w:after="36" w:before="36"/>
      <w:ind/>
    </w:pPr>
  </w:style>
  <w:style w:type="paragraph" w:styleId="1014">
    <w:name w:val="Title"/>
    <w:basedOn w:val="998"/>
    <w:next w:val="1011"/>
    <w:link w:val="1015"/>
    <w:uiPriority w:val="10"/>
    <w:qFormat/>
    <w:pPr>
      <w:pBdr/>
      <w:spacing w:after="80"/>
      <w:ind/>
      <w:contextualSpacing w:val="true"/>
      <w:jc w:val="center"/>
    </w:pPr>
    <w:rPr>
      <w:rFonts w:asciiTheme="majorHAnsi" w:hAnsiTheme="majorHAnsi" w:eastAsiaTheme="majorEastAsia" w:cstheme="majorBidi"/>
      <w:spacing w:val="-10"/>
      <w:sz w:val="56"/>
      <w:szCs w:val="56"/>
    </w:rPr>
  </w:style>
  <w:style w:type="character" w:styleId="1015" w:customStyle="1">
    <w:name w:val="Titolo Carattere"/>
    <w:basedOn w:val="1008"/>
    <w:link w:val="1014"/>
    <w:uiPriority w:val="10"/>
    <w:pPr>
      <w:pBdr/>
      <w:spacing/>
      <w:ind/>
    </w:pPr>
    <w:rPr>
      <w:rFonts w:asciiTheme="majorHAnsi" w:hAnsiTheme="majorHAnsi" w:eastAsiaTheme="majorEastAsia" w:cstheme="majorBidi"/>
      <w:spacing w:val="-10"/>
      <w:sz w:val="56"/>
      <w:szCs w:val="56"/>
    </w:rPr>
  </w:style>
  <w:style w:type="paragraph" w:styleId="1016">
    <w:name w:val="Subtitle"/>
    <w:basedOn w:val="1014"/>
    <w:next w:val="1011"/>
    <w:link w:val="1017"/>
    <w:uiPriority w:val="11"/>
    <w:qFormat/>
    <w:pPr>
      <w:numPr>
        <w:ilvl w:val="1"/>
      </w:numPr>
      <w:pBdr/>
      <w:spacing/>
      <w:ind/>
    </w:pPr>
    <w:rPr>
      <w:spacing w:val="15"/>
      <w:sz w:val="28"/>
      <w:szCs w:val="28"/>
    </w:rPr>
  </w:style>
  <w:style w:type="character" w:styleId="1017" w:customStyle="1">
    <w:name w:val="Sottotitolo Carattere"/>
    <w:basedOn w:val="1008"/>
    <w:link w:val="1016"/>
    <w:uiPriority w:val="11"/>
    <w:pPr>
      <w:pBdr/>
      <w:spacing/>
      <w:ind/>
    </w:pPr>
    <w:rPr>
      <w:rFonts w:eastAsiaTheme="majorEastAsia" w:cstheme="majorBidi"/>
      <w:color w:val="595959" w:themeColor="text1" w:themeTint="A6"/>
      <w:spacing w:val="15"/>
      <w:sz w:val="28"/>
      <w:szCs w:val="28"/>
    </w:rPr>
  </w:style>
  <w:style w:type="paragraph" w:styleId="1018" w:customStyle="1">
    <w:name w:val="Author"/>
    <w:next w:val="1011"/>
    <w:qFormat/>
    <w:pPr>
      <w:keepNext w:val="true"/>
      <w:keepLines w:val="true"/>
      <w:pBdr/>
      <w:spacing/>
      <w:ind/>
      <w:jc w:val="center"/>
    </w:pPr>
  </w:style>
  <w:style w:type="paragraph" w:styleId="1019">
    <w:name w:val="Date"/>
    <w:next w:val="1011"/>
    <w:qFormat/>
    <w:pPr>
      <w:keepNext w:val="true"/>
      <w:keepLines w:val="true"/>
      <w:pBdr/>
      <w:spacing/>
      <w:ind/>
      <w:jc w:val="center"/>
    </w:pPr>
  </w:style>
  <w:style w:type="paragraph" w:styleId="1020" w:customStyle="1">
    <w:name w:val="Abstract Title"/>
    <w:basedOn w:val="998"/>
    <w:next w:val="1021"/>
    <w:qFormat/>
    <w:pPr>
      <w:keepNext w:val="true"/>
      <w:keepLines w:val="true"/>
      <w:pBdr/>
      <w:spacing w:after="0" w:before="300"/>
      <w:ind/>
      <w:jc w:val="center"/>
    </w:pPr>
    <w:rPr>
      <w:b/>
      <w:sz w:val="20"/>
      <w:szCs w:val="20"/>
    </w:rPr>
  </w:style>
  <w:style w:type="paragraph" w:styleId="1021" w:customStyle="1">
    <w:name w:val="Abstract"/>
    <w:basedOn w:val="998"/>
    <w:next w:val="1011"/>
    <w:qFormat/>
    <w:pPr>
      <w:keepNext w:val="true"/>
      <w:keepLines w:val="true"/>
      <w:pBdr/>
      <w:spacing w:after="300" w:before="100"/>
      <w:ind/>
    </w:pPr>
    <w:rPr>
      <w:sz w:val="20"/>
      <w:szCs w:val="20"/>
    </w:rPr>
  </w:style>
  <w:style w:type="paragraph" w:styleId="1022">
    <w:name w:val="Bibliography"/>
    <w:basedOn w:val="998"/>
    <w:qFormat/>
    <w:pPr>
      <w:pBdr/>
      <w:spacing/>
      <w:ind/>
    </w:pPr>
  </w:style>
  <w:style w:type="character" w:styleId="1023" w:customStyle="1">
    <w:name w:val="Titolo 1 Carattere"/>
    <w:basedOn w:val="1008"/>
    <w:link w:val="999"/>
    <w:uiPriority w:val="9"/>
    <w:pPr>
      <w:pBdr/>
      <w:spacing/>
      <w:ind/>
    </w:pPr>
    <w:rPr>
      <w:rFonts w:asciiTheme="majorHAnsi" w:hAnsiTheme="majorHAnsi" w:eastAsiaTheme="majorEastAsia" w:cstheme="majorBidi"/>
      <w:color w:val="0f4761" w:themeColor="accent1" w:themeShade="BF"/>
      <w:sz w:val="40"/>
      <w:szCs w:val="40"/>
    </w:rPr>
  </w:style>
  <w:style w:type="character" w:styleId="1024" w:customStyle="1">
    <w:name w:val="Titolo 2 Carattere"/>
    <w:basedOn w:val="1008"/>
    <w:link w:val="1000"/>
    <w:uiPriority w:val="9"/>
    <w:pPr>
      <w:pBdr/>
      <w:spacing/>
      <w:ind/>
    </w:pPr>
    <w:rPr>
      <w:rFonts w:asciiTheme="majorHAnsi" w:hAnsiTheme="majorHAnsi" w:eastAsiaTheme="majorEastAsia" w:cstheme="majorBidi"/>
      <w:color w:val="0f4761" w:themeColor="accent1" w:themeShade="BF"/>
      <w:sz w:val="32"/>
      <w:szCs w:val="32"/>
    </w:rPr>
  </w:style>
  <w:style w:type="character" w:styleId="1025" w:customStyle="1">
    <w:name w:val="Titolo 3 Carattere"/>
    <w:basedOn w:val="1008"/>
    <w:link w:val="1001"/>
    <w:uiPriority w:val="9"/>
    <w:pPr>
      <w:pBdr/>
      <w:spacing/>
      <w:ind/>
    </w:pPr>
    <w:rPr>
      <w:rFonts w:eastAsiaTheme="majorEastAsia" w:cstheme="majorBidi"/>
      <w:color w:val="0f4761" w:themeColor="accent1" w:themeShade="BF"/>
      <w:sz w:val="28"/>
      <w:szCs w:val="28"/>
    </w:rPr>
  </w:style>
  <w:style w:type="character" w:styleId="1026" w:customStyle="1">
    <w:name w:val="Titolo 4 Carattere"/>
    <w:basedOn w:val="1008"/>
    <w:link w:val="1002"/>
    <w:uiPriority w:val="9"/>
    <w:semiHidden/>
    <w:pPr>
      <w:pBdr/>
      <w:spacing/>
      <w:ind/>
    </w:pPr>
    <w:rPr>
      <w:rFonts w:eastAsiaTheme="majorEastAsia" w:cstheme="majorBidi"/>
      <w:i/>
      <w:iCs/>
      <w:color w:val="0f4761" w:themeColor="accent1" w:themeShade="BF"/>
    </w:rPr>
  </w:style>
  <w:style w:type="character" w:styleId="1027" w:customStyle="1">
    <w:name w:val="Titolo 5 Carattere"/>
    <w:basedOn w:val="1008"/>
    <w:link w:val="1003"/>
    <w:uiPriority w:val="9"/>
    <w:semiHidden/>
    <w:pPr>
      <w:pBdr/>
      <w:spacing/>
      <w:ind/>
    </w:pPr>
    <w:rPr>
      <w:rFonts w:eastAsiaTheme="majorEastAsia" w:cstheme="majorBidi"/>
      <w:color w:val="0f4761" w:themeColor="accent1" w:themeShade="BF"/>
    </w:rPr>
  </w:style>
  <w:style w:type="character" w:styleId="1028" w:customStyle="1">
    <w:name w:val="Titolo 6 Carattere"/>
    <w:basedOn w:val="1008"/>
    <w:link w:val="1004"/>
    <w:uiPriority w:val="9"/>
    <w:semiHidden/>
    <w:pPr>
      <w:pBdr/>
      <w:spacing/>
      <w:ind/>
    </w:pPr>
    <w:rPr>
      <w:rFonts w:eastAsiaTheme="majorEastAsia" w:cstheme="majorBidi"/>
      <w:i/>
      <w:iCs/>
      <w:color w:val="595959" w:themeColor="text1" w:themeTint="A6"/>
    </w:rPr>
  </w:style>
  <w:style w:type="character" w:styleId="1029" w:customStyle="1">
    <w:name w:val="Titolo 7 Carattere"/>
    <w:basedOn w:val="1008"/>
    <w:link w:val="1005"/>
    <w:uiPriority w:val="9"/>
    <w:semiHidden/>
    <w:pPr>
      <w:pBdr/>
      <w:spacing/>
      <w:ind/>
    </w:pPr>
    <w:rPr>
      <w:rFonts w:eastAsiaTheme="majorEastAsia" w:cstheme="majorBidi"/>
      <w:color w:val="595959" w:themeColor="text1" w:themeTint="A6"/>
    </w:rPr>
  </w:style>
  <w:style w:type="character" w:styleId="1030" w:customStyle="1">
    <w:name w:val="Titolo 8 Carattere"/>
    <w:basedOn w:val="1008"/>
    <w:link w:val="1006"/>
    <w:uiPriority w:val="9"/>
    <w:semiHidden/>
    <w:pPr>
      <w:pBdr/>
      <w:spacing/>
      <w:ind/>
    </w:pPr>
    <w:rPr>
      <w:rFonts w:eastAsiaTheme="majorEastAsia" w:cstheme="majorBidi"/>
      <w:i/>
      <w:iCs/>
      <w:color w:val="272727" w:themeColor="text1" w:themeTint="D8"/>
    </w:rPr>
  </w:style>
  <w:style w:type="character" w:styleId="1031" w:customStyle="1">
    <w:name w:val="Titolo 9 Carattere"/>
    <w:basedOn w:val="1008"/>
    <w:link w:val="1007"/>
    <w:uiPriority w:val="9"/>
    <w:semiHidden/>
    <w:pPr>
      <w:pBdr/>
      <w:spacing/>
      <w:ind/>
    </w:pPr>
    <w:rPr>
      <w:rFonts w:eastAsiaTheme="majorEastAsia" w:cstheme="majorBidi"/>
      <w:color w:val="272727" w:themeColor="text1" w:themeTint="D8"/>
    </w:rPr>
  </w:style>
  <w:style w:type="paragraph" w:styleId="1032">
    <w:name w:val="Block Text"/>
    <w:basedOn w:val="1011"/>
    <w:next w:val="1011"/>
    <w:uiPriority w:val="9"/>
    <w:unhideWhenUsed/>
    <w:qFormat/>
    <w:pPr>
      <w:pBdr/>
      <w:spacing w:after="100" w:before="100"/>
      <w:ind w:right="480" w:left="480"/>
    </w:pPr>
  </w:style>
  <w:style w:type="paragraph" w:styleId="1033">
    <w:name w:val="footnote text"/>
    <w:basedOn w:val="998"/>
    <w:uiPriority w:val="9"/>
    <w:unhideWhenUsed/>
    <w:qFormat/>
    <w:pPr>
      <w:pBdr/>
      <w:spacing/>
      <w:ind/>
    </w:pPr>
  </w:style>
  <w:style w:type="paragraph" w:styleId="1034" w:customStyle="1">
    <w:name w:val="Footnote Block Text"/>
    <w:basedOn w:val="1033"/>
    <w:next w:val="1033"/>
    <w:uiPriority w:val="9"/>
    <w:unhideWhenUsed/>
    <w:qFormat/>
    <w:pPr>
      <w:pBdr/>
      <w:spacing w:after="100" w:before="100"/>
      <w:ind w:right="480" w:left="480"/>
    </w:pPr>
  </w:style>
  <w:style w:type="table" w:styleId="1035" w:customStyle="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rPr>
        <w:jc w:val="left"/>
      </w:trPr>
      <w:tcPr>
        <w:tcBorders>
          <w:bottom w:val="single" w:color="000000" w:sz="0"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36" w:customStyle="1">
    <w:name w:val="Definition Term"/>
    <w:basedOn w:val="998"/>
    <w:next w:val="1037"/>
    <w:pPr>
      <w:keepNext w:val="true"/>
      <w:keepLines w:val="true"/>
      <w:pBdr/>
      <w:spacing w:after="0"/>
      <w:ind/>
    </w:pPr>
    <w:rPr>
      <w:b/>
    </w:rPr>
  </w:style>
  <w:style w:type="paragraph" w:styleId="1037" w:customStyle="1">
    <w:name w:val="Definition"/>
    <w:basedOn w:val="998"/>
    <w:pPr>
      <w:pBdr/>
      <w:spacing/>
      <w:ind/>
    </w:pPr>
  </w:style>
  <w:style w:type="paragraph" w:styleId="1038">
    <w:name w:val="Caption"/>
    <w:basedOn w:val="998"/>
    <w:link w:val="1043"/>
    <w:pPr>
      <w:pBdr/>
      <w:spacing w:after="120"/>
      <w:ind/>
    </w:pPr>
    <w:rPr>
      <w:i/>
    </w:rPr>
  </w:style>
  <w:style w:type="paragraph" w:styleId="1039" w:customStyle="1">
    <w:name w:val="Table Caption"/>
    <w:basedOn w:val="1038"/>
    <w:pPr>
      <w:keepNext w:val="true"/>
      <w:pBdr/>
      <w:spacing/>
      <w:ind/>
    </w:pPr>
  </w:style>
  <w:style w:type="paragraph" w:styleId="1040" w:customStyle="1">
    <w:name w:val="Image Caption"/>
    <w:basedOn w:val="1038"/>
    <w:pPr>
      <w:pBdr/>
      <w:spacing/>
      <w:ind/>
    </w:pPr>
  </w:style>
  <w:style w:type="paragraph" w:styleId="1041" w:customStyle="1">
    <w:name w:val="Figure"/>
    <w:basedOn w:val="998"/>
    <w:pPr>
      <w:pBdr/>
      <w:spacing/>
      <w:ind/>
    </w:pPr>
  </w:style>
  <w:style w:type="paragraph" w:styleId="1042" w:customStyle="1">
    <w:name w:val="Captioned Figure"/>
    <w:basedOn w:val="1041"/>
    <w:pPr>
      <w:keepNext w:val="true"/>
      <w:pBdr/>
      <w:spacing/>
      <w:ind/>
    </w:pPr>
  </w:style>
  <w:style w:type="character" w:styleId="1043" w:customStyle="1">
    <w:name w:val="Didascalia Carattere"/>
    <w:basedOn w:val="1008"/>
    <w:link w:val="1038"/>
    <w:pPr>
      <w:pBdr/>
      <w:spacing/>
      <w:ind/>
    </w:pPr>
  </w:style>
  <w:style w:type="character" w:styleId="1044" w:customStyle="1">
    <w:name w:val="Verbatim Char"/>
    <w:basedOn w:val="1043"/>
    <w:link w:val="1049"/>
    <w:pPr>
      <w:pBdr/>
      <w:spacing/>
      <w:ind/>
    </w:pPr>
    <w:rPr>
      <w:rFonts w:ascii="Consolas" w:hAnsi="Consolas"/>
      <w:sz w:val="22"/>
    </w:rPr>
  </w:style>
  <w:style w:type="character" w:styleId="1045" w:customStyle="1">
    <w:name w:val="Section Number"/>
    <w:basedOn w:val="1043"/>
    <w:pPr>
      <w:pBdr/>
      <w:spacing/>
      <w:ind/>
    </w:pPr>
  </w:style>
  <w:style w:type="character" w:styleId="1046">
    <w:name w:val="footnote reference"/>
    <w:basedOn w:val="1043"/>
    <w:pPr>
      <w:pBdr/>
      <w:spacing/>
      <w:ind/>
    </w:pPr>
    <w:rPr>
      <w:vertAlign w:val="superscript"/>
    </w:rPr>
  </w:style>
  <w:style w:type="character" w:styleId="1047">
    <w:name w:val="Hyperlink"/>
    <w:basedOn w:val="1043"/>
    <w:uiPriority w:val="99"/>
    <w:pPr>
      <w:pBdr/>
      <w:spacing/>
      <w:ind/>
    </w:pPr>
    <w:rPr>
      <w:color w:val="156082" w:themeColor="accent1"/>
    </w:rPr>
  </w:style>
  <w:style w:type="paragraph" w:styleId="1048">
    <w:name w:val="TOC Heading"/>
    <w:basedOn w:val="999"/>
    <w:next w:val="1011"/>
    <w:uiPriority w:val="39"/>
    <w:unhideWhenUsed/>
    <w:qFormat/>
    <w:pPr>
      <w:pBdr/>
      <w:spacing w:before="240" w:line="259" w:lineRule="auto"/>
      <w:ind/>
      <w:outlineLvl w:val="9"/>
    </w:pPr>
  </w:style>
  <w:style w:type="paragraph" w:styleId="1049" w:customStyle="1">
    <w:name w:val="Source Code"/>
    <w:basedOn w:val="998"/>
    <w:link w:val="1044"/>
    <w:pPr>
      <w:pBdr/>
      <w:spacing/>
      <w:ind/>
    </w:pPr>
  </w:style>
  <w:style w:type="character" w:styleId="1050" w:customStyle="1">
    <w:name w:val="KeywordTok"/>
    <w:basedOn w:val="1044"/>
    <w:pPr>
      <w:pBdr/>
      <w:spacing/>
      <w:ind/>
    </w:pPr>
    <w:rPr>
      <w:rFonts w:ascii="Consolas" w:hAnsi="Consolas"/>
      <w:b/>
      <w:color w:val="007020"/>
      <w:sz w:val="22"/>
    </w:rPr>
  </w:style>
  <w:style w:type="character" w:styleId="1051" w:customStyle="1">
    <w:name w:val="DataTypeTok"/>
    <w:basedOn w:val="1044"/>
    <w:pPr>
      <w:pBdr/>
      <w:spacing/>
      <w:ind/>
    </w:pPr>
    <w:rPr>
      <w:rFonts w:ascii="Consolas" w:hAnsi="Consolas"/>
      <w:color w:val="902000"/>
      <w:sz w:val="22"/>
    </w:rPr>
  </w:style>
  <w:style w:type="character" w:styleId="1052" w:customStyle="1">
    <w:name w:val="DecValTok"/>
    <w:basedOn w:val="1044"/>
    <w:pPr>
      <w:pBdr/>
      <w:spacing/>
      <w:ind/>
    </w:pPr>
    <w:rPr>
      <w:rFonts w:ascii="Consolas" w:hAnsi="Consolas"/>
      <w:color w:val="40a070"/>
      <w:sz w:val="22"/>
    </w:rPr>
  </w:style>
  <w:style w:type="character" w:styleId="1053" w:customStyle="1">
    <w:name w:val="BaseNTok"/>
    <w:basedOn w:val="1044"/>
    <w:pPr>
      <w:pBdr/>
      <w:spacing/>
      <w:ind/>
    </w:pPr>
    <w:rPr>
      <w:rFonts w:ascii="Consolas" w:hAnsi="Consolas"/>
      <w:color w:val="40a070"/>
      <w:sz w:val="22"/>
    </w:rPr>
  </w:style>
  <w:style w:type="character" w:styleId="1054" w:customStyle="1">
    <w:name w:val="FloatTok"/>
    <w:basedOn w:val="1044"/>
    <w:pPr>
      <w:pBdr/>
      <w:spacing/>
      <w:ind/>
    </w:pPr>
    <w:rPr>
      <w:rFonts w:ascii="Consolas" w:hAnsi="Consolas"/>
      <w:color w:val="40a070"/>
      <w:sz w:val="22"/>
    </w:rPr>
  </w:style>
  <w:style w:type="character" w:styleId="1055" w:customStyle="1">
    <w:name w:val="ConstantTok"/>
    <w:basedOn w:val="1044"/>
    <w:pPr>
      <w:pBdr/>
      <w:spacing/>
      <w:ind/>
    </w:pPr>
    <w:rPr>
      <w:rFonts w:ascii="Consolas" w:hAnsi="Consolas"/>
      <w:color w:val="880000"/>
      <w:sz w:val="22"/>
    </w:rPr>
  </w:style>
  <w:style w:type="character" w:styleId="1056" w:customStyle="1">
    <w:name w:val="CharTok"/>
    <w:basedOn w:val="1044"/>
    <w:pPr>
      <w:pBdr/>
      <w:spacing/>
      <w:ind/>
    </w:pPr>
    <w:rPr>
      <w:rFonts w:ascii="Consolas" w:hAnsi="Consolas"/>
      <w:color w:val="4070a0"/>
      <w:sz w:val="22"/>
    </w:rPr>
  </w:style>
  <w:style w:type="character" w:styleId="1057" w:customStyle="1">
    <w:name w:val="SpecialCharTok"/>
    <w:basedOn w:val="1044"/>
    <w:pPr>
      <w:pBdr/>
      <w:spacing/>
      <w:ind/>
    </w:pPr>
    <w:rPr>
      <w:rFonts w:ascii="Consolas" w:hAnsi="Consolas"/>
      <w:color w:val="4070a0"/>
      <w:sz w:val="22"/>
    </w:rPr>
  </w:style>
  <w:style w:type="character" w:styleId="1058" w:customStyle="1">
    <w:name w:val="StringTok"/>
    <w:basedOn w:val="1044"/>
    <w:pPr>
      <w:pBdr/>
      <w:spacing/>
      <w:ind/>
    </w:pPr>
    <w:rPr>
      <w:rFonts w:ascii="Consolas" w:hAnsi="Consolas"/>
      <w:color w:val="4070a0"/>
      <w:sz w:val="22"/>
    </w:rPr>
  </w:style>
  <w:style w:type="character" w:styleId="1059" w:customStyle="1">
    <w:name w:val="VerbatimStringTok"/>
    <w:basedOn w:val="1044"/>
    <w:pPr>
      <w:pBdr/>
      <w:spacing/>
      <w:ind/>
    </w:pPr>
    <w:rPr>
      <w:rFonts w:ascii="Consolas" w:hAnsi="Consolas"/>
      <w:color w:val="4070a0"/>
      <w:sz w:val="22"/>
    </w:rPr>
  </w:style>
  <w:style w:type="character" w:styleId="1060" w:customStyle="1">
    <w:name w:val="SpecialStringTok"/>
    <w:basedOn w:val="1044"/>
    <w:pPr>
      <w:pBdr/>
      <w:spacing/>
      <w:ind/>
    </w:pPr>
    <w:rPr>
      <w:rFonts w:ascii="Consolas" w:hAnsi="Consolas"/>
      <w:color w:val="bb6688"/>
      <w:sz w:val="22"/>
    </w:rPr>
  </w:style>
  <w:style w:type="character" w:styleId="1061" w:customStyle="1">
    <w:name w:val="ImportTok"/>
    <w:basedOn w:val="1044"/>
    <w:pPr>
      <w:pBdr/>
      <w:spacing/>
      <w:ind/>
    </w:pPr>
    <w:rPr>
      <w:rFonts w:ascii="Consolas" w:hAnsi="Consolas"/>
      <w:b/>
      <w:color w:val="008000"/>
      <w:sz w:val="22"/>
    </w:rPr>
  </w:style>
  <w:style w:type="character" w:styleId="1062" w:customStyle="1">
    <w:name w:val="CommentTok"/>
    <w:basedOn w:val="1044"/>
    <w:pPr>
      <w:pBdr/>
      <w:spacing/>
      <w:ind/>
    </w:pPr>
    <w:rPr>
      <w:rFonts w:ascii="Consolas" w:hAnsi="Consolas"/>
      <w:i/>
      <w:color w:val="60a0b0"/>
      <w:sz w:val="22"/>
    </w:rPr>
  </w:style>
  <w:style w:type="character" w:styleId="1063" w:customStyle="1">
    <w:name w:val="DocumentationTok"/>
    <w:basedOn w:val="1044"/>
    <w:pPr>
      <w:pBdr/>
      <w:spacing/>
      <w:ind/>
    </w:pPr>
    <w:rPr>
      <w:rFonts w:ascii="Consolas" w:hAnsi="Consolas"/>
      <w:i/>
      <w:color w:val="ba2121"/>
      <w:sz w:val="22"/>
    </w:rPr>
  </w:style>
  <w:style w:type="character" w:styleId="1064" w:customStyle="1">
    <w:name w:val="AnnotationTok"/>
    <w:basedOn w:val="1044"/>
    <w:pPr>
      <w:pBdr/>
      <w:spacing/>
      <w:ind/>
    </w:pPr>
    <w:rPr>
      <w:rFonts w:ascii="Consolas" w:hAnsi="Consolas"/>
      <w:b/>
      <w:i/>
      <w:color w:val="60a0b0"/>
      <w:sz w:val="22"/>
    </w:rPr>
  </w:style>
  <w:style w:type="character" w:styleId="1065" w:customStyle="1">
    <w:name w:val="CommentVarTok"/>
    <w:basedOn w:val="1044"/>
    <w:pPr>
      <w:pBdr/>
      <w:spacing/>
      <w:ind/>
    </w:pPr>
    <w:rPr>
      <w:rFonts w:ascii="Consolas" w:hAnsi="Consolas"/>
      <w:b/>
      <w:i/>
      <w:color w:val="60a0b0"/>
      <w:sz w:val="22"/>
    </w:rPr>
  </w:style>
  <w:style w:type="character" w:styleId="1066" w:customStyle="1">
    <w:name w:val="OtherTok"/>
    <w:basedOn w:val="1044"/>
    <w:pPr>
      <w:pBdr/>
      <w:spacing/>
      <w:ind/>
    </w:pPr>
    <w:rPr>
      <w:rFonts w:ascii="Consolas" w:hAnsi="Consolas"/>
      <w:color w:val="007020"/>
      <w:sz w:val="22"/>
    </w:rPr>
  </w:style>
  <w:style w:type="character" w:styleId="1067" w:customStyle="1">
    <w:name w:val="FunctionTok"/>
    <w:basedOn w:val="1044"/>
    <w:pPr>
      <w:pBdr/>
      <w:spacing/>
      <w:ind/>
    </w:pPr>
    <w:rPr>
      <w:rFonts w:ascii="Consolas" w:hAnsi="Consolas"/>
      <w:color w:val="06287e"/>
      <w:sz w:val="22"/>
    </w:rPr>
  </w:style>
  <w:style w:type="character" w:styleId="1068" w:customStyle="1">
    <w:name w:val="VariableTok"/>
    <w:basedOn w:val="1044"/>
    <w:pPr>
      <w:pBdr/>
      <w:spacing/>
      <w:ind/>
    </w:pPr>
    <w:rPr>
      <w:rFonts w:ascii="Consolas" w:hAnsi="Consolas"/>
      <w:color w:val="19177c"/>
      <w:sz w:val="22"/>
    </w:rPr>
  </w:style>
  <w:style w:type="character" w:styleId="1069" w:customStyle="1">
    <w:name w:val="ControlFlowTok"/>
    <w:basedOn w:val="1044"/>
    <w:pPr>
      <w:pBdr/>
      <w:spacing/>
      <w:ind/>
    </w:pPr>
    <w:rPr>
      <w:rFonts w:ascii="Consolas" w:hAnsi="Consolas"/>
      <w:b/>
      <w:color w:val="007020"/>
      <w:sz w:val="22"/>
    </w:rPr>
  </w:style>
  <w:style w:type="character" w:styleId="1070" w:customStyle="1">
    <w:name w:val="OperatorTok"/>
    <w:basedOn w:val="1044"/>
    <w:pPr>
      <w:pBdr/>
      <w:spacing/>
      <w:ind/>
    </w:pPr>
    <w:rPr>
      <w:rFonts w:ascii="Consolas" w:hAnsi="Consolas"/>
      <w:color w:val="666666"/>
      <w:sz w:val="22"/>
    </w:rPr>
  </w:style>
  <w:style w:type="character" w:styleId="1071" w:customStyle="1">
    <w:name w:val="BuiltInTok"/>
    <w:basedOn w:val="1044"/>
    <w:pPr>
      <w:pBdr/>
      <w:spacing/>
      <w:ind/>
    </w:pPr>
    <w:rPr>
      <w:rFonts w:ascii="Consolas" w:hAnsi="Consolas"/>
      <w:color w:val="008000"/>
      <w:sz w:val="22"/>
    </w:rPr>
  </w:style>
  <w:style w:type="character" w:styleId="1072" w:customStyle="1">
    <w:name w:val="ExtensionTok"/>
    <w:basedOn w:val="1044"/>
    <w:pPr>
      <w:pBdr/>
      <w:spacing/>
      <w:ind/>
    </w:pPr>
    <w:rPr>
      <w:rFonts w:ascii="Consolas" w:hAnsi="Consolas"/>
      <w:sz w:val="22"/>
    </w:rPr>
  </w:style>
  <w:style w:type="character" w:styleId="1073" w:customStyle="1">
    <w:name w:val="PreprocessorTok"/>
    <w:basedOn w:val="1044"/>
    <w:pPr>
      <w:pBdr/>
      <w:spacing/>
      <w:ind/>
    </w:pPr>
    <w:rPr>
      <w:rFonts w:ascii="Consolas" w:hAnsi="Consolas"/>
      <w:color w:val="bc7a00"/>
      <w:sz w:val="22"/>
    </w:rPr>
  </w:style>
  <w:style w:type="character" w:styleId="1074" w:customStyle="1">
    <w:name w:val="AttributeTok"/>
    <w:basedOn w:val="1044"/>
    <w:pPr>
      <w:pBdr/>
      <w:spacing/>
      <w:ind/>
    </w:pPr>
    <w:rPr>
      <w:rFonts w:ascii="Consolas" w:hAnsi="Consolas"/>
      <w:color w:val="7d9029"/>
      <w:sz w:val="22"/>
    </w:rPr>
  </w:style>
  <w:style w:type="character" w:styleId="1075" w:customStyle="1">
    <w:name w:val="RegionMarkerTok"/>
    <w:basedOn w:val="1044"/>
    <w:pPr>
      <w:pBdr/>
      <w:spacing/>
      <w:ind/>
    </w:pPr>
    <w:rPr>
      <w:rFonts w:ascii="Consolas" w:hAnsi="Consolas"/>
      <w:sz w:val="22"/>
    </w:rPr>
  </w:style>
  <w:style w:type="character" w:styleId="1076" w:customStyle="1">
    <w:name w:val="InformationTok"/>
    <w:basedOn w:val="1044"/>
    <w:pPr>
      <w:pBdr/>
      <w:spacing/>
      <w:ind/>
    </w:pPr>
    <w:rPr>
      <w:rFonts w:ascii="Consolas" w:hAnsi="Consolas"/>
      <w:b/>
      <w:i/>
      <w:color w:val="60a0b0"/>
      <w:sz w:val="22"/>
    </w:rPr>
  </w:style>
  <w:style w:type="character" w:styleId="1077" w:customStyle="1">
    <w:name w:val="WarningTok"/>
    <w:basedOn w:val="1044"/>
    <w:pPr>
      <w:pBdr/>
      <w:spacing/>
      <w:ind/>
    </w:pPr>
    <w:rPr>
      <w:rFonts w:ascii="Consolas" w:hAnsi="Consolas"/>
      <w:b/>
      <w:i/>
      <w:color w:val="60a0b0"/>
      <w:sz w:val="22"/>
    </w:rPr>
  </w:style>
  <w:style w:type="character" w:styleId="1078" w:customStyle="1">
    <w:name w:val="AlertTok"/>
    <w:basedOn w:val="1044"/>
    <w:pPr>
      <w:pBdr/>
      <w:spacing/>
      <w:ind/>
    </w:pPr>
    <w:rPr>
      <w:rFonts w:ascii="Consolas" w:hAnsi="Consolas"/>
      <w:b/>
      <w:color w:val="ff0000"/>
      <w:sz w:val="22"/>
    </w:rPr>
  </w:style>
  <w:style w:type="character" w:styleId="1079" w:customStyle="1">
    <w:name w:val="ErrorTok"/>
    <w:basedOn w:val="1044"/>
    <w:pPr>
      <w:pBdr/>
      <w:spacing/>
      <w:ind/>
    </w:pPr>
    <w:rPr>
      <w:rFonts w:ascii="Consolas" w:hAnsi="Consolas"/>
      <w:b/>
      <w:color w:val="ff0000"/>
      <w:sz w:val="22"/>
    </w:rPr>
  </w:style>
  <w:style w:type="character" w:styleId="1080" w:customStyle="1">
    <w:name w:val="NormalTok"/>
    <w:basedOn w:val="1044"/>
    <w:pPr>
      <w:pBdr/>
      <w:spacing/>
      <w:ind/>
    </w:pPr>
    <w:rPr>
      <w:rFonts w:ascii="Consolas" w:hAnsi="Consolas"/>
      <w:sz w:val="22"/>
    </w:rPr>
  </w:style>
  <w:style w:type="paragraph" w:styleId="1081">
    <w:name w:val="Header"/>
    <w:basedOn w:val="998"/>
    <w:link w:val="1082"/>
    <w:uiPriority w:val="99"/>
    <w:pPr>
      <w:pBdr/>
      <w:tabs>
        <w:tab w:val="center" w:leader="none" w:pos="4819"/>
        <w:tab w:val="right" w:leader="none" w:pos="9638"/>
      </w:tabs>
      <w:spacing w:after="0"/>
      <w:ind/>
    </w:pPr>
  </w:style>
  <w:style w:type="character" w:styleId="1082" w:customStyle="1">
    <w:name w:val="Intestazione Carattere"/>
    <w:basedOn w:val="1008"/>
    <w:link w:val="1081"/>
    <w:uiPriority w:val="99"/>
    <w:pPr>
      <w:pBdr/>
      <w:spacing/>
      <w:ind/>
    </w:pPr>
  </w:style>
  <w:style w:type="paragraph" w:styleId="1083">
    <w:name w:val="Footer"/>
    <w:basedOn w:val="998"/>
    <w:link w:val="1084"/>
    <w:uiPriority w:val="99"/>
    <w:pPr>
      <w:pBdr/>
      <w:tabs>
        <w:tab w:val="center" w:leader="none" w:pos="4819"/>
        <w:tab w:val="right" w:leader="none" w:pos="9638"/>
      </w:tabs>
      <w:spacing w:after="0"/>
      <w:ind/>
    </w:pPr>
  </w:style>
  <w:style w:type="character" w:styleId="1084" w:customStyle="1">
    <w:name w:val="Piè di pagina Carattere"/>
    <w:basedOn w:val="1008"/>
    <w:link w:val="1083"/>
    <w:uiPriority w:val="99"/>
    <w:pPr>
      <w:pBdr/>
      <w:spacing/>
      <w:ind/>
    </w:pPr>
  </w:style>
  <w:style w:type="table" w:styleId="1085">
    <w:name w:val="Table Grid"/>
    <w:basedOn w:val="1009"/>
    <w:pPr>
      <w:pBdr/>
      <w:spacing w:after="0"/>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86">
    <w:name w:val="toc 1"/>
    <w:basedOn w:val="998"/>
    <w:next w:val="998"/>
    <w:uiPriority w:val="39"/>
    <w:pPr>
      <w:pBdr/>
      <w:spacing w:after="100"/>
      <w:ind/>
    </w:pPr>
  </w:style>
  <w:style w:type="paragraph" w:styleId="1087">
    <w:name w:val="toc 2"/>
    <w:basedOn w:val="998"/>
    <w:next w:val="998"/>
    <w:uiPriority w:val="39"/>
    <w:pPr>
      <w:pBdr/>
      <w:spacing w:after="100"/>
      <w:ind w:left="240"/>
    </w:pPr>
  </w:style>
  <w:style w:type="paragraph" w:styleId="1088">
    <w:name w:val="toc 3"/>
    <w:basedOn w:val="998"/>
    <w:next w:val="998"/>
    <w:uiPriority w:val="39"/>
    <w:pPr>
      <w:pBdr/>
      <w:spacing w:after="100"/>
      <w:ind w:left="48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customXml" Target="../customXml/item4.xml" /><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hyperlink" Target="file://file-HL7xRNs4nnxAmUZAujdMJ7" TargetMode="External"/><Relationship Id="rId18" Type="http://schemas.openxmlformats.org/officeDocument/2006/relationships/hyperlink" Target="file://file-FgwsiBpANQXRGefTNXqY3H" TargetMode="External"/><Relationship Id="rId19" Type="http://schemas.openxmlformats.org/officeDocument/2006/relationships/hyperlink" Target="file://file-HL7xRNs4nnxAmUZAujdMJ7" TargetMode="External"/><Relationship Id="rId20" Type="http://schemas.openxmlformats.org/officeDocument/2006/relationships/hyperlink" Target="file://file-HL7xRNs4nnxAmUZAujdMJ7" TargetMode="External"/><Relationship Id="rId21" Type="http://schemas.openxmlformats.org/officeDocument/2006/relationships/comments" Target="comments.xml" /><Relationship Id="rId22" Type="http://schemas.microsoft.com/office/2011/relationships/commentsExtended" Target="commentsExtended.xml" /><Relationship Id="rId23" Type="http://schemas.microsoft.com/office/2018/08/relationships/commentsExtensible" Target="commentsExtensible.xml" /><Relationship Id="rId24" Type="http://schemas.microsoft.com/office/2016/09/relationships/commentsIds" Target="commentsIds.xml" /><Relationship Id="rId25" Type="http://schemas.microsoft.com/office/2011/relationships/people" Target="people.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98E3E6CA122F48A6AC6DC0BB2C6178" ma:contentTypeVersion="12" ma:contentTypeDescription="Creare un nuovo documento." ma:contentTypeScope="" ma:versionID="bae6d507803b5af31a0a31a0c4459486">
  <xsd:schema xmlns:xsd="http://www.w3.org/2001/XMLSchema" xmlns:xs="http://www.w3.org/2001/XMLSchema" xmlns:p="http://schemas.microsoft.com/office/2006/metadata/properties" xmlns:ns2="3860f171-e219-4812-b5cd-5eb7ddcbb62c" xmlns:ns3="e4e6b3fe-942f-4e29-b26a-28e2b4d909d3" targetNamespace="http://schemas.microsoft.com/office/2006/metadata/properties" ma:root="true" ma:fieldsID="24267803d67f61acfbb3b2acfe2a864e" ns2:_="" ns3:_="">
    <xsd:import namespace="3860f171-e219-4812-b5cd-5eb7ddcbb62c"/>
    <xsd:import namespace="e4e6b3fe-942f-4e29-b26a-28e2b4d909d3"/>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0f171-e219-4812-b5cd-5eb7ddcbb62c" elementFormDefault="qualified">
    <xsd:import namespace="http://schemas.microsoft.com/office/2006/documentManagement/types"/>
    <xsd:import namespace="http://schemas.microsoft.com/office/infopath/2007/PartnerControls"/>
    <xsd:element name="_Flow_SignoffStatus" ma:index="8" nillable="true" ma:displayName="Stato consenso" ma:internalName="_x0024_Resources_x003a_core_x002c_Signoff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082605e1-5387-4acf-bcc8-125b9dfb579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e6b3fe-942f-4e29-b26a-28e2b4d909d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70b79ae-0395-4cee-a6a9-151d2cd42442}" ma:internalName="TaxCatchAll" ma:showField="CatchAllData" ma:web="e4e6b3fe-942f-4e29-b26a-28e2b4d909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3860f171-e219-4812-b5cd-5eb7ddcbb62c" xsi:nil="true"/>
    <lcf76f155ced4ddcb4097134ff3c332f xmlns="3860f171-e219-4812-b5cd-5eb7ddcbb62c">
      <Terms xmlns="http://schemas.microsoft.com/office/infopath/2007/PartnerControls"/>
    </lcf76f155ced4ddcb4097134ff3c332f>
    <TaxCatchAll xmlns="e4e6b3fe-942f-4e29-b26a-28e2b4d909d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7420E-7C76-4B03-8A93-48699E4BE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60f171-e219-4812-b5cd-5eb7ddcbb62c"/>
    <ds:schemaRef ds:uri="e4e6b3fe-942f-4e29-b26a-28e2b4d909d3"/>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6843FB-F0EE-41A2-9606-252A79FB9FAC}">
  <ds:schemaRefs>
    <ds:schemaRef ds:uri="http://schemas.microsoft.com/sharepoint/v3/contenttype/forms"/>
  </ds:schemaRefs>
</ds:datastoreItem>
</file>

<file path=customXml/itemProps3.xml><?xml version="1.0" encoding="utf-8"?>
<ds:datastoreItem xmlns:ds="http://schemas.openxmlformats.org/officeDocument/2006/customXml" ds:itemID="{D6A56FA1-072C-41C1-BB99-0BD17C336E07}">
  <ds:schemaRefs>
    <ds:schemaRef ds:uri="http://schemas.microsoft.com/office/2006/metadata/properties"/>
    <ds:schemaRef ds:uri="http://www.w3.org/2001/XMLSchema-instance"/>
    <ds:schemaRef ds:uri="http://schemas.microsoft.com/office/infopath/2007/PartnerControls"/>
    <ds:schemaRef ds:uri="3860f171-e219-4812-b5cd-5eb7ddcbb62c"/>
    <ds:schemaRef ds:uri="e4e6b3fe-942f-4e29-b26a-28e2b4d909d3"/>
  </ds:schemaRefs>
</ds:datastoreItem>
</file>

<file path=customXml/itemProps4.xml><?xml version="1.0" encoding="utf-8"?>
<ds:datastoreItem xmlns:ds="http://schemas.openxmlformats.org/officeDocument/2006/customXml" ds:itemID="{9418D360-48AD-4F4B-A565-3DDF5E2C6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language>it</dc:language>
  <cp:lastModifiedBy>Roberta Micalizzi</cp:lastModifiedBy>
  <cp:revision>21</cp:revision>
  <dcterms:created xsi:type="dcterms:W3CDTF">2025-10-14T13:53:00Z</dcterms:created>
  <dcterms:modified xsi:type="dcterms:W3CDTF">2025-10-30T08:12:58Z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0x0101008798E3E6CA122F48A6AC6DC0BB2C6178</vt:lpwstr>
  </property>
  <property fmtid="{D5CDD505-2E9C-101B-9397-08002B2CF9AE}" pid="4" name="docLang">
    <vt:lpwstr>it</vt:lpwstr>
  </property>
  <property fmtid="{D5CDD505-2E9C-101B-9397-08002B2CF9AE}" pid="5" name="MediaServiceImageTags">
    <vt:lpwstr/>
  </property>
</Properties>
</file>