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numPr>
          <w:ilvl w:val="0"/>
          <w:numId w:val="5"/>
        </w:numPr>
        <w:pBdr/>
        <w:spacing w:line="360" w:lineRule="auto"/>
        <w:ind w:firstLine="0" w:left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Scopo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Scopo della presente procedura è </w:t>
      </w:r>
      <w:r>
        <w:rPr>
          <w:rFonts w:asciiTheme="minorHAnsi" w:hAnsiTheme="minorHAnsi" w:cstheme="minorHAnsi"/>
          <w:sz w:val="22"/>
          <w:szCs w:val="22"/>
        </w:rPr>
        <w:t xml:space="preserve">quello di definire le attività che possono portare a tutti i livelli aziendali la diffusione ed il miglioramento </w:t>
      </w:r>
      <w:r>
        <w:rPr>
          <w:rFonts w:asciiTheme="minorHAnsi" w:hAnsiTheme="minorHAnsi" w:cstheme="minorHAnsi"/>
          <w:sz w:val="22"/>
          <w:szCs w:val="22"/>
        </w:rPr>
        <w:t xml:space="preserve">della cultura della </w:t>
      </w:r>
      <w:r>
        <w:rPr>
          <w:rFonts w:asciiTheme="minorHAnsi" w:hAnsiTheme="minorHAnsi" w:cstheme="minorHAnsi"/>
          <w:sz w:val="22"/>
          <w:szCs w:val="22"/>
        </w:rPr>
        <w:t xml:space="preserve">sicurezza alimentare.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5"/>
        </w:numPr>
        <w:pBdr/>
        <w:spacing w:line="360" w:lineRule="auto"/>
        <w:ind w:firstLine="0" w:left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Generalità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Agrumi</w:t>
      </w:r>
      <w:r>
        <w:rPr>
          <w:rFonts w:asciiTheme="minorHAnsi" w:hAnsiTheme="minorHAnsi" w:cstheme="minorHAnsi"/>
          <w:sz w:val="22"/>
          <w:szCs w:val="22"/>
        </w:rPr>
        <w:t xml:space="preserve">-G</w:t>
      </w:r>
      <w:r>
        <w:rPr>
          <w:rFonts w:asciiTheme="minorHAnsi" w:hAnsiTheme="minorHAnsi" w:cstheme="minorHAnsi"/>
          <w:sz w:val="22"/>
          <w:szCs w:val="22"/>
        </w:rPr>
        <w:t xml:space="preserve">el </w:t>
      </w:r>
      <w:r>
        <w:rPr>
          <w:rFonts w:asciiTheme="minorHAnsi" w:hAnsiTheme="minorHAnsi" w:cstheme="minorHAnsi"/>
          <w:sz w:val="22"/>
          <w:szCs w:val="22"/>
        </w:rPr>
        <w:t xml:space="preserve">definisce</w:t>
      </w:r>
      <w:r>
        <w:rPr>
          <w:rFonts w:asciiTheme="minorHAnsi" w:hAnsiTheme="minorHAnsi" w:cstheme="minorHAnsi"/>
          <w:sz w:val="22"/>
          <w:szCs w:val="22"/>
        </w:rPr>
        <w:t xml:space="preserve">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4"/>
        </w:num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PUNTO DI FORZA: L’idoneità della struttura aziendale e relative strutture di recente acqui</w:t>
      </w:r>
      <w:r>
        <w:rPr>
          <w:rFonts w:asciiTheme="minorHAnsi" w:hAnsiTheme="minorHAnsi" w:cstheme="minorHAnsi"/>
          <w:sz w:val="22"/>
          <w:szCs w:val="22"/>
        </w:rPr>
        <w:t xml:space="preserve">sizione e innovative nel mercato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4"/>
        </w:num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PUNTO DI BEBOLEZZA: Necessità di acquisire personale stagionale che necessità di formazione continua.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4"/>
        </w:num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TRAGUARDO: Formazione </w:t>
      </w:r>
      <w:r>
        <w:rPr>
          <w:rFonts w:asciiTheme="minorHAnsi" w:hAnsiTheme="minorHAnsi" w:cstheme="minorHAnsi"/>
          <w:sz w:val="22"/>
          <w:szCs w:val="22"/>
        </w:rPr>
        <w:t xml:space="preserve">pre</w:t>
      </w:r>
      <w:r>
        <w:rPr>
          <w:rFonts w:asciiTheme="minorHAnsi" w:hAnsiTheme="minorHAnsi" w:cstheme="minorHAnsi"/>
          <w:sz w:val="22"/>
          <w:szCs w:val="22"/>
        </w:rPr>
        <w:t xml:space="preserve">-assunzione per il personale stagionale e formazione </w:t>
      </w:r>
      <w:r>
        <w:rPr>
          <w:rFonts w:asciiTheme="minorHAnsi" w:hAnsiTheme="minorHAnsi" w:cstheme="minorHAnsi"/>
          <w:sz w:val="22"/>
          <w:szCs w:val="22"/>
        </w:rPr>
        <w:t xml:space="preserve">periodale </w:t>
      </w:r>
      <w:r>
        <w:rPr>
          <w:rFonts w:asciiTheme="minorHAnsi" w:hAnsiTheme="minorHAnsi" w:cstheme="minorHAnsi"/>
          <w:sz w:val="22"/>
          <w:szCs w:val="22"/>
        </w:rPr>
        <w:t xml:space="preserve">specifica per corretta pulizia dei locali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igiene della persona</w:t>
      </w:r>
      <w:r>
        <w:rPr>
          <w:rFonts w:asciiTheme="minorHAnsi" w:hAnsiTheme="minorHAnsi" w:cstheme="minorHAnsi"/>
          <w:sz w:val="22"/>
          <w:szCs w:val="22"/>
        </w:rPr>
        <w:t xml:space="preserve">, operazioni di controllo dei processi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Prevede un riesame annuale con specifica valutazione dell’efficacia della formazione del personale.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5"/>
        </w:numPr>
        <w:pBdr/>
        <w:spacing w:line="360" w:lineRule="auto"/>
        <w:ind w:firstLine="0" w:left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Flusso Operativo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 Responsabile per l’Autocontrollo</w:t>
      </w:r>
      <w:r>
        <w:rPr>
          <w:rFonts w:asciiTheme="minorHAnsi" w:hAnsiTheme="minorHAnsi" w:cstheme="minorHAnsi"/>
          <w:sz w:val="22"/>
          <w:szCs w:val="22"/>
        </w:rPr>
        <w:t xml:space="preserve"> (HACCP)</w:t>
      </w:r>
      <w:r>
        <w:rPr>
          <w:rFonts w:asciiTheme="minorHAnsi" w:hAnsiTheme="minorHAnsi" w:cstheme="minorHAnsi"/>
          <w:sz w:val="22"/>
          <w:szCs w:val="22"/>
        </w:rPr>
        <w:t xml:space="preserve"> verifica </w:t>
      </w:r>
      <w:r>
        <w:rPr>
          <w:rFonts w:asciiTheme="minorHAnsi" w:hAnsiTheme="minorHAnsi" w:cstheme="minorHAnsi"/>
          <w:sz w:val="22"/>
          <w:szCs w:val="22"/>
        </w:rPr>
        <w:t xml:space="preserve">mensilmente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a livello visivo e sensoriale l’igiene dei locali, l’igiene dei servizi e</w:t>
      </w:r>
      <w:r>
        <w:rPr>
          <w:rFonts w:asciiTheme="minorHAnsi" w:hAnsiTheme="minorHAnsi" w:cstheme="minorHAnsi"/>
          <w:sz w:val="22"/>
          <w:szCs w:val="22"/>
        </w:rPr>
        <w:t xml:space="preserve">, settimanalmente,</w:t>
      </w:r>
      <w:r>
        <w:rPr>
          <w:rFonts w:asciiTheme="minorHAnsi" w:hAnsiTheme="minorHAnsi" w:cstheme="minorHAnsi"/>
          <w:sz w:val="22"/>
          <w:szCs w:val="22"/>
        </w:rPr>
        <w:t xml:space="preserve"> la cassetta adibita alle comunicazioni anonime sita nella sala mensa e interviene sulle situazioni anomale. Tale verifica viene effettuata sulla base di un’apposita check-list M 10.13</w:t>
      </w:r>
      <w:r>
        <w:rPr>
          <w:rFonts w:asciiTheme="minorHAnsi" w:hAnsiTheme="minorHAnsi" w:cstheme="minorHAnsi"/>
          <w:sz w:val="22"/>
          <w:szCs w:val="22"/>
        </w:rPr>
        <w:t xml:space="preserve"> A-O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 </w:t>
      </w:r>
      <w:r>
        <w:rPr>
          <w:rFonts w:asciiTheme="minorHAnsi" w:hAnsiTheme="minorHAnsi" w:cstheme="minorHAnsi"/>
          <w:sz w:val="22"/>
          <w:szCs w:val="22"/>
        </w:rPr>
        <w:t xml:space="preserve">L</w:t>
      </w:r>
      <w:r>
        <w:rPr>
          <w:rFonts w:asciiTheme="minorHAnsi" w:hAnsiTheme="minorHAnsi" w:cstheme="minorHAnsi"/>
          <w:sz w:val="22"/>
          <w:szCs w:val="22"/>
        </w:rPr>
        <w:t xml:space="preserve">aboratorio effettua</w:t>
      </w:r>
      <w:r>
        <w:rPr>
          <w:rFonts w:asciiTheme="minorHAnsi" w:hAnsiTheme="minorHAnsi" w:cstheme="minorHAnsi"/>
          <w:sz w:val="22"/>
          <w:szCs w:val="22"/>
        </w:rPr>
        <w:t xml:space="preserve"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durante ogni giornata di produzione, </w:t>
      </w:r>
      <w:r>
        <w:rPr>
          <w:rFonts w:asciiTheme="minorHAnsi" w:hAnsiTheme="minorHAnsi" w:cstheme="minorHAnsi"/>
          <w:sz w:val="22"/>
          <w:szCs w:val="22"/>
        </w:rPr>
        <w:t xml:space="preserve">un controllo sulle superfici degli impianti e sulle mani degli operatori e sulle divise, secondo il piano di controllo D 10.09 e registr</w:t>
      </w:r>
      <w:r>
        <w:rPr>
          <w:rFonts w:asciiTheme="minorHAnsi" w:hAnsiTheme="minorHAnsi" w:cstheme="minorHAnsi"/>
          <w:sz w:val="22"/>
          <w:szCs w:val="22"/>
        </w:rPr>
        <w:t xml:space="preserve">a</w:t>
      </w:r>
      <w:r>
        <w:rPr>
          <w:rFonts w:asciiTheme="minorHAnsi" w:hAnsiTheme="minorHAnsi" w:cstheme="minorHAnsi"/>
          <w:sz w:val="22"/>
          <w:szCs w:val="22"/>
        </w:rPr>
        <w:t xml:space="preserve"> in M 10.02.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5"/>
        </w:numPr>
        <w:pBdr/>
        <w:spacing w:line="360" w:lineRule="auto"/>
        <w:ind w:firstLine="0" w:left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Obiettivo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Gli </w:t>
      </w:r>
      <w:r>
        <w:rPr>
          <w:rFonts w:asciiTheme="minorHAnsi" w:hAnsiTheme="minorHAnsi" w:cstheme="minorHAnsi"/>
          <w:sz w:val="22"/>
          <w:szCs w:val="22"/>
        </w:rPr>
        <w:t xml:space="preserve">obiettiv</w:t>
      </w: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 di Agrumi</w:t>
      </w:r>
      <w:r>
        <w:rPr>
          <w:rFonts w:asciiTheme="minorHAnsi" w:hAnsiTheme="minorHAnsi" w:cstheme="minorHAnsi"/>
          <w:sz w:val="22"/>
          <w:szCs w:val="22"/>
        </w:rPr>
        <w:t xml:space="preserve">-G</w:t>
      </w:r>
      <w:r>
        <w:rPr>
          <w:rFonts w:asciiTheme="minorHAnsi" w:hAnsiTheme="minorHAnsi" w:cstheme="minorHAnsi"/>
          <w:sz w:val="22"/>
          <w:szCs w:val="22"/>
        </w:rPr>
        <w:t xml:space="preserve">el </w:t>
      </w:r>
      <w:r>
        <w:rPr>
          <w:rFonts w:asciiTheme="minorHAnsi" w:hAnsiTheme="minorHAnsi" w:cstheme="minorHAnsi"/>
          <w:sz w:val="22"/>
          <w:szCs w:val="22"/>
        </w:rPr>
        <w:t xml:space="preserve">sono: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</w:t>
      </w:r>
      <w:r>
        <w:rPr>
          <w:rFonts w:asciiTheme="minorHAnsi" w:hAnsiTheme="minorHAnsi" w:cstheme="minorHAnsi"/>
          <w:sz w:val="22"/>
          <w:szCs w:val="22"/>
        </w:rPr>
        <w:t xml:space="preserve">on avere </w:t>
      </w:r>
      <w:r>
        <w:rPr>
          <w:rFonts w:asciiTheme="minorHAnsi" w:hAnsiTheme="minorHAnsi" w:cstheme="minorHAnsi"/>
          <w:sz w:val="22"/>
          <w:szCs w:val="22"/>
        </w:rPr>
        <w:t xml:space="preserve">o ridurre al minimo le </w:t>
      </w:r>
      <w:r>
        <w:rPr>
          <w:rFonts w:asciiTheme="minorHAnsi" w:hAnsiTheme="minorHAnsi" w:cstheme="minorHAnsi"/>
          <w:sz w:val="22"/>
          <w:szCs w:val="22"/>
        </w:rPr>
        <w:t xml:space="preserve">Non Conformità</w:t>
      </w:r>
      <w:r>
        <w:rPr>
          <w:rFonts w:asciiTheme="minorHAnsi" w:hAnsiTheme="minorHAnsi" w:cstheme="minorHAnsi"/>
          <w:sz w:val="22"/>
          <w:szCs w:val="22"/>
        </w:rPr>
        <w:t xml:space="preserve">; </w:t>
      </w:r>
      <w:r>
        <w:rPr>
          <w:rFonts w:asciiTheme="minorHAnsi" w:hAnsiTheme="minorHAnsi" w:cstheme="minorHAnsi"/>
          <w:sz w:val="22"/>
          <w:szCs w:val="22"/>
        </w:rPr>
        <w:t xml:space="preserve">questo si calcola facendo il seguente rapporto: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N° Non Conformità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/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N° verifiche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Altro obiettivo è accrescere lo stato della cultura della sicurezza alimentare del personale, al fine di ottenere tutti i traguardi previsti. Per raggiungere tale obiettivo vengono definite la attività da svolgere</w:t>
      </w:r>
      <w:r>
        <w:rPr>
          <w:rFonts w:asciiTheme="minorHAnsi" w:hAnsiTheme="minorHAnsi" w:cstheme="minorHAnsi"/>
          <w:sz w:val="22"/>
          <w:szCs w:val="22"/>
        </w:rPr>
        <w:t xml:space="preserve"> nello stabilimento che hanno impatto sulla sicurezza alimentare, viene attivato un piano di azione per la promozione e diffusione della cultura della sicurezza alimentare, stabilita la tempistica per l’attuazione e le modalità di verifica dell’efficacia.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Tali attività sono esplicitate nella tabella seguente: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/>
      </w:pPr>
      <w:r>
        <w:rPr>
          <w:rFonts w:asciiTheme="minorHAnsi" w:hAnsiTheme="minorHAnsi" w:cstheme="minorHAnsi"/>
          <w:sz w:val="22"/>
          <w:szCs w:val="22"/>
        </w:rPr>
        <w:br w:type="page" w:clear="all"/>
      </w:r>
      <w:r/>
    </w:p>
    <w:p>
      <w:pPr>
        <w:pBdr/>
        <w:spacing/>
        <w:ind/>
        <w:rPr/>
      </w:pPr>
      <w:r/>
      <w:r/>
    </w:p>
    <w:tbl>
      <w:tblPr>
        <w:tblW w:w="5157" w:type="pct"/>
        <w:tblBorders/>
        <w:tblLook w:val="04A0" w:firstRow="1" w:lastRow="0" w:firstColumn="1" w:lastColumn="0" w:noHBand="0" w:noVBand="1"/>
        <w:tblStyle w:val="819"/>
      </w:tblPr>
      <w:tblGrid>
        <w:gridCol w:w="2317"/>
        <w:gridCol w:w="3052"/>
        <w:gridCol w:w="2077"/>
        <w:gridCol w:w="2484"/>
      </w:tblGrid>
      <w:tr>
        <w:trPr/>
        <w:tc>
          <w:tcPr>
            <w:shd w:val="clear" w:color="auto" w:fill="f2dbdb"/>
            <w:tcBorders/>
            <w:tcW w:w="1166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 xml:space="preserve">Attività definite in tutte le sezioni dello stabilimento che abbiano un impatto sulla sicurezza dei prodotti</w:t>
            </w:r>
            <w:r>
              <w:rPr>
                <w:b/>
                <w:bCs/>
                <w:smallCaps/>
              </w:rPr>
            </w:r>
          </w:p>
        </w:tc>
        <w:tc>
          <w:tcPr>
            <w:shd w:val="clear" w:color="auto" w:fill="f2dbdb"/>
            <w:tcBorders/>
            <w:tcW w:w="1537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 xml:space="preserve">Un piano d’azione </w:t>
            </w:r>
            <w:r>
              <w:rPr>
                <w:b/>
                <w:bCs/>
                <w:smallCaps/>
              </w:rPr>
              <w:t xml:space="preserve">di </w:t>
            </w:r>
            <w:r>
              <w:rPr>
                <w:b/>
                <w:bCs/>
                <w:smallCaps/>
                <w:u w:val="single"/>
              </w:rPr>
              <w:t xml:space="preserve">promozione e diffusione</w:t>
            </w:r>
            <w:r>
              <w:rPr>
                <w:b/>
                <w:bCs/>
                <w:smallCaps/>
              </w:rPr>
              <w:t xml:space="preserve"> della cultura della sicurezza alimentare </w:t>
            </w:r>
            <w:r>
              <w:rPr>
                <w:b/>
                <w:bCs/>
                <w:smallCaps/>
              </w:rPr>
              <w:t xml:space="preserve">che illustri come tali attività saranno svolte e controllate</w:t>
            </w:r>
            <w:r>
              <w:rPr>
                <w:b/>
                <w:bCs/>
                <w:smallCaps/>
              </w:rPr>
            </w:r>
          </w:p>
        </w:tc>
        <w:tc>
          <w:tcPr>
            <w:shd w:val="clear" w:color="auto" w:fill="f2dbdb"/>
            <w:tcBorders/>
            <w:tcW w:w="1046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 xml:space="preserve">tempistiche previste per la loro attuazione</w:t>
            </w:r>
            <w:r>
              <w:rPr>
                <w:b/>
                <w:bCs/>
                <w:smallCaps/>
              </w:rPr>
            </w:r>
          </w:p>
        </w:tc>
        <w:tc>
          <w:tcPr>
            <w:shd w:val="clear" w:color="auto" w:fill="f2dbdb"/>
            <w:tcBorders/>
            <w:tcW w:w="1251" w:type="pc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 xml:space="preserve">La revisione dell’efficacia delle attività svolte</w:t>
            </w:r>
            <w:r>
              <w:rPr>
                <w:b/>
                <w:bCs/>
                <w:smallCaps/>
              </w:rPr>
            </w:r>
          </w:p>
        </w:tc>
      </w:tr>
      <w:tr>
        <w:trPr/>
        <w:tc>
          <w:tcPr>
            <w:tcBorders/>
            <w:tcW w:w="1166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  <w:szCs w:val="20"/>
                <w:u w:val="single"/>
              </w:rPr>
              <w:t xml:space="preserve">CONOSCENZA</w:t>
            </w:r>
            <w:r>
              <w:t xml:space="preserve"> della cultura della qualità e della sicurezza alimentare mediante formazione agli addetti su legalità, sicurezza e integrità aziendale.</w:t>
            </w:r>
            <w:r/>
          </w:p>
        </w:tc>
        <w:tc>
          <w:tcPr>
            <w:tcBorders/>
            <w:tcW w:w="153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Saranno verificate da RSA con la valutazione dell’efficacia dell’addestramento, riportando i risultati negli incontri mensili con la direzione.</w:t>
            </w:r>
            <w:r/>
          </w:p>
          <w:p>
            <w:pPr>
              <w:pBdr/>
              <w:spacing/>
              <w:ind/>
              <w:rPr/>
            </w:pPr>
            <w:r>
              <w:t xml:space="preserve">Verranno anche sottoposti dei test per valutare il grado di conoscenza del piano della sicurezza alimentare e per aumentare il coinvolgimento del personale.</w:t>
            </w:r>
            <w:r/>
          </w:p>
        </w:tc>
        <w:tc>
          <w:tcPr>
            <w:tcBorders/>
            <w:tcW w:w="1046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Come da piano annuale di formazione.</w:t>
            </w:r>
            <w:r/>
          </w:p>
          <w:p>
            <w:pPr>
              <w:pBdr/>
              <w:spacing/>
              <w:ind/>
              <w:rPr/>
            </w:pPr>
            <w:r>
              <w:t xml:space="preserve">Verifica con frequenza </w:t>
            </w:r>
            <w:r>
              <w:rPr>
                <w:u w:val="single"/>
              </w:rPr>
              <w:t xml:space="preserve">trimestrale</w:t>
            </w:r>
            <w:r>
              <w:t xml:space="preserve"> se rientrano formazioni programmate nell’arco del trimestre.</w:t>
            </w:r>
            <w:r/>
          </w:p>
          <w:p>
            <w:pPr>
              <w:pBdr/>
              <w:spacing/>
              <w:ind/>
              <w:rPr/>
            </w:pPr>
            <w:r>
              <w:t xml:space="preserve">Test sulla cultura della sicurezza alimentare con cadenza </w:t>
            </w:r>
            <w:r>
              <w:rPr>
                <w:u w:val="single"/>
              </w:rPr>
              <w:t xml:space="preserve">annuale</w:t>
            </w:r>
            <w:r>
              <w:t xml:space="preserve">.</w:t>
            </w:r>
            <w:r/>
          </w:p>
        </w:tc>
        <w:tc>
          <w:tcPr>
            <w:tcBorders/>
            <w:tcW w:w="1251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La valutazione dell’efficacia verrà indicata sul modulo stesso di formazione in seguito ad interviste o questionari. Per i test sulla Food Safety Culture si valuterà il punteggio complessivo </w:t>
            </w:r>
            <w:r/>
          </w:p>
          <w:p>
            <w:pPr>
              <w:pBdr/>
              <w:spacing/>
              <w:ind/>
              <w:rPr/>
            </w:pPr>
            <w:r>
              <w:t xml:space="preserve">Infine, verrà rivisto tutto il quadro generale nel riesame annuale della direzione.</w:t>
            </w:r>
            <w:r/>
          </w:p>
        </w:tc>
      </w:tr>
      <w:tr>
        <w:trPr/>
        <w:tc>
          <w:tcPr>
            <w:tcBorders/>
            <w:tcW w:w="1166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  <w:szCs w:val="20"/>
                <w:u w:val="single"/>
              </w:rPr>
              <w:t xml:space="preserve">APPLICAZIONE</w:t>
            </w:r>
            <w:r>
              <w:t xml:space="preserve"> del piano di qualità e di sicurezza alimentare, per l’accrescimento della cultura della qualità e della sicurezza alimentare.</w:t>
            </w:r>
            <w:r/>
          </w:p>
        </w:tc>
        <w:tc>
          <w:tcPr>
            <w:tcBorders/>
            <w:tcW w:w="153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Saranno verificate dal consulente per </w:t>
            </w:r>
            <w:r>
              <w:t xml:space="preserve">la sicurezza alimentare coadiuvato da RSA nell’espletazione delle attività, in occasione degli audit interni, che saranno volti a verificare, tra le altre cose, anche la corretta applicazione operativa di quanto esposto nel manuale e nei documenti allegati</w:t>
            </w:r>
            <w:r/>
          </w:p>
        </w:tc>
        <w:tc>
          <w:tcPr>
            <w:tcBorders/>
            <w:tcW w:w="1046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Come da piano </w:t>
            </w:r>
            <w:r>
              <w:rPr>
                <w:u w:val="single"/>
              </w:rPr>
              <w:t xml:space="preserve">annuale</w:t>
            </w:r>
            <w:r>
              <w:t xml:space="preserve"> degli audit interni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Verifica con frequenza </w:t>
            </w:r>
            <w:r>
              <w:rPr>
                <w:u w:val="single"/>
              </w:rPr>
              <w:t xml:space="preserve">trimestrale</w:t>
            </w:r>
            <w:r>
              <w:t xml:space="preserve"> se rientrano audit programmati nell’arco del trimestre.</w:t>
            </w:r>
            <w:r/>
          </w:p>
        </w:tc>
        <w:tc>
          <w:tcPr>
            <w:tcBorders/>
            <w:tcW w:w="1251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Gli audit interni ed i risultati ottenuti verranno revisionati e valutati in occasione del riesame annuale della direzione.</w:t>
            </w:r>
            <w:r/>
          </w:p>
        </w:tc>
      </w:tr>
      <w:tr>
        <w:trPr/>
        <w:tc>
          <w:tcPr>
            <w:tcBorders/>
            <w:tcW w:w="1166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  <w:szCs w:val="20"/>
                <w:u w:val="single"/>
              </w:rPr>
              <w:t xml:space="preserve">SEGNALAZIONE</w:t>
            </w:r>
            <w:r>
              <w:t xml:space="preserve"> di tutto ciò che possa influire negativamente sulla qualità e sulla sicurezza alimentare.</w:t>
            </w:r>
            <w:r/>
          </w:p>
        </w:tc>
        <w:tc>
          <w:tcPr>
            <w:tcBorders/>
            <w:tcW w:w="1537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Segnalazioni dirette e segnalazioni anonime da parte degli addetti utilizzando una cassetta chiusa posta in luogo appartato. </w:t>
            </w:r>
            <w:r/>
          </w:p>
          <w:p>
            <w:pPr>
              <w:pBdr/>
              <w:spacing/>
              <w:ind/>
              <w:rPr/>
            </w:pPr>
            <w:r>
              <w:t xml:space="preserve">RSA, ne darà conoscenza alla direzione mediante gl</w:t>
            </w:r>
            <w:r>
              <w:t xml:space="preserve">i “Incontri Periodici con la Direzione”. Nel caso in cui il messaggio anonimo indichi attività che possano pregiudicare sicurezza, legalità e qualità si riunirà il Team HACCP/Crisi per decidere immediati ed opportune azioni da intraprendere in tempi brevi.</w:t>
            </w:r>
            <w:r/>
          </w:p>
        </w:tc>
        <w:tc>
          <w:tcPr>
            <w:tcBorders/>
            <w:tcW w:w="1046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La direzione, delegando l’RSA, prenderà visione </w:t>
            </w:r>
            <w:r>
              <w:rPr>
                <w:u w:val="single"/>
              </w:rPr>
              <w:t xml:space="preserve">mensilmente</w:t>
            </w:r>
            <w:r>
              <w:t xml:space="preserve"> delle segnalazioni ricevute, eliminando quelle non pertinenti agli scopi previsti.</w:t>
            </w:r>
            <w:r/>
          </w:p>
        </w:tc>
        <w:tc>
          <w:tcPr>
            <w:tcBorders/>
            <w:tcW w:w="1251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 segnalazioni, note e anonime pertinenti, a qualunque titolo, entrano a far parte del riesame annuale della direzione.</w:t>
            </w:r>
            <w:r/>
          </w:p>
        </w:tc>
      </w:tr>
    </w:tbl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numPr>
          <w:ilvl w:val="0"/>
          <w:numId w:val="5"/>
        </w:numPr>
        <w:pBdr/>
        <w:spacing w:line="360" w:lineRule="auto"/>
        <w:ind w:firstLine="0" w:left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 w:type="page" w:clear="all"/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Archiviazione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Le check-list M 10.</w:t>
      </w:r>
      <w:r>
        <w:rPr>
          <w:rFonts w:asciiTheme="minorHAnsi" w:hAnsiTheme="minorHAnsi" w:cstheme="minorHAnsi"/>
          <w:i/>
          <w:sz w:val="22"/>
          <w:szCs w:val="22"/>
        </w:rPr>
        <w:t xml:space="preserve">13 “Verifiche mensili” e M 10.02</w:t>
      </w:r>
      <w:r>
        <w:rPr>
          <w:rFonts w:asciiTheme="minorHAnsi" w:hAnsiTheme="minorHAnsi" w:cstheme="minorHAnsi"/>
          <w:i/>
          <w:sz w:val="22"/>
          <w:szCs w:val="22"/>
        </w:rPr>
        <w:t xml:space="preserve">° </w:t>
      </w:r>
      <w:r>
        <w:rPr>
          <w:rFonts w:asciiTheme="minorHAnsi" w:hAnsiTheme="minorHAnsi" w:cstheme="minorHAnsi"/>
          <w:i/>
          <w:sz w:val="22"/>
          <w:szCs w:val="22"/>
        </w:rPr>
        <w:t xml:space="preserve">“</w:t>
      </w:r>
      <w:r>
        <w:rPr>
          <w:rFonts w:asciiTheme="minorHAnsi" w:hAnsiTheme="minorHAnsi" w:cstheme="minorHAnsi"/>
          <w:i/>
          <w:sz w:val="22"/>
          <w:szCs w:val="22"/>
        </w:rPr>
        <w:t xml:space="preserve">Controllo superfici impianti reparto trasformazione”, M 10.02b “Controllo superfici impianti reparto prodotti finiti” e M 10.02 c/D “Controllo tamponi mani e divise operatori”</w:t>
      </w:r>
      <w:r>
        <w:rPr>
          <w:rFonts w:asciiTheme="minorHAnsi" w:hAnsiTheme="minorHAnsi" w:cstheme="minorHAnsi"/>
          <w:i/>
          <w:sz w:val="22"/>
          <w:szCs w:val="22"/>
        </w:rPr>
        <w:t xml:space="preserve">, i riesami della direzione, l’elaborazione degli indici, </w:t>
      </w:r>
      <w:r>
        <w:rPr>
          <w:rFonts w:asciiTheme="minorHAnsi" w:hAnsiTheme="minorHAnsi" w:cstheme="minorHAnsi"/>
          <w:sz w:val="22"/>
          <w:szCs w:val="22"/>
        </w:rPr>
        <w:t xml:space="preserve">sono conservati</w:t>
      </w:r>
      <w:r>
        <w:rPr>
          <w:rFonts w:asciiTheme="minorHAnsi" w:hAnsiTheme="minorHAnsi" w:cstheme="minorHAnsi"/>
          <w:sz w:val="22"/>
          <w:szCs w:val="22"/>
        </w:rPr>
        <w:t xml:space="preserve"> presso</w:t>
      </w:r>
      <w:r>
        <w:rPr>
          <w:rFonts w:asciiTheme="minorHAnsi" w:hAnsiTheme="minorHAnsi" w:cstheme="minorHAnsi"/>
          <w:sz w:val="22"/>
          <w:szCs w:val="22"/>
        </w:rPr>
        <w:t xml:space="preserve"> l’ufficio amministrativo per almeno 4 anni.</w:t>
      </w:r>
      <w:r>
        <w:rPr>
          <w:rFonts w:asciiTheme="minorHAnsi" w:hAnsiTheme="minorHAnsi" w:cstheme="minorHAnsi"/>
          <w:sz w:val="22"/>
          <w:szCs w:val="22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134" w:bottom="426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ook w:val="04A0" w:firstRow="1" w:lastRow="0" w:firstColumn="1" w:lastColumn="0" w:noHBand="0" w:noVBand="1"/>
      <w:tblStyle w:val="819"/>
    </w:tblPr>
    <w:tblGrid>
      <w:gridCol w:w="2427"/>
      <w:gridCol w:w="4250"/>
      <w:gridCol w:w="2961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259" w:type="pct"/>
          <w:vAlign w:val="center"/>
          <w:textDirection w:val="lrTb"/>
          <w:noWrap w:val="false"/>
        </w:tcPr>
        <w:p>
          <w:pPr>
            <w:pStyle w:val="816"/>
            <w:pBdr/>
            <w:spacing/>
            <w:ind/>
            <w:rPr/>
          </w:pPr>
          <w:r/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67763480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205" w:type="pct"/>
          <w:vAlign w:val="center"/>
          <w:textDirection w:val="lrTb"/>
          <w:noWrap w:val="false"/>
        </w:tcPr>
        <w:p>
          <w:pPr>
            <w:pStyle w:val="816"/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  <w:sz w:val="24"/>
              <w:szCs w:val="24"/>
            </w:rPr>
            <w:t xml:space="preserve">PIANO DI SICUREZZA E QUALITÀ ALIMENTARE</w:t>
          </w:r>
          <w:r>
            <w:rPr>
              <w:b/>
              <w:bCs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536" w:type="pct"/>
          <w:vAlign w:val="center"/>
          <w:textDirection w:val="lrTb"/>
          <w:noWrap w:val="false"/>
        </w:tcPr>
        <w:p>
          <w:pPr>
            <w:pStyle w:val="816"/>
            <w:pBdr/>
            <w:spacing/>
            <w:ind/>
            <w:rPr/>
          </w:pPr>
          <w:r>
            <w:t xml:space="preserve">P</w:t>
          </w:r>
          <w:r>
            <w:t xml:space="preserve"> 01.03</w:t>
          </w:r>
          <w:r>
            <w:t xml:space="preserve"> </w:t>
          </w:r>
          <w:r/>
          <w:r/>
        </w:p>
        <w:p>
          <w:pPr>
            <w:pStyle w:val="816"/>
            <w:pBdr/>
            <w:spacing/>
            <w:ind/>
            <w:rPr/>
          </w:pPr>
          <w:r>
            <w:t xml:space="preserve">REV. 04</w:t>
          </w:r>
          <w:r>
            <w:t xml:space="preserve"> del 1</w:t>
          </w:r>
          <w:r>
            <w:t xml:space="preserve">6</w:t>
          </w:r>
          <w:r>
            <w:t xml:space="preserve">-0</w:t>
          </w:r>
          <w:r>
            <w:t xml:space="preserve">9</w:t>
          </w:r>
          <w:r>
            <w:t xml:space="preserve">-2025</w:t>
          </w:r>
          <w:r/>
          <w:r/>
        </w:p>
        <w:p>
          <w:pPr>
            <w:pStyle w:val="816"/>
            <w:pBdr/>
            <w:spacing/>
            <w:ind/>
            <w:rPr/>
          </w:pPr>
          <w:r>
            <w:t xml:space="preserve">Pag. </w:t>
          </w: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/>
          <w:r/>
        </w:p>
      </w:tc>
    </w:tr>
  </w:tbl>
  <w:p>
    <w:pPr>
      <w:pStyle w:val="81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5"/>
    <w:basedOn w:val="806"/>
    <w:next w:val="80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5">
    <w:name w:val="Heading 8"/>
    <w:basedOn w:val="806"/>
    <w:next w:val="80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06"/>
    <w:next w:val="80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13"/>
    <w:link w:val="8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13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13"/>
    <w:link w:val="8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13"/>
    <w:link w:val="8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1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13"/>
    <w:link w:val="8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13"/>
    <w:link w:val="8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1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1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06"/>
    <w:next w:val="80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1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06"/>
    <w:next w:val="80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1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06"/>
    <w:next w:val="80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1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0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06"/>
    <w:next w:val="80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1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06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1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1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13"/>
    <w:link w:val="816"/>
    <w:uiPriority w:val="99"/>
    <w:pPr>
      <w:pBdr/>
      <w:spacing/>
      <w:ind/>
    </w:pPr>
  </w:style>
  <w:style w:type="character" w:styleId="178">
    <w:name w:val="Footer Char"/>
    <w:basedOn w:val="813"/>
    <w:link w:val="817"/>
    <w:uiPriority w:val="99"/>
    <w:pPr>
      <w:pBdr/>
      <w:spacing/>
      <w:ind/>
    </w:pPr>
  </w:style>
  <w:style w:type="paragraph" w:styleId="179">
    <w:name w:val="Caption"/>
    <w:basedOn w:val="806"/>
    <w:next w:val="8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0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1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0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1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06"/>
    <w:next w:val="806"/>
    <w:uiPriority w:val="39"/>
    <w:unhideWhenUsed/>
    <w:pPr>
      <w:pBdr/>
      <w:spacing w:after="100"/>
      <w:ind/>
    </w:pPr>
  </w:style>
  <w:style w:type="paragraph" w:styleId="189">
    <w:name w:val="toc 2"/>
    <w:basedOn w:val="806"/>
    <w:next w:val="806"/>
    <w:uiPriority w:val="39"/>
    <w:unhideWhenUsed/>
    <w:pPr>
      <w:pBdr/>
      <w:spacing w:after="100"/>
      <w:ind w:left="220"/>
    </w:pPr>
  </w:style>
  <w:style w:type="paragraph" w:styleId="190">
    <w:name w:val="toc 3"/>
    <w:basedOn w:val="806"/>
    <w:next w:val="806"/>
    <w:uiPriority w:val="39"/>
    <w:unhideWhenUsed/>
    <w:pPr>
      <w:pBdr/>
      <w:spacing w:after="100"/>
      <w:ind w:left="440"/>
    </w:pPr>
  </w:style>
  <w:style w:type="paragraph" w:styleId="191">
    <w:name w:val="toc 4"/>
    <w:basedOn w:val="806"/>
    <w:next w:val="806"/>
    <w:uiPriority w:val="39"/>
    <w:unhideWhenUsed/>
    <w:pPr>
      <w:pBdr/>
      <w:spacing w:after="100"/>
      <w:ind w:left="660"/>
    </w:pPr>
  </w:style>
  <w:style w:type="paragraph" w:styleId="192">
    <w:name w:val="toc 5"/>
    <w:basedOn w:val="806"/>
    <w:next w:val="806"/>
    <w:uiPriority w:val="39"/>
    <w:unhideWhenUsed/>
    <w:pPr>
      <w:pBdr/>
      <w:spacing w:after="100"/>
      <w:ind w:left="880"/>
    </w:pPr>
  </w:style>
  <w:style w:type="paragraph" w:styleId="193">
    <w:name w:val="toc 6"/>
    <w:basedOn w:val="806"/>
    <w:next w:val="806"/>
    <w:uiPriority w:val="39"/>
    <w:unhideWhenUsed/>
    <w:pPr>
      <w:pBdr/>
      <w:spacing w:after="100"/>
      <w:ind w:left="1100"/>
    </w:pPr>
  </w:style>
  <w:style w:type="paragraph" w:styleId="194">
    <w:name w:val="toc 7"/>
    <w:basedOn w:val="806"/>
    <w:next w:val="806"/>
    <w:uiPriority w:val="39"/>
    <w:unhideWhenUsed/>
    <w:pPr>
      <w:pBdr/>
      <w:spacing w:after="100"/>
      <w:ind w:left="1320"/>
    </w:pPr>
  </w:style>
  <w:style w:type="paragraph" w:styleId="195">
    <w:name w:val="toc 8"/>
    <w:basedOn w:val="806"/>
    <w:next w:val="806"/>
    <w:uiPriority w:val="39"/>
    <w:unhideWhenUsed/>
    <w:pPr>
      <w:pBdr/>
      <w:spacing w:after="100"/>
      <w:ind w:left="1540"/>
    </w:pPr>
  </w:style>
  <w:style w:type="paragraph" w:styleId="196">
    <w:name w:val="toc 9"/>
    <w:basedOn w:val="806"/>
    <w:next w:val="806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13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06"/>
    <w:next w:val="806"/>
    <w:uiPriority w:val="99"/>
    <w:unhideWhenUsed/>
    <w:pPr>
      <w:pBdr/>
      <w:spacing w:after="0" w:afterAutospacing="0"/>
      <w:ind/>
    </w:pPr>
  </w:style>
  <w:style w:type="paragraph" w:styleId="806" w:default="1">
    <w:name w:val="Normal"/>
    <w:qFormat/>
    <w:pPr>
      <w:pBdr/>
      <w:spacing/>
      <w:ind/>
    </w:pPr>
  </w:style>
  <w:style w:type="paragraph" w:styleId="807">
    <w:name w:val="Heading 1"/>
    <w:basedOn w:val="806"/>
    <w:next w:val="806"/>
    <w:qFormat/>
    <w:pPr>
      <w:keepNext w:val="true"/>
      <w:pBdr/>
      <w:spacing w:after="60" w:before="240" w:line="360" w:lineRule="auto"/>
      <w:ind/>
      <w:jc w:val="both"/>
      <w:outlineLvl w:val="0"/>
    </w:pPr>
    <w:rPr>
      <w:b/>
      <w:sz w:val="24"/>
    </w:rPr>
  </w:style>
  <w:style w:type="paragraph" w:styleId="808">
    <w:name w:val="Heading 2"/>
    <w:basedOn w:val="806"/>
    <w:next w:val="806"/>
    <w:qFormat/>
    <w:pPr>
      <w:keepNext w:val="true"/>
      <w:pBdr/>
      <w:spacing/>
      <w:ind/>
      <w:outlineLvl w:val="1"/>
    </w:pPr>
    <w:rPr>
      <w:b/>
    </w:rPr>
  </w:style>
  <w:style w:type="paragraph" w:styleId="809">
    <w:name w:val="Heading 3"/>
    <w:basedOn w:val="806"/>
    <w:next w:val="806"/>
    <w:qFormat/>
    <w:pPr>
      <w:keepNext w:val="true"/>
      <w:pBdr/>
      <w:spacing/>
      <w:ind/>
      <w:outlineLvl w:val="2"/>
    </w:pPr>
    <w:rPr>
      <w:u w:val="single"/>
    </w:rPr>
  </w:style>
  <w:style w:type="paragraph" w:styleId="810">
    <w:name w:val="Heading 4"/>
    <w:basedOn w:val="806"/>
    <w:next w:val="806"/>
    <w:qFormat/>
    <w:pPr>
      <w:keepNext w:val="true"/>
      <w:pBdr/>
      <w:spacing/>
      <w:ind/>
      <w:outlineLvl w:val="3"/>
    </w:pPr>
    <w:rPr>
      <w:i/>
    </w:rPr>
  </w:style>
  <w:style w:type="paragraph" w:styleId="811">
    <w:name w:val="Heading 6"/>
    <w:basedOn w:val="806"/>
    <w:next w:val="806"/>
    <w:qFormat/>
    <w:pPr>
      <w:keepNext w:val="true"/>
      <w:pBdr/>
      <w:spacing w:line="360" w:lineRule="auto"/>
      <w:ind/>
      <w:jc w:val="both"/>
      <w:outlineLvl w:val="5"/>
    </w:pPr>
    <w:rPr>
      <w:b/>
    </w:rPr>
  </w:style>
  <w:style w:type="paragraph" w:styleId="812">
    <w:name w:val="Heading 7"/>
    <w:basedOn w:val="806"/>
    <w:next w:val="806"/>
    <w:qFormat/>
    <w:pPr>
      <w:keepNext w:val="true"/>
      <w:pBdr/>
      <w:spacing/>
      <w:ind/>
      <w:jc w:val="both"/>
      <w:outlineLvl w:val="6"/>
    </w:pPr>
    <w:rPr>
      <w:b/>
      <w:sz w:val="24"/>
      <w:u w:val="single"/>
    </w:rPr>
  </w:style>
  <w:style w:type="character" w:styleId="813" w:default="1">
    <w:name w:val="Default Paragraph Font"/>
    <w:uiPriority w:val="1"/>
    <w:semiHidden/>
    <w:unhideWhenUsed/>
    <w:pPr>
      <w:pBdr/>
      <w:spacing/>
      <w:ind/>
    </w:pPr>
  </w:style>
  <w:style w:type="table" w:styleId="8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5" w:default="1">
    <w:name w:val="No List"/>
    <w:uiPriority w:val="99"/>
    <w:semiHidden/>
    <w:unhideWhenUsed/>
    <w:pPr>
      <w:pBdr/>
      <w:spacing/>
      <w:ind/>
    </w:pPr>
  </w:style>
  <w:style w:type="paragraph" w:styleId="816">
    <w:name w:val="Header"/>
    <w:basedOn w:val="806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17">
    <w:name w:val="Footer"/>
    <w:basedOn w:val="806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18">
    <w:name w:val="page number"/>
    <w:basedOn w:val="813"/>
    <w:pPr>
      <w:pBdr/>
      <w:spacing/>
      <w:ind/>
    </w:pPr>
  </w:style>
  <w:style w:type="table" w:styleId="819">
    <w:name w:val="Table Grid"/>
    <w:basedOn w:val="814"/>
    <w:uiPriority w:val="39"/>
    <w:pPr>
      <w:pBdr/>
      <w:spacing/>
      <w:ind/>
    </w:pPr>
    <w:rPr>
      <w:rFonts w:ascii="Calibri" w:hAnsi="Calibri" w:eastAsia="Calibr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C40D2-F50A-42D6-977A-B8582904C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4</DocSecurity>
  <ScaleCrop>0</ScaleCrop>
  <HeadingPairs>
    <vt:vector size="0" baseType="variant"/>
  </HeadingPairs>
  <TitlesOfParts>
    <vt:vector size="0" baseType="lpstr"/>
  </TitlesOfParts>
  <Company>Novaconsult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05.02 Comunicazione Interna</dc:title>
  <dc:creator>Francesco San Martino</dc:creator>
  <cp:keywords>ISO 9001</cp:keywords>
  <cp:lastModifiedBy>Francesco Scavello</cp:lastModifiedBy>
  <cp:revision>3</cp:revision>
  <dcterms:created xsi:type="dcterms:W3CDTF">2023-12-06T10:52:00Z</dcterms:created>
  <dcterms:modified xsi:type="dcterms:W3CDTF">2025-11-10T10:49:23Z</dcterms:modified>
</cp:coreProperties>
</file>