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numPr>
          <w:ilvl w:val="0"/>
          <w:numId w:val="14"/>
        </w:numPr>
        <w:pBdr/>
        <w:spacing w:line="276" w:lineRule="auto"/>
        <w:ind/>
        <w:rPr>
          <w:rFonts w:asciiTheme="minorHAnsi" w:hAnsiTheme="minorHAnsi" w:cstheme="minorHAnsi"/>
          <w:b/>
          <w:sz w:val="22"/>
          <w:szCs w:val="22"/>
        </w:rPr>
      </w:pPr>
      <w:r>
        <w:rPr>
          <w:rFonts w:asciiTheme="minorHAnsi" w:hAnsiTheme="minorHAnsi" w:cstheme="minorHAnsi"/>
          <w:b/>
          <w:sz w:val="22"/>
          <w:szCs w:val="22"/>
        </w:rPr>
        <w:t xml:space="preserve">Scopo</w:t>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Scopo della presente procedura è </w:t>
      </w:r>
      <w:r>
        <w:rPr>
          <w:rFonts w:asciiTheme="minorHAnsi" w:hAnsiTheme="minorHAnsi" w:cstheme="minorHAnsi"/>
          <w:sz w:val="22"/>
          <w:szCs w:val="22"/>
        </w:rPr>
        <w:t xml:space="preserve">quello di definire </w:t>
      </w:r>
      <w:r>
        <w:rPr>
          <w:rFonts w:asciiTheme="minorHAnsi" w:hAnsiTheme="minorHAnsi" w:cstheme="minorHAnsi"/>
          <w:sz w:val="22"/>
          <w:szCs w:val="22"/>
        </w:rPr>
        <w:t xml:space="preserve">i rapporti con la pubblica amministrazione</w:t>
      </w:r>
      <w:r>
        <w:rPr>
          <w:rFonts w:asciiTheme="minorHAnsi" w:hAnsiTheme="minorHAnsi" w:cstheme="minorHAnsi"/>
          <w:sz w:val="22"/>
          <w:szCs w:val="22"/>
        </w:rPr>
        <w:t xml:space="preserve">.</w:t>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numPr>
          <w:ilvl w:val="0"/>
          <w:numId w:val="14"/>
        </w:numPr>
        <w:pBdr/>
        <w:spacing w:line="276" w:lineRule="auto"/>
        <w:ind/>
        <w:rPr>
          <w:rFonts w:asciiTheme="minorHAnsi" w:hAnsiTheme="minorHAnsi" w:cstheme="minorHAnsi"/>
          <w:b/>
          <w:sz w:val="22"/>
          <w:szCs w:val="22"/>
        </w:rPr>
      </w:pPr>
      <w:r>
        <w:rPr>
          <w:rFonts w:asciiTheme="minorHAnsi" w:hAnsiTheme="minorHAnsi" w:cstheme="minorHAnsi"/>
          <w:b/>
          <w:sz w:val="22"/>
          <w:szCs w:val="22"/>
        </w:rPr>
        <w:t xml:space="preserve">Generalità</w:t>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Agrumi</w:t>
      </w:r>
      <w:r>
        <w:rPr>
          <w:rFonts w:asciiTheme="minorHAnsi" w:hAnsiTheme="minorHAnsi" w:cstheme="minorHAnsi"/>
          <w:sz w:val="22"/>
          <w:szCs w:val="22"/>
        </w:rPr>
        <w:t xml:space="preserve">-</w:t>
      </w:r>
      <w:r>
        <w:rPr>
          <w:rFonts w:asciiTheme="minorHAnsi" w:hAnsiTheme="minorHAnsi" w:cstheme="minorHAnsi"/>
          <w:sz w:val="22"/>
          <w:szCs w:val="22"/>
        </w:rPr>
        <w:t xml:space="preserve">gel</w:t>
      </w:r>
      <w:r>
        <w:rPr>
          <w:rFonts w:asciiTheme="minorHAnsi" w:hAnsiTheme="minorHAnsi" w:cstheme="minorHAnsi"/>
          <w:sz w:val="22"/>
          <w:szCs w:val="22"/>
        </w:rPr>
        <w:t xml:space="preserve"> </w:t>
      </w:r>
      <w:r>
        <w:rPr>
          <w:rFonts w:asciiTheme="minorHAnsi" w:hAnsiTheme="minorHAnsi" w:cstheme="minorHAnsi"/>
          <w:sz w:val="22"/>
          <w:szCs w:val="22"/>
        </w:rPr>
        <w:t xml:space="preserve">impronta i rapporti con la pubblica amministrazione alla massima trasparenza e correttezza dei comportamenti.</w:t>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Essa:</w:t>
      </w:r>
      <w:r>
        <w:rPr>
          <w:rFonts w:asciiTheme="minorHAnsi" w:hAnsiTheme="minorHAnsi" w:cstheme="minorHAnsi"/>
          <w:sz w:val="22"/>
          <w:szCs w:val="22"/>
        </w:rPr>
      </w:r>
    </w:p>
    <w:p>
      <w:pPr>
        <w:numPr>
          <w:ilvl w:val="0"/>
          <w:numId w:val="5"/>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proibisce pratiche di corruzione, favori illegittimi, comportamenti collusivi finalizz</w:t>
      </w:r>
      <w:r>
        <w:rPr>
          <w:rFonts w:asciiTheme="minorHAnsi" w:hAnsiTheme="minorHAnsi" w:cstheme="minorHAnsi"/>
          <w:sz w:val="22"/>
          <w:szCs w:val="22"/>
        </w:rPr>
        <w:t xml:space="preserve">ati ad ottenere vantaggi personali, per la società e/o per terzi, così come sollecitazioni dirette e/o attraverso terzi, di vantaggi personali e di carriera per sé e/o per altri;</w:t>
      </w:r>
      <w:r>
        <w:rPr>
          <w:rFonts w:asciiTheme="minorHAnsi" w:hAnsiTheme="minorHAnsi" w:cstheme="minorHAnsi"/>
          <w:sz w:val="22"/>
          <w:szCs w:val="22"/>
        </w:rPr>
      </w:r>
    </w:p>
    <w:p>
      <w:pPr>
        <w:numPr>
          <w:ilvl w:val="0"/>
          <w:numId w:val="5"/>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non consente di corrispondere, offrire, o promettere, direttamente o indirettamente, pagamenti e benefici materiali a pubblici ufficiali o incaricati di pubblico servizio per influenzare o compensare atti dei lo</w:t>
      </w:r>
      <w:r>
        <w:rPr>
          <w:rFonts w:asciiTheme="minorHAnsi" w:hAnsiTheme="minorHAnsi" w:cstheme="minorHAnsi"/>
          <w:sz w:val="22"/>
          <w:szCs w:val="22"/>
        </w:rPr>
        <w:t xml:space="preserve">r</w:t>
      </w:r>
      <w:r>
        <w:rPr>
          <w:rFonts w:asciiTheme="minorHAnsi" w:hAnsiTheme="minorHAnsi" w:cstheme="minorHAnsi"/>
          <w:sz w:val="22"/>
          <w:szCs w:val="22"/>
        </w:rPr>
        <w:t xml:space="preserve">o doveri d’ufficio e/o contrari ai loro doveri d’ufficio;</w:t>
      </w:r>
      <w:r>
        <w:rPr>
          <w:rFonts w:asciiTheme="minorHAnsi" w:hAnsiTheme="minorHAnsi" w:cstheme="minorHAnsi"/>
          <w:sz w:val="22"/>
          <w:szCs w:val="22"/>
        </w:rPr>
      </w:r>
    </w:p>
    <w:p>
      <w:pPr>
        <w:numPr>
          <w:ilvl w:val="0"/>
          <w:numId w:val="5"/>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impegna tutte le sue persone a rispettare le disposizioni, le normative e le direttive che regolano i rapporti con le funzioni e gli organi preposti d</w:t>
      </w:r>
      <w:r>
        <w:rPr>
          <w:rFonts w:asciiTheme="minorHAnsi" w:hAnsiTheme="minorHAnsi" w:cstheme="minorHAnsi"/>
          <w:sz w:val="22"/>
          <w:szCs w:val="22"/>
        </w:rPr>
        <w:t xml:space="preserve">e</w:t>
      </w:r>
      <w:r>
        <w:rPr>
          <w:rFonts w:asciiTheme="minorHAnsi" w:hAnsiTheme="minorHAnsi" w:cstheme="minorHAnsi"/>
          <w:sz w:val="22"/>
          <w:szCs w:val="22"/>
        </w:rPr>
        <w:t xml:space="preserve">lla </w:t>
      </w:r>
      <w:r>
        <w:rPr>
          <w:rFonts w:asciiTheme="minorHAnsi" w:hAnsiTheme="minorHAnsi" w:cstheme="minorHAnsi"/>
          <w:sz w:val="22"/>
          <w:szCs w:val="22"/>
        </w:rPr>
        <w:t xml:space="preserve">pubblica amministrazione (</w:t>
      </w:r>
      <w:r>
        <w:rPr>
          <w:rFonts w:asciiTheme="minorHAnsi" w:hAnsiTheme="minorHAnsi" w:cstheme="minorHAnsi"/>
          <w:sz w:val="22"/>
          <w:szCs w:val="22"/>
        </w:rPr>
        <w:t xml:space="preserve">P.A.</w:t>
      </w:r>
      <w:r>
        <w:rPr>
          <w:rFonts w:asciiTheme="minorHAnsi" w:hAnsiTheme="minorHAnsi" w:cstheme="minorHAnsi"/>
          <w:sz w:val="22"/>
          <w:szCs w:val="22"/>
        </w:rPr>
        <w:t xml:space="preserve">)</w:t>
      </w:r>
      <w:r>
        <w:rPr>
          <w:rFonts w:asciiTheme="minorHAnsi" w:hAnsiTheme="minorHAnsi" w:cstheme="minorHAnsi"/>
          <w:sz w:val="22"/>
          <w:szCs w:val="22"/>
        </w:rPr>
        <w:t xml:space="preserve">, locali, nazionali o internazionali.</w:t>
      </w:r>
      <w:r>
        <w:rPr>
          <w:rFonts w:asciiTheme="minorHAnsi" w:hAnsiTheme="minorHAnsi" w:cstheme="minorHAnsi"/>
          <w:sz w:val="22"/>
          <w:szCs w:val="22"/>
        </w:rPr>
        <w:t xml:space="preserve"> </w:t>
      </w:r>
      <w:r>
        <w:rPr>
          <w:rFonts w:asciiTheme="minorHAnsi" w:hAnsiTheme="minorHAnsi" w:cstheme="minorHAnsi"/>
          <w:sz w:val="22"/>
          <w:szCs w:val="22"/>
        </w:rPr>
        <w:t xml:space="preserve"> </w:t>
      </w:r>
      <w:r>
        <w:rPr>
          <w:rFonts w:asciiTheme="minorHAnsi" w:hAnsiTheme="minorHAnsi" w:cstheme="minorHAnsi"/>
          <w:sz w:val="22"/>
          <w:szCs w:val="22"/>
        </w:rPr>
      </w:r>
    </w:p>
    <w:p>
      <w:pPr>
        <w:pBdr/>
        <w:spacing w:line="276" w:lineRule="auto"/>
        <w:ind w:left="284"/>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numPr>
          <w:ilvl w:val="0"/>
          <w:numId w:val="14"/>
        </w:num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t xml:space="preserve">Campo di applicazione</w:t>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La presente procedura si applica ai rapporti che Agrumigel intrattiene o intratterrà con la Pubblica Amministrazione nell’ambito delle proprie attività.</w:t>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In particolare essa si applica a tutti i rapporti con pubblici ufficiali o incaricati di pubblico servizio e in ogni fase propedeutica, specifica e/o in qualche modo connessa a tali rapporti.</w:t>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A titolo esemplificativo si elencano di seguito le principali forme che può assumere il rapporto di rappresentanti della società con la pubblica amministrazione:</w:t>
      </w:r>
      <w:r>
        <w:rPr>
          <w:rFonts w:asciiTheme="minorHAnsi" w:hAnsiTheme="minorHAnsi" w:cstheme="minorHAnsi"/>
          <w:sz w:val="22"/>
          <w:szCs w:val="22"/>
        </w:rPr>
      </w:r>
    </w:p>
    <w:p>
      <w:pPr>
        <w:numPr>
          <w:ilvl w:val="0"/>
          <w:numId w:val="6"/>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negoziazione e/o sottoscrizione di accordi con al P.A. (quali ad </w:t>
      </w:r>
      <w:r>
        <w:rPr>
          <w:rFonts w:asciiTheme="minorHAnsi" w:hAnsiTheme="minorHAnsi" w:cstheme="minorHAnsi"/>
          <w:sz w:val="22"/>
          <w:szCs w:val="22"/>
        </w:rPr>
        <w:t xml:space="preserve">es</w:t>
      </w:r>
      <w:r>
        <w:rPr>
          <w:rFonts w:asciiTheme="minorHAnsi" w:hAnsiTheme="minorHAnsi" w:cstheme="minorHAnsi"/>
          <w:sz w:val="22"/>
          <w:szCs w:val="22"/>
        </w:rPr>
        <w:t xml:space="preserve">. accordi di programma, accordi di servizio, sottoscrizione di protocolli);</w:t>
      </w:r>
      <w:r>
        <w:rPr>
          <w:rFonts w:asciiTheme="minorHAnsi" w:hAnsiTheme="minorHAnsi" w:cstheme="minorHAnsi"/>
          <w:sz w:val="22"/>
          <w:szCs w:val="22"/>
        </w:rPr>
      </w:r>
    </w:p>
    <w:p>
      <w:pPr>
        <w:numPr>
          <w:ilvl w:val="0"/>
          <w:numId w:val="6"/>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richieste per l’ottenimento di provvedimenti di competenza della P.A. (quali, ad es. istanze e/o ricorsi presso Agenzia delle Entrate, INPS, Ministeri e Agenzie governative, uffici di collocamento e/o altri enti della P.A.);</w:t>
      </w:r>
      <w:r>
        <w:rPr>
          <w:rFonts w:asciiTheme="minorHAnsi" w:hAnsiTheme="minorHAnsi" w:cstheme="minorHAnsi"/>
          <w:sz w:val="22"/>
          <w:szCs w:val="22"/>
        </w:rPr>
      </w:r>
    </w:p>
    <w:p>
      <w:pPr>
        <w:numPr>
          <w:ilvl w:val="0"/>
          <w:numId w:val="6"/>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adempimenti di obblighi nei confronti della P.A. (quali, ad es. attuazioni di prescrizioni, esecuzioni di controlli, trasmissioni di comunicazioni/informazioni);</w:t>
      </w:r>
      <w:r>
        <w:rPr>
          <w:rFonts w:asciiTheme="minorHAnsi" w:hAnsiTheme="minorHAnsi" w:cstheme="minorHAnsi"/>
          <w:sz w:val="22"/>
          <w:szCs w:val="22"/>
        </w:rPr>
      </w:r>
    </w:p>
    <w:p>
      <w:pPr>
        <w:numPr>
          <w:ilvl w:val="0"/>
          <w:numId w:val="6"/>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pagamenti nei confronti della P.A., ad es., ammende, pagamenti di imposte, tasse e simili;</w:t>
      </w:r>
      <w:r>
        <w:rPr>
          <w:rFonts w:asciiTheme="minorHAnsi" w:hAnsiTheme="minorHAnsi" w:cstheme="minorHAnsi"/>
          <w:sz w:val="22"/>
          <w:szCs w:val="22"/>
        </w:rPr>
      </w:r>
    </w:p>
    <w:p>
      <w:pPr>
        <w:numPr>
          <w:ilvl w:val="0"/>
          <w:numId w:val="6"/>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verifiche e/o controlli da parte della P.A. (quali, ad es. ispezioni);</w:t>
      </w:r>
      <w:r>
        <w:rPr>
          <w:rFonts w:asciiTheme="minorHAnsi" w:hAnsiTheme="minorHAnsi" w:cstheme="minorHAnsi"/>
          <w:sz w:val="22"/>
          <w:szCs w:val="22"/>
        </w:rPr>
      </w:r>
    </w:p>
    <w:p>
      <w:pPr>
        <w:numPr>
          <w:ilvl w:val="0"/>
          <w:numId w:val="6"/>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progetti di finanziamento ed agevolazioni attinenti ad erogazioni pubbliche dirette ed indirette (</w:t>
      </w:r>
      <w:r>
        <w:rPr>
          <w:rFonts w:asciiTheme="minorHAnsi" w:hAnsiTheme="minorHAnsi" w:cstheme="minorHAnsi"/>
          <w:sz w:val="22"/>
          <w:szCs w:val="22"/>
        </w:rPr>
        <w:t xml:space="preserve">quali </w:t>
      </w:r>
      <w:r>
        <w:rPr>
          <w:rFonts w:asciiTheme="minorHAnsi" w:hAnsiTheme="minorHAnsi" w:cstheme="minorHAnsi"/>
          <w:sz w:val="22"/>
          <w:szCs w:val="22"/>
        </w:rPr>
        <w:t xml:space="preserve">ad </w:t>
      </w:r>
      <w:r>
        <w:rPr>
          <w:rFonts w:asciiTheme="minorHAnsi" w:hAnsiTheme="minorHAnsi" w:cstheme="minorHAnsi"/>
          <w:sz w:val="22"/>
          <w:szCs w:val="22"/>
        </w:rPr>
        <w:t xml:space="preserve">es</w:t>
      </w:r>
      <w:r>
        <w:rPr>
          <w:rFonts w:asciiTheme="minorHAnsi" w:hAnsiTheme="minorHAnsi" w:cstheme="minorHAnsi"/>
          <w:sz w:val="22"/>
          <w:szCs w:val="22"/>
        </w:rPr>
        <w:t xml:space="preserve">. finanziamenti pubblici a fondo perduto</w:t>
      </w:r>
      <w:r>
        <w:rPr>
          <w:rFonts w:asciiTheme="minorHAnsi" w:hAnsiTheme="minorHAnsi" w:cstheme="minorHAnsi"/>
          <w:sz w:val="22"/>
          <w:szCs w:val="22"/>
        </w:rPr>
        <w:t xml:space="preserve">, agevolati, incentivi fiscali).</w:t>
      </w:r>
      <w:r>
        <w:rPr>
          <w:rFonts w:asciiTheme="minorHAnsi" w:hAnsiTheme="minorHAnsi" w:cstheme="minorHAnsi"/>
          <w:sz w:val="22"/>
          <w:szCs w:val="22"/>
        </w:rPr>
      </w:r>
    </w:p>
    <w:p>
      <w:pPr>
        <w:pBdr/>
        <w:spacing w:line="276" w:lineRule="auto"/>
        <w:ind w:left="284"/>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numPr>
          <w:ilvl w:val="0"/>
          <w:numId w:val="14"/>
        </w:numPr>
        <w:pBdr/>
        <w:spacing w:line="276" w:lineRule="auto"/>
        <w:ind/>
        <w:rPr>
          <w:rFonts w:asciiTheme="minorHAnsi" w:hAnsiTheme="minorHAnsi" w:cstheme="minorHAnsi"/>
          <w:b/>
          <w:sz w:val="22"/>
          <w:szCs w:val="22"/>
        </w:rPr>
      </w:pPr>
      <w:r>
        <w:rPr>
          <w:rFonts w:asciiTheme="minorHAnsi" w:hAnsiTheme="minorHAnsi" w:cstheme="minorHAnsi"/>
          <w:b/>
          <w:sz w:val="22"/>
          <w:szCs w:val="22"/>
        </w:rPr>
        <w:t xml:space="preserve">Regole di comportamento</w:t>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Posta la natura ampia ed articolata del possibile rapporto con gli organ</w:t>
      </w:r>
      <w:r>
        <w:rPr>
          <w:rFonts w:asciiTheme="minorHAnsi" w:hAnsiTheme="minorHAnsi" w:cstheme="minorHAnsi"/>
          <w:sz w:val="22"/>
          <w:szCs w:val="22"/>
        </w:rPr>
        <w:t xml:space="preserve">i della P.A., Agrumigel ritiene opportuno indicare alcune regole generali di comportamento che bisogna applicare sempre, riservandosi di stabilire nel dettaglio singole istruzioni operative per ogni singolo caso in ragione dell’importanza e del suo valore.</w:t>
      </w:r>
      <w:r>
        <w:rPr>
          <w:rFonts w:asciiTheme="minorHAnsi" w:hAnsiTheme="minorHAnsi" w:cstheme="minorHAnsi"/>
          <w:sz w:val="22"/>
          <w:szCs w:val="22"/>
        </w:rPr>
      </w:r>
    </w:p>
    <w:p>
      <w:pPr>
        <w:numPr>
          <w:ilvl w:val="0"/>
          <w:numId w:val="14"/>
        </w:numPr>
        <w:pBdr/>
        <w:spacing w:before="240" w:line="276" w:lineRule="auto"/>
        <w:ind/>
        <w:jc w:val="both"/>
        <w:rPr>
          <w:rFonts w:asciiTheme="minorHAnsi" w:hAnsiTheme="minorHAnsi" w:cstheme="minorHAnsi"/>
          <w:b/>
          <w:sz w:val="22"/>
          <w:szCs w:val="22"/>
        </w:rPr>
      </w:pPr>
      <w:r>
        <w:rPr>
          <w:rFonts w:asciiTheme="minorHAnsi" w:hAnsiTheme="minorHAnsi" w:cstheme="minorHAnsi"/>
          <w:b/>
          <w:sz w:val="22"/>
          <w:szCs w:val="22"/>
        </w:rPr>
        <w:t xml:space="preserve">Suddivisione dei compiti e del controllo</w:t>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Si dovrà evitare che l’intero corso dell’operazione che configura di volta in volta il rapporto con un organo o un rappresentante della P.A. si esaurisca con il coinvolgimento di un solo rappresentante aziendale, vale a dire che sia un solo esponente di </w:t>
      </w:r>
      <w:r>
        <w:rPr>
          <w:rFonts w:asciiTheme="minorHAnsi" w:hAnsiTheme="minorHAnsi" w:cstheme="minorHAnsi"/>
          <w:sz w:val="22"/>
          <w:szCs w:val="22"/>
        </w:rPr>
        <w:t xml:space="preserve">Agrumi</w:t>
      </w:r>
      <w:r>
        <w:rPr>
          <w:rFonts w:asciiTheme="minorHAnsi" w:hAnsiTheme="minorHAnsi" w:cstheme="minorHAnsi"/>
          <w:sz w:val="22"/>
          <w:szCs w:val="22"/>
        </w:rPr>
        <w:t xml:space="preserve">-</w:t>
      </w:r>
      <w:r>
        <w:rPr>
          <w:rFonts w:asciiTheme="minorHAnsi" w:hAnsiTheme="minorHAnsi" w:cstheme="minorHAnsi"/>
          <w:sz w:val="22"/>
          <w:szCs w:val="22"/>
        </w:rPr>
        <w:t xml:space="preserve">gel</w:t>
      </w:r>
      <w:r>
        <w:rPr>
          <w:rFonts w:asciiTheme="minorHAnsi" w:hAnsiTheme="minorHAnsi" w:cstheme="minorHAnsi"/>
          <w:sz w:val="22"/>
          <w:szCs w:val="22"/>
        </w:rPr>
        <w:t xml:space="preserve"> a:</w:t>
      </w:r>
      <w:r>
        <w:rPr>
          <w:rFonts w:asciiTheme="minorHAnsi" w:hAnsiTheme="minorHAnsi" w:cstheme="minorHAnsi"/>
          <w:sz w:val="22"/>
          <w:szCs w:val="22"/>
        </w:rPr>
      </w:r>
    </w:p>
    <w:p>
      <w:pPr>
        <w:numPr>
          <w:ilvl w:val="0"/>
          <w:numId w:val="7"/>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iniziare il contatto;</w:t>
      </w:r>
      <w:r>
        <w:rPr>
          <w:rFonts w:asciiTheme="minorHAnsi" w:hAnsiTheme="minorHAnsi" w:cstheme="minorHAnsi"/>
          <w:sz w:val="22"/>
          <w:szCs w:val="22"/>
        </w:rPr>
      </w:r>
    </w:p>
    <w:p>
      <w:pPr>
        <w:numPr>
          <w:ilvl w:val="0"/>
          <w:numId w:val="7"/>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impostarne il contenuto;</w:t>
      </w:r>
      <w:r>
        <w:rPr>
          <w:rFonts w:asciiTheme="minorHAnsi" w:hAnsiTheme="minorHAnsi" w:cstheme="minorHAnsi"/>
          <w:sz w:val="22"/>
          <w:szCs w:val="22"/>
        </w:rPr>
      </w:r>
    </w:p>
    <w:p>
      <w:pPr>
        <w:numPr>
          <w:ilvl w:val="0"/>
          <w:numId w:val="7"/>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individuare con l’interlocutore della P.A., l’oggetto dell’operazione, il suo contenuto, le modalità di esecuzione, la natura e i risvolti pratici e finanziari degli adempimenti connessi;</w:t>
      </w:r>
      <w:r>
        <w:rPr>
          <w:rFonts w:asciiTheme="minorHAnsi" w:hAnsiTheme="minorHAnsi" w:cstheme="minorHAnsi"/>
          <w:sz w:val="22"/>
          <w:szCs w:val="22"/>
        </w:rPr>
      </w:r>
    </w:p>
    <w:p>
      <w:pPr>
        <w:numPr>
          <w:ilvl w:val="0"/>
          <w:numId w:val="7"/>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dare attuazione agli adempimenti necessari;</w:t>
      </w:r>
      <w:r>
        <w:rPr>
          <w:rFonts w:asciiTheme="minorHAnsi" w:hAnsiTheme="minorHAnsi" w:cstheme="minorHAnsi"/>
          <w:sz w:val="22"/>
          <w:szCs w:val="22"/>
        </w:rPr>
      </w:r>
    </w:p>
    <w:p>
      <w:pPr>
        <w:numPr>
          <w:ilvl w:val="0"/>
          <w:numId w:val="7"/>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concludere l’operazione e </w:t>
      </w:r>
      <w:r>
        <w:rPr>
          <w:rFonts w:asciiTheme="minorHAnsi" w:hAnsiTheme="minorHAnsi" w:cstheme="minorHAnsi"/>
          <w:sz w:val="22"/>
          <w:szCs w:val="22"/>
        </w:rPr>
        <w:t xml:space="preserve">i rapporti</w:t>
      </w:r>
      <w:r>
        <w:rPr>
          <w:rFonts w:asciiTheme="minorHAnsi" w:hAnsiTheme="minorHAnsi" w:cstheme="minorHAnsi"/>
          <w:sz w:val="22"/>
          <w:szCs w:val="22"/>
        </w:rPr>
        <w:t xml:space="preserve"> con la P.A.</w:t>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fanno parte d</w:t>
      </w:r>
      <w:r>
        <w:rPr>
          <w:rFonts w:asciiTheme="minorHAnsi" w:hAnsiTheme="minorHAnsi" w:cstheme="minorHAnsi"/>
          <w:sz w:val="22"/>
          <w:szCs w:val="22"/>
        </w:rPr>
        <w:t xml:space="preserve">i questa successione di passaggi che caratterizzano l’operazione anche tutti gli altri momenti di comunicazione con la P.A., siano essi scritti o verbali. Nelle fasi cruciali dell’operazione, dovrà essere coinvolto almeno anche un secondo esponente azienda</w:t>
      </w:r>
      <w:r>
        <w:rPr>
          <w:rFonts w:asciiTheme="minorHAnsi" w:hAnsiTheme="minorHAnsi" w:cstheme="minorHAnsi"/>
          <w:sz w:val="22"/>
          <w:szCs w:val="22"/>
        </w:rPr>
        <w:t xml:space="preserve">le, associandolo ai momenti di contatto con P.A. e fornendogli una completa informazione e documentazione dei contenuti dell’operazione, del suo scopo e di tutti i risvolti connessi ad essa, assumendosi che in tal modo anche il secondo esponente aziendale </w:t>
      </w:r>
      <w:r>
        <w:rPr>
          <w:rFonts w:asciiTheme="minorHAnsi" w:hAnsiTheme="minorHAnsi" w:cstheme="minorHAnsi"/>
          <w:sz w:val="22"/>
          <w:szCs w:val="22"/>
        </w:rPr>
        <w:t xml:space="preserve">sarà partecipe della responsabilità dell’operazione. Laddove possibile e in relazione all’importanza ed alla delicatezza del caso, si dovrà valutare l’opportunità di suddividere la responsabilità dell’operazione su tre diversi ruoli, ognuno svolto da un di</w:t>
      </w:r>
      <w:r>
        <w:rPr>
          <w:rFonts w:asciiTheme="minorHAnsi" w:hAnsiTheme="minorHAnsi" w:cstheme="minorHAnsi"/>
          <w:sz w:val="22"/>
          <w:szCs w:val="22"/>
        </w:rPr>
        <w:t xml:space="preserve">verso esponente aziendale: uno che organizza, uno che esegue ed uno che controlla. Il coinvolgimento di ognuno degli esponenti aziendali dovrà essere attestato con la relativa firma apposta sulla documentazione che andrà raccolta a corredo dell’operazione.</w:t>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numPr>
          <w:ilvl w:val="0"/>
          <w:numId w:val="14"/>
        </w:num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t xml:space="preserve">Flusso delle informazioni verso l’Amministratore Unico</w:t>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Il rapporto con gli uffici della P.A. dovrà essere conosciuto dal Responsabile della Funzione interessata, che si attiverà comunque, quando non già coinvolto direttamente nell’operazione, per assumere le informazioni e da</w:t>
      </w:r>
      <w:r>
        <w:rPr>
          <w:rFonts w:asciiTheme="minorHAnsi" w:hAnsiTheme="minorHAnsi" w:cstheme="minorHAnsi"/>
          <w:sz w:val="22"/>
          <w:szCs w:val="22"/>
        </w:rPr>
        <w:t xml:space="preserve">re le opportune direttive ad esercitare il dovuto controllo sull’operazione stessa. A questo riguardo, ogni scostamento dalle procedure/prassi previste per l’operazione dalla vigente normativa sarà oggetto di particolare attenzione. Qualora l’importanza e </w:t>
      </w:r>
      <w:r>
        <w:rPr>
          <w:rFonts w:asciiTheme="minorHAnsi" w:hAnsiTheme="minorHAnsi" w:cstheme="minorHAnsi"/>
          <w:sz w:val="22"/>
          <w:szCs w:val="22"/>
        </w:rPr>
        <w:t xml:space="preserve">la delicatezza dell’operazione lo richiedesse e comunque sempre per attività o operazioni con la P.A. sottese a beni, servizi e importi di valore superiore a € 50.000, ogni attività sarà coordinata e supervisionata dall’Amministratore Unico, nella persona </w:t>
      </w:r>
      <w:r>
        <w:rPr>
          <w:rFonts w:asciiTheme="minorHAnsi" w:hAnsiTheme="minorHAnsi" w:cstheme="minorHAnsi"/>
          <w:sz w:val="22"/>
          <w:szCs w:val="22"/>
        </w:rPr>
        <w:t xml:space="preserve">di Rizzo Salvatore</w:t>
      </w:r>
      <w:r>
        <w:rPr>
          <w:rFonts w:asciiTheme="minorHAnsi" w:hAnsiTheme="minorHAnsi" w:cstheme="minorHAnsi"/>
          <w:sz w:val="22"/>
          <w:szCs w:val="22"/>
        </w:rPr>
        <w:t xml:space="preserve">, al quale comunque spetta in ogni caso il potere di firma degli atti finali quale legale rappresentante dell’azienda a meno di procure speciali attribuite specificatamente ad altri soggetti.</w:t>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numPr>
          <w:ilvl w:val="0"/>
          <w:numId w:val="14"/>
        </w:num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t xml:space="preserve">Documentazione dell’operazione</w:t>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Lo svolgimento del rapporto con la P.A., inteso come ogni singola operazione che abbia una sua autonoma connotazione, con un inizio ed una fine, dovrà essere validamente documentato in modo da consentire </w:t>
      </w:r>
      <w:r>
        <w:rPr>
          <w:rFonts w:asciiTheme="minorHAnsi" w:hAnsiTheme="minorHAnsi" w:cstheme="minorHAnsi"/>
          <w:sz w:val="22"/>
          <w:szCs w:val="22"/>
        </w:rPr>
        <w:t xml:space="preserve">che si possa, anche a distanza di tempo, ricostruire con sufficiente chiarezza la genesi, lo scopo e lo svolgimento dell’operazione, gli adempimenti attuati e la sua formale conclusione. La documentazione dovrà riportare anche l’identificazione dei rappres</w:t>
      </w:r>
      <w:r>
        <w:rPr>
          <w:rFonts w:asciiTheme="minorHAnsi" w:hAnsiTheme="minorHAnsi" w:cstheme="minorHAnsi"/>
          <w:sz w:val="22"/>
          <w:szCs w:val="22"/>
        </w:rPr>
        <w:t xml:space="preserve">entanti aziendali che hanno partecipato all’operazione e le date che connotano la collocazione dei rappresentanti aziendali che hanno partecipato all’operazione, gli adempimenti attuati e la sua formale conclusione. La documentazione dovrà riportare anche </w:t>
      </w:r>
      <w:r>
        <w:rPr>
          <w:rFonts w:asciiTheme="minorHAnsi" w:hAnsiTheme="minorHAnsi" w:cstheme="minorHAnsi"/>
          <w:sz w:val="22"/>
          <w:szCs w:val="22"/>
        </w:rPr>
        <w:t xml:space="preserve">l’identificazione dei rappresentanti aziendali che hanno partecipato all’operazione e le date che connotano la collocazione temporale delle fasi principali. A questo riguardo, e per ogni altro elemento </w:t>
      </w:r>
      <w:r>
        <w:rPr>
          <w:rFonts w:asciiTheme="minorHAnsi" w:hAnsiTheme="minorHAnsi" w:cstheme="minorHAnsi"/>
          <w:sz w:val="22"/>
          <w:szCs w:val="22"/>
        </w:rPr>
        <w:t xml:space="preserve">ritenuto importante, potranno essere aggiunti alla documentazione ufficiale note ed appunti di mano dei rappresentanti aziendali che hanno partecipato e condotto l’operazione, allo scopo di dare una ricostruzione efficace e completa dell’operazione stessa.</w:t>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numPr>
          <w:ilvl w:val="0"/>
          <w:numId w:val="14"/>
        </w:num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t xml:space="preserve">Disposizioni comuni</w:t>
      </w:r>
      <w:r>
        <w:rPr>
          <w:rFonts w:asciiTheme="minorHAnsi" w:hAnsiTheme="minorHAnsi" w:cstheme="minorHAnsi"/>
          <w:b/>
          <w:sz w:val="22"/>
          <w:szCs w:val="22"/>
        </w:rPr>
      </w:r>
    </w:p>
    <w:p>
      <w:pPr>
        <w:numPr>
          <w:ilvl w:val="0"/>
          <w:numId w:val="10"/>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L’accettazione delle linee di condotta stabilite dalla presente Procedura, è parte integrante del rapporto di lavoro e la sua applicazione rientra tra le responsabilità personali ed </w:t>
      </w:r>
      <w:r>
        <w:rPr>
          <w:rFonts w:asciiTheme="minorHAnsi" w:hAnsiTheme="minorHAnsi" w:cstheme="minorHAnsi"/>
          <w:sz w:val="22"/>
          <w:szCs w:val="22"/>
        </w:rPr>
        <w:t xml:space="preserve">indelegabili</w:t>
      </w:r>
      <w:r>
        <w:rPr>
          <w:rFonts w:asciiTheme="minorHAnsi" w:hAnsiTheme="minorHAnsi" w:cstheme="minorHAnsi"/>
          <w:sz w:val="22"/>
          <w:szCs w:val="22"/>
        </w:rPr>
        <w:t xml:space="preserve"> di ciascun dipendente e collaboratore dell’Agrumigel.</w:t>
      </w:r>
      <w:r>
        <w:rPr>
          <w:rFonts w:asciiTheme="minorHAnsi" w:hAnsiTheme="minorHAnsi" w:cstheme="minorHAnsi"/>
          <w:sz w:val="22"/>
          <w:szCs w:val="22"/>
        </w:rPr>
      </w:r>
    </w:p>
    <w:p>
      <w:pPr>
        <w:numPr>
          <w:ilvl w:val="0"/>
          <w:numId w:val="10"/>
        </w:numPr>
        <w:pBdr/>
        <w:spacing w:line="276" w:lineRule="auto"/>
        <w:ind w:hanging="284" w:left="284"/>
        <w:jc w:val="both"/>
        <w:rPr>
          <w:rFonts w:asciiTheme="minorHAnsi" w:hAnsiTheme="minorHAnsi" w:cstheme="minorHAnsi"/>
          <w:sz w:val="22"/>
          <w:szCs w:val="22"/>
        </w:rPr>
      </w:pPr>
      <w:r>
        <w:rPr>
          <w:rFonts w:asciiTheme="minorHAnsi" w:hAnsiTheme="minorHAnsi" w:cstheme="minorHAnsi"/>
          <w:sz w:val="22"/>
          <w:szCs w:val="22"/>
        </w:rPr>
        <w:t xml:space="preserve">Ciascun dipendente, dopo aver preso visione ed atto di tale procedura:</w:t>
      </w:r>
      <w:r>
        <w:rPr>
          <w:rFonts w:asciiTheme="minorHAnsi" w:hAnsiTheme="minorHAnsi" w:cstheme="minorHAnsi"/>
          <w:sz w:val="22"/>
          <w:szCs w:val="22"/>
        </w:rPr>
      </w:r>
    </w:p>
    <w:p>
      <w:pPr>
        <w:numPr>
          <w:ilvl w:val="0"/>
          <w:numId w:val="11"/>
        </w:numPr>
        <w:pBdr/>
        <w:spacing w:line="276" w:lineRule="auto"/>
        <w:ind w:hanging="283" w:left="567"/>
        <w:jc w:val="both"/>
        <w:rPr>
          <w:rFonts w:asciiTheme="minorHAnsi" w:hAnsiTheme="minorHAnsi" w:cstheme="minorHAnsi"/>
          <w:sz w:val="22"/>
          <w:szCs w:val="22"/>
        </w:rPr>
      </w:pPr>
      <w:r>
        <w:rPr>
          <w:rFonts w:asciiTheme="minorHAnsi" w:hAnsiTheme="minorHAnsi" w:cstheme="minorHAnsi"/>
          <w:sz w:val="22"/>
          <w:szCs w:val="22"/>
        </w:rPr>
        <w:t xml:space="preserve">non potrà invocare a giustificazione del proprio inadempimento la mancanza di conoscenza della stessa o istruzioni contrarie impartitegli da qualsivoglia diverso livello gerarchico;</w:t>
      </w:r>
      <w:r>
        <w:rPr>
          <w:rFonts w:asciiTheme="minorHAnsi" w:hAnsiTheme="minorHAnsi" w:cstheme="minorHAnsi"/>
          <w:sz w:val="22"/>
          <w:szCs w:val="22"/>
        </w:rPr>
      </w:r>
    </w:p>
    <w:p>
      <w:pPr>
        <w:numPr>
          <w:ilvl w:val="0"/>
          <w:numId w:val="11"/>
        </w:numPr>
        <w:pBdr/>
        <w:spacing w:line="276" w:lineRule="auto"/>
        <w:ind w:hanging="283" w:left="567"/>
        <w:jc w:val="both"/>
        <w:rPr>
          <w:rFonts w:asciiTheme="minorHAnsi" w:hAnsiTheme="minorHAnsi" w:cstheme="minorHAnsi"/>
          <w:sz w:val="22"/>
          <w:szCs w:val="22"/>
        </w:rPr>
      </w:pPr>
      <w:r>
        <w:rPr>
          <w:rFonts w:asciiTheme="minorHAnsi" w:hAnsiTheme="minorHAnsi" w:cstheme="minorHAnsi"/>
          <w:sz w:val="22"/>
          <w:szCs w:val="22"/>
        </w:rPr>
        <w:t xml:space="preserve">dovrà assumere un atteggiamento proattivo, evitando comportamenti di tolleranza a fronte di infrazioni e segnalando all’Amministratore e all’</w:t>
      </w:r>
      <w:r>
        <w:rPr>
          <w:rFonts w:asciiTheme="minorHAnsi" w:hAnsiTheme="minorHAnsi" w:cstheme="minorHAnsi"/>
          <w:sz w:val="22"/>
          <w:szCs w:val="22"/>
        </w:rPr>
        <w:t xml:space="preserve">Odv</w:t>
      </w:r>
      <w:r>
        <w:rPr>
          <w:rFonts w:asciiTheme="minorHAnsi" w:hAnsiTheme="minorHAnsi" w:cstheme="minorHAnsi"/>
          <w:sz w:val="22"/>
          <w:szCs w:val="22"/>
        </w:rPr>
        <w:t xml:space="preserve"> le non conformità rilevate;</w:t>
      </w:r>
      <w:r>
        <w:rPr>
          <w:rFonts w:asciiTheme="minorHAnsi" w:hAnsiTheme="minorHAnsi" w:cstheme="minorHAnsi"/>
          <w:sz w:val="22"/>
          <w:szCs w:val="22"/>
        </w:rPr>
      </w:r>
    </w:p>
    <w:p>
      <w:pPr>
        <w:numPr>
          <w:ilvl w:val="0"/>
          <w:numId w:val="11"/>
        </w:numPr>
        <w:pBdr/>
        <w:spacing w:line="276" w:lineRule="auto"/>
        <w:ind w:hanging="283" w:left="567"/>
        <w:jc w:val="both"/>
        <w:rPr>
          <w:rFonts w:asciiTheme="minorHAnsi" w:hAnsiTheme="minorHAnsi" w:cstheme="minorHAnsi"/>
          <w:sz w:val="22"/>
          <w:szCs w:val="22"/>
        </w:rPr>
      </w:pPr>
      <w:r>
        <w:rPr>
          <w:rFonts w:asciiTheme="minorHAnsi" w:hAnsiTheme="minorHAnsi" w:cstheme="minorHAnsi"/>
          <w:sz w:val="22"/>
          <w:szCs w:val="22"/>
        </w:rPr>
        <w:t xml:space="preserve">ogni violazione della presente, in ragione della gravità dell’omissione o azione non conforme, verrà punita attraverso il sistema sanzionatorio previsto dal modello di organizzazione e controllo ex </w:t>
      </w:r>
      <w:r>
        <w:rPr>
          <w:rFonts w:asciiTheme="minorHAnsi" w:hAnsiTheme="minorHAnsi" w:cstheme="minorHAnsi"/>
          <w:sz w:val="22"/>
          <w:szCs w:val="22"/>
        </w:rPr>
        <w:t xml:space="preserve">D.lgs</w:t>
      </w:r>
      <w:r>
        <w:rPr>
          <w:rFonts w:asciiTheme="minorHAnsi" w:hAnsiTheme="minorHAnsi" w:cstheme="minorHAnsi"/>
          <w:sz w:val="22"/>
          <w:szCs w:val="22"/>
        </w:rPr>
        <w:t xml:space="preserve"> 231/01 adottato da Agrumigel.</w:t>
      </w:r>
      <w:r>
        <w:rPr>
          <w:rFonts w:asciiTheme="minorHAnsi" w:hAnsiTheme="minorHAnsi" w:cstheme="minorHAnsi"/>
          <w:sz w:val="22"/>
          <w:szCs w:val="22"/>
        </w:rPr>
      </w:r>
    </w:p>
    <w:p>
      <w:p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r>
      <w:r>
        <w:rPr>
          <w:rFonts w:asciiTheme="minorHAnsi" w:hAnsiTheme="minorHAnsi" w:cstheme="minorHAnsi"/>
          <w:b/>
          <w:sz w:val="22"/>
          <w:szCs w:val="22"/>
        </w:rPr>
      </w:r>
    </w:p>
    <w:p>
      <w:pPr>
        <w:numPr>
          <w:ilvl w:val="0"/>
          <w:numId w:val="14"/>
        </w:num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t xml:space="preserve">Archiviazione </w:t>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La documentazione dovrà essere archiviata insieme agli altri documenti relativi all’attività del rapporto con la P.A.</w:t>
      </w:r>
      <w:r>
        <w:rPr>
          <w:rFonts w:asciiTheme="minorHAnsi" w:hAnsiTheme="minorHAnsi" w:cstheme="minorHAnsi"/>
          <w:sz w:val="22"/>
          <w:szCs w:val="22"/>
        </w:rPr>
      </w:r>
    </w:p>
    <w:sectPr>
      <w:headerReference w:type="default" r:id="rId9"/>
      <w:footnotePr/>
      <w:endnotePr/>
      <w:type w:val="nextPage"/>
      <w:pgSz w:h="16838" w:orient="portrait" w:w="11906"/>
      <w:pgMar w:top="1417"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ourier New">
    <w:panose1 w:val="02070309020205020404"/>
  </w:font>
  <w:font w:name="Wingdings">
    <w:panose1 w:val="05010000000000000000"/>
  </w:font>
  <w:font w:name="Symbol">
    <w:panose1 w:val="05010000000000000000"/>
  </w:font>
  <w:font w:name="Tahoma">
    <w:panose1 w:val="020B060403050404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left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Style w:val="11"/>
    </w:tblPr>
    <w:tblGrid>
      <w:gridCol w:w="2234"/>
      <w:gridCol w:w="4819"/>
      <w:gridCol w:w="2801"/>
    </w:tblGrid>
    <w:tr>
      <w:trPr>
        <w:trHeight w:val="977"/>
      </w:trPr>
      <w:tc>
        <w:tcPr>
          <w:tcBorders>
            <w:top w:val="single" w:color="000000" w:sz="12" w:space="0"/>
            <w:left w:val="none" w:color="000000" w:sz="4" w:space="0"/>
            <w:bottom w:val="single" w:color="000000" w:sz="12" w:space="0"/>
            <w:right w:val="none" w:color="000000" w:sz="4" w:space="0"/>
          </w:tcBorders>
          <w:tcW w:w="2234" w:type="dxa"/>
          <w:vAlign w:val="center"/>
          <w:textDirection w:val="lrTb"/>
          <w:noWrap w:val="false"/>
        </w:tcPr>
        <w:p>
          <w:pPr>
            <w:pStyle w:val="834"/>
            <w:pBdr/>
            <w:spacing/>
            <w:ind/>
            <w:rPr>
              <w:rFonts w:ascii="Calibri" w:hAnsi="Calibri" w:cs="Calibri"/>
            </w:rPr>
          </w:pPr>
          <w:r>
            <w:rPr>
              <w:rFonts w:ascii="Calibri" w:hAnsi="Calibri" w:eastAsia="Calibri" w:cs="Calibri"/>
            </w:rPr>
            <mc:AlternateContent>
              <mc:Choice Requires="wpg">
                <w:drawing>
                  <wp:inline xmlns:wp="http://schemas.openxmlformats.org/drawingml/2006/wordprocessingDrawing" distT="0" distB="0" distL="0" distR="0">
                    <wp:extent cx="1079205" cy="51216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88156" name=""/>
                            <pic:cNvPicPr>
                              <a:picLocks noChangeAspect="1"/>
                            </pic:cNvPicPr>
                            <pic:nvPr/>
                          </pic:nvPicPr>
                          <pic:blipFill>
                            <a:blip r:embed="rId1"/>
                            <a:stretch/>
                          </pic:blipFill>
                          <pic:spPr bwMode="auto">
                            <a:xfrm flipH="0" flipV="0">
                              <a:off x="0" y="0"/>
                              <a:ext cx="1079203" cy="5121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4.98pt;height:40.33pt;mso-wrap-distance-left:0.00pt;mso-wrap-distance-top:0.00pt;mso-wrap-distance-right:0.00pt;mso-wrap-distance-bottom:0.00pt;z-index:1;" stroked="false">
                    <v:imagedata r:id="rId1" o:title=""/>
                    <o:lock v:ext="edit" rotation="t"/>
                  </v:shape>
                </w:pict>
              </mc:Fallback>
            </mc:AlternateContent>
          </w:r>
          <w:r>
            <w:rPr>
              <w:rFonts w:ascii="Calibri" w:hAnsi="Calibri" w:eastAsia="Calibri" w:cs="Calibri"/>
            </w:rPr>
          </w:r>
          <w:r>
            <w:rPr>
              <w:rFonts w:ascii="Calibri" w:hAnsi="Calibri" w:eastAsia="Calibri" w:cs="Calibri"/>
            </w:rPr>
          </w:r>
        </w:p>
      </w:tc>
      <w:tc>
        <w:tcPr>
          <w:tcBorders>
            <w:top w:val="single" w:color="000000" w:sz="12" w:space="0"/>
            <w:left w:val="none" w:color="000000" w:sz="4" w:space="0"/>
            <w:bottom w:val="single" w:color="000000" w:sz="12" w:space="0"/>
            <w:right w:val="none" w:color="000000" w:sz="4" w:space="0"/>
          </w:tcBorders>
          <w:tcW w:w="4819" w:type="dxa"/>
          <w:vAlign w:val="center"/>
          <w:textDirection w:val="lrTb"/>
          <w:noWrap w:val="false"/>
        </w:tcPr>
        <w:p>
          <w:pPr>
            <w:pStyle w:val="834"/>
            <w:pBdr/>
            <w:tabs>
              <w:tab w:val="clear" w:leader="none" w:pos="4819"/>
              <w:tab w:val="clear" w:leader="none" w:pos="9638"/>
            </w:tabs>
            <w:spacing/>
            <w:ind/>
            <w:jc w:val="center"/>
            <w:rPr>
              <w:rFonts w:ascii="Calibri" w:hAnsi="Calibri" w:eastAsia="Calibri" w:cs="Calibri"/>
              <w:b/>
              <w:bCs/>
              <w:sz w:val="24"/>
              <w:szCs w:val="24"/>
              <w14:ligatures w14:val="none"/>
            </w:rPr>
          </w:pPr>
          <w:r>
            <w:rPr>
              <w:rFonts w:ascii="Calibri" w:hAnsi="Calibri" w:eastAsia="Calibri" w:cs="Calibri"/>
              <w:b/>
              <w:bCs/>
              <w:sz w:val="24"/>
              <w:szCs w:val="24"/>
              <w:lang w:val="undefined"/>
            </w:rPr>
            <w:t xml:space="preserve">RAPPORTO CON LA PUBBLICA AMMINISTRAZIONE</w:t>
          </w:r>
          <w:r>
            <w:rPr>
              <w:rFonts w:ascii="Calibri" w:hAnsi="Calibri" w:eastAsia="Calibri" w:cs="Calibri"/>
              <w:b/>
              <w:bCs/>
              <w:sz w:val="24"/>
              <w:szCs w:val="24"/>
              <w:lang w:val="undefined"/>
            </w:rPr>
          </w:r>
        </w:p>
      </w:tc>
      <w:tc>
        <w:tcPr>
          <w:tcBorders>
            <w:top w:val="single" w:color="000000" w:sz="12" w:space="0"/>
            <w:left w:val="none" w:color="000000" w:sz="4" w:space="0"/>
            <w:bottom w:val="single" w:color="000000" w:sz="12" w:space="0"/>
            <w:right w:val="none" w:color="000000" w:sz="4" w:space="0"/>
          </w:tcBorders>
          <w:tcW w:w="2801" w:type="dxa"/>
          <w:vAlign w:val="center"/>
          <w:textDirection w:val="lrTb"/>
          <w:noWrap w:val="false"/>
        </w:tcPr>
        <w:p>
          <w:pPr>
            <w:pStyle w:val="834"/>
            <w:pBdr/>
            <w:tabs>
              <w:tab w:val="clear" w:leader="none" w:pos="4819"/>
              <w:tab w:val="clear" w:leader="none" w:pos="9638"/>
            </w:tabs>
            <w:spacing/>
            <w:ind/>
            <w:jc w:val="left"/>
            <w:rPr>
              <w:rFonts w:ascii="Calibri" w:hAnsi="Calibri" w:eastAsia="Calibri" w:cs="Calibri"/>
              <w:b w:val="0"/>
              <w:bCs w:val="0"/>
              <w:sz w:val="24"/>
              <w:szCs w:val="24"/>
              <w14:ligatures w14:val="none"/>
            </w:rPr>
          </w:pPr>
          <w:r>
            <w:rPr>
              <w:rFonts w:ascii="Calibri" w:hAnsi="Calibri" w:eastAsia="Calibri" w:cs="Calibri"/>
              <w:b w:val="0"/>
              <w:bCs w:val="0"/>
              <w:sz w:val="24"/>
              <w:szCs w:val="24"/>
              <w:lang w:val="undefined"/>
            </w:rPr>
            <w:t xml:space="preserve">P</w:t>
          </w:r>
          <w:r>
            <w:rPr>
              <w:rFonts w:ascii="Calibri" w:hAnsi="Calibri" w:eastAsia="Calibri" w:cs="Calibri"/>
              <w:b w:val="0"/>
              <w:bCs w:val="0"/>
              <w:sz w:val="24"/>
              <w:szCs w:val="24"/>
              <w:lang w:val="undefined"/>
            </w:rPr>
            <w:t xml:space="preserve"> 01.04</w:t>
          </w:r>
          <w:r>
            <w:rPr>
              <w:rFonts w:ascii="Calibri" w:hAnsi="Calibri" w:eastAsia="Calibri" w:cs="Calibri"/>
              <w:b w:val="0"/>
              <w:bCs w:val="0"/>
              <w:sz w:val="24"/>
              <w:szCs w:val="24"/>
              <w:lang w:val="undefined"/>
            </w:rPr>
            <w:t xml:space="preserve"> </w:t>
          </w:r>
          <w:r>
            <w:rPr>
              <w:rFonts w:ascii="Calibri" w:hAnsi="Calibri" w:eastAsia="Calibri" w:cs="Calibri"/>
              <w:b w:val="0"/>
              <w:bCs w:val="0"/>
              <w:sz w:val="24"/>
              <w:szCs w:val="24"/>
              <w:lang w:val="undefined" w:bidi="undefined"/>
            </w:rPr>
          </w:r>
          <w:r>
            <w:rPr>
              <w:rFonts w:ascii="Calibri" w:hAnsi="Calibri" w:eastAsia="Calibri" w:cs="Calibri"/>
              <w:b w:val="0"/>
              <w:bCs w:val="0"/>
              <w:sz w:val="24"/>
              <w:szCs w:val="24"/>
              <w:lang w:val="undefined"/>
            </w:rPr>
          </w:r>
        </w:p>
        <w:p>
          <w:pPr>
            <w:pStyle w:val="834"/>
            <w:pBdr/>
            <w:tabs>
              <w:tab w:val="clear" w:leader="none" w:pos="4819"/>
              <w:tab w:val="clear" w:leader="none" w:pos="9638"/>
            </w:tabs>
            <w:spacing/>
            <w:ind/>
            <w:jc w:val="left"/>
            <w:rPr>
              <w:rFonts w:ascii="Calibri" w:hAnsi="Calibri" w:eastAsia="Calibri" w:cs="Calibri"/>
              <w:b w:val="0"/>
              <w:bCs w:val="0"/>
              <w:sz w:val="24"/>
              <w:szCs w:val="24"/>
              <w14:ligatures w14:val="none"/>
            </w:rPr>
          </w:pPr>
          <w:r>
            <w:rPr>
              <w:rFonts w:ascii="Calibri" w:hAnsi="Calibri" w:eastAsia="Calibri" w:cs="Calibri"/>
              <w:b w:val="0"/>
              <w:bCs w:val="0"/>
              <w:sz w:val="24"/>
              <w:szCs w:val="24"/>
              <w:lang w:val="undefined"/>
            </w:rPr>
            <w:t xml:space="preserve">REV. 03</w:t>
          </w:r>
          <w:r>
            <w:rPr>
              <w:rFonts w:ascii="Calibri" w:hAnsi="Calibri" w:eastAsia="Calibri" w:cs="Calibri"/>
              <w:b w:val="0"/>
              <w:bCs w:val="0"/>
              <w:sz w:val="24"/>
              <w:szCs w:val="24"/>
              <w:lang w:val="undefined"/>
            </w:rPr>
            <w:t xml:space="preserve"> del 1</w:t>
          </w:r>
          <w:r>
            <w:rPr>
              <w:rFonts w:ascii="Calibri" w:hAnsi="Calibri" w:eastAsia="Calibri" w:cs="Calibri"/>
              <w:b w:val="0"/>
              <w:bCs w:val="0"/>
              <w:sz w:val="24"/>
              <w:szCs w:val="24"/>
              <w:lang w:val="undefined"/>
            </w:rPr>
            <w:t xml:space="preserve">6</w:t>
          </w:r>
          <w:r>
            <w:rPr>
              <w:rFonts w:ascii="Calibri" w:hAnsi="Calibri" w:eastAsia="Calibri" w:cs="Calibri"/>
              <w:b w:val="0"/>
              <w:bCs w:val="0"/>
              <w:sz w:val="24"/>
              <w:szCs w:val="24"/>
              <w:lang w:val="undefined"/>
            </w:rPr>
            <w:t xml:space="preserve">-0</w:t>
          </w:r>
          <w:r>
            <w:rPr>
              <w:rFonts w:ascii="Calibri" w:hAnsi="Calibri" w:eastAsia="Calibri" w:cs="Calibri"/>
              <w:b w:val="0"/>
              <w:bCs w:val="0"/>
              <w:sz w:val="24"/>
              <w:szCs w:val="24"/>
              <w:lang w:val="undefined"/>
            </w:rPr>
            <w:t xml:space="preserve">9</w:t>
          </w:r>
          <w:r>
            <w:rPr>
              <w:rFonts w:ascii="Calibri" w:hAnsi="Calibri" w:eastAsia="Calibri" w:cs="Calibri"/>
              <w:b w:val="0"/>
              <w:bCs w:val="0"/>
              <w:sz w:val="24"/>
              <w:szCs w:val="24"/>
              <w:lang w:val="undefined"/>
            </w:rPr>
            <w:t xml:space="preserve">-2025</w:t>
          </w:r>
          <w:r>
            <w:rPr>
              <w:rFonts w:ascii="Calibri" w:hAnsi="Calibri" w:eastAsia="Calibri" w:cs="Calibri"/>
              <w:b w:val="0"/>
              <w:bCs w:val="0"/>
              <w:sz w:val="24"/>
              <w:szCs w:val="24"/>
              <w:lang w:val="undefined" w:bidi="undefined"/>
            </w:rPr>
          </w:r>
          <w:r>
            <w:rPr>
              <w:rFonts w:ascii="Calibri" w:hAnsi="Calibri" w:eastAsia="Calibri" w:cs="Calibri"/>
              <w:b w:val="0"/>
              <w:bCs w:val="0"/>
              <w:sz w:val="24"/>
              <w:szCs w:val="24"/>
              <w:lang w:val="undefined"/>
            </w:rPr>
          </w:r>
        </w:p>
        <w:p>
          <w:pPr>
            <w:pStyle w:val="834"/>
            <w:pBdr/>
            <w:tabs>
              <w:tab w:val="clear" w:leader="none" w:pos="4819"/>
              <w:tab w:val="clear" w:leader="none" w:pos="9638"/>
            </w:tabs>
            <w:spacing/>
            <w:ind/>
            <w:jc w:val="left"/>
            <w:rPr>
              <w:rFonts w:ascii="Calibri" w:hAnsi="Calibri" w:eastAsia="Calibri" w:cs="Calibri"/>
              <w:b w:val="0"/>
              <w:bCs w:val="0"/>
              <w:sz w:val="24"/>
              <w:szCs w:val="24"/>
              <w14:ligatures w14:val="none"/>
            </w:rPr>
          </w:pPr>
          <w:r>
            <w:rPr>
              <w:rFonts w:ascii="Calibri" w:hAnsi="Calibri" w:eastAsia="Calibri" w:cs="Calibri"/>
              <w:b w:val="0"/>
              <w:bCs w:val="0"/>
              <w:sz w:val="24"/>
              <w:szCs w:val="24"/>
              <w:lang w:val="undefined"/>
            </w:rPr>
            <w:t xml:space="preserve">Pag. </w:t>
          </w:r>
          <w:r>
            <w:rPr>
              <w:rFonts w:ascii="Calibri" w:hAnsi="Calibri" w:eastAsia="Calibri" w:cs="Calibri"/>
              <w:b w:val="0"/>
              <w:bCs w:val="0"/>
              <w:sz w:val="24"/>
              <w:szCs w:val="24"/>
              <w:lang w:val="undefined"/>
            </w:rPr>
            <w:fldChar w:fldCharType="begin"/>
          </w:r>
          <w:r>
            <w:rPr>
              <w:rFonts w:ascii="Calibri" w:hAnsi="Calibri" w:eastAsia="Calibri" w:cs="Calibri"/>
              <w:b w:val="0"/>
              <w:bCs w:val="0"/>
              <w:sz w:val="24"/>
              <w:szCs w:val="24"/>
              <w:lang w:val="undefined"/>
            </w:rPr>
            <w:instrText xml:space="preserve">PAGE   \* MERGEFORMAT</w:instrText>
          </w:r>
          <w:r>
            <w:rPr>
              <w:rFonts w:ascii="Calibri" w:hAnsi="Calibri" w:eastAsia="Calibri" w:cs="Calibri"/>
              <w:b w:val="0"/>
              <w:bCs w:val="0"/>
              <w:sz w:val="24"/>
              <w:szCs w:val="24"/>
              <w:lang w:val="undefined"/>
            </w:rPr>
            <w:fldChar w:fldCharType="separate"/>
          </w:r>
          <w:r>
            <w:rPr>
              <w:rFonts w:ascii="Calibri" w:hAnsi="Calibri" w:eastAsia="Calibri" w:cs="Calibri"/>
              <w:b w:val="0"/>
              <w:bCs w:val="0"/>
              <w:sz w:val="24"/>
              <w:szCs w:val="24"/>
              <w:lang w:val="undefined"/>
            </w:rPr>
            <w:t xml:space="preserve">1</w:t>
          </w:r>
          <w:r>
            <w:rPr>
              <w:rFonts w:ascii="Calibri" w:hAnsi="Calibri" w:eastAsia="Calibri" w:cs="Calibri"/>
              <w:b w:val="0"/>
              <w:bCs w:val="0"/>
              <w:sz w:val="24"/>
              <w:szCs w:val="24"/>
              <w:lang w:val="undefined"/>
            </w:rPr>
            <w:fldChar w:fldCharType="end"/>
          </w:r>
          <w:r>
            <w:rPr>
              <w:rFonts w:ascii="Calibri" w:hAnsi="Calibri" w:eastAsia="Calibri" w:cs="Calibri"/>
              <w:b w:val="0"/>
              <w:bCs w:val="0"/>
              <w:sz w:val="24"/>
              <w:szCs w:val="24"/>
              <w:lang w:val="undefined" w:bidi="undefined"/>
            </w:rPr>
          </w:r>
          <w:r>
            <w:rPr>
              <w:rFonts w:ascii="Calibri" w:hAnsi="Calibri" w:eastAsia="Calibri" w:cs="Calibri"/>
              <w:b w:val="0"/>
              <w:bCs w:val="0"/>
              <w:sz w:val="24"/>
              <w:szCs w:val="24"/>
              <w:lang w:val="undefined"/>
            </w:rPr>
          </w:r>
        </w:p>
      </w:tc>
    </w:tr>
  </w:tbl>
  <w:p>
    <w:pPr>
      <w:pStyle w:val="83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
      <w:numFmt w:val="bullet"/>
      <w:pPr>
        <w:pBdr/>
        <w:tabs>
          <w:tab w:val="num" w:leader="none" w:pos="360"/>
        </w:tabs>
        <w:spacing/>
        <w:ind w:hanging="360" w:left="360"/>
      </w:pPr>
      <w:rPr>
        <w:rFonts w:hint="default"/>
      </w:rPr>
      <w:start w:val="4"/>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decimal"/>
      <w:pPr>
        <w:pBdr/>
        <w:spacing/>
        <w:ind w:hanging="360" w:left="1080"/>
      </w:pPr>
      <w:rPr>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
      <w:numFmt w:val="bullet"/>
      <w:pPr>
        <w:pBdr/>
        <w:spacing/>
        <w:ind w:hanging="360" w:left="1004"/>
      </w:pPr>
      <w:rPr>
        <w:rFonts w:hint="default" w:ascii="Symbol" w:hAnsi="Symbol"/>
      </w:rPr>
      <w:start w:val="1"/>
      <w:suff w:val="tab"/>
    </w:lvl>
    <w:lvl w:ilvl="1">
      <w:isLgl w:val="false"/>
      <w:lvlJc w:val="left"/>
      <w:lvlText w:val="o"/>
      <w:numFmt w:val="bullet"/>
      <w:pPr>
        <w:pBdr/>
        <w:spacing/>
        <w:ind w:hanging="360" w:left="1724"/>
      </w:pPr>
      <w:rPr>
        <w:rFonts w:hint="default" w:ascii="Courier New" w:hAnsi="Courier New" w:cs="Courier New"/>
      </w:rPr>
      <w:start w:val="1"/>
      <w:suff w:val="tab"/>
    </w:lvl>
    <w:lvl w:ilvl="2">
      <w:isLgl w:val="false"/>
      <w:lvlJc w:val="left"/>
      <w:lvlText w:val=""/>
      <w:numFmt w:val="bullet"/>
      <w:pPr>
        <w:pBdr/>
        <w:spacing/>
        <w:ind w:hanging="360" w:left="2444"/>
      </w:pPr>
      <w:rPr>
        <w:rFonts w:hint="default" w:ascii="Wingdings" w:hAnsi="Wingdings"/>
      </w:rPr>
      <w:start w:val="1"/>
      <w:suff w:val="tab"/>
    </w:lvl>
    <w:lvl w:ilvl="3">
      <w:isLgl w:val="false"/>
      <w:lvlJc w:val="left"/>
      <w:lvlText w:val=""/>
      <w:numFmt w:val="bullet"/>
      <w:pPr>
        <w:pBdr/>
        <w:spacing/>
        <w:ind w:hanging="360" w:left="3164"/>
      </w:pPr>
      <w:rPr>
        <w:rFonts w:hint="default" w:ascii="Symbol" w:hAnsi="Symbol"/>
      </w:rPr>
      <w:start w:val="1"/>
      <w:suff w:val="tab"/>
    </w:lvl>
    <w:lvl w:ilvl="4">
      <w:isLgl w:val="false"/>
      <w:lvlJc w:val="left"/>
      <w:lvlText w:val="o"/>
      <w:numFmt w:val="bullet"/>
      <w:pPr>
        <w:pBdr/>
        <w:spacing/>
        <w:ind w:hanging="360" w:left="3884"/>
      </w:pPr>
      <w:rPr>
        <w:rFonts w:hint="default" w:ascii="Courier New" w:hAnsi="Courier New" w:cs="Courier New"/>
      </w:rPr>
      <w:start w:val="1"/>
      <w:suff w:val="tab"/>
    </w:lvl>
    <w:lvl w:ilvl="5">
      <w:isLgl w:val="false"/>
      <w:lvlJc w:val="left"/>
      <w:lvlText w:val=""/>
      <w:numFmt w:val="bullet"/>
      <w:pPr>
        <w:pBdr/>
        <w:spacing/>
        <w:ind w:hanging="360" w:left="4604"/>
      </w:pPr>
      <w:rPr>
        <w:rFonts w:hint="default" w:ascii="Wingdings" w:hAnsi="Wingdings"/>
      </w:rPr>
      <w:start w:val="1"/>
      <w:suff w:val="tab"/>
    </w:lvl>
    <w:lvl w:ilvl="6">
      <w:isLgl w:val="false"/>
      <w:lvlJc w:val="left"/>
      <w:lvlText w:val=""/>
      <w:numFmt w:val="bullet"/>
      <w:pPr>
        <w:pBdr/>
        <w:spacing/>
        <w:ind w:hanging="360" w:left="5324"/>
      </w:pPr>
      <w:rPr>
        <w:rFonts w:hint="default" w:ascii="Symbol" w:hAnsi="Symbol"/>
      </w:rPr>
      <w:start w:val="1"/>
      <w:suff w:val="tab"/>
    </w:lvl>
    <w:lvl w:ilvl="7">
      <w:isLgl w:val="false"/>
      <w:lvlJc w:val="left"/>
      <w:lvlText w:val="o"/>
      <w:numFmt w:val="bullet"/>
      <w:pPr>
        <w:pBdr/>
        <w:spacing/>
        <w:ind w:hanging="360" w:left="6044"/>
      </w:pPr>
      <w:rPr>
        <w:rFonts w:hint="default" w:ascii="Courier New" w:hAnsi="Courier New" w:cs="Courier New"/>
      </w:rPr>
      <w:start w:val="1"/>
      <w:suff w:val="tab"/>
    </w:lvl>
    <w:lvl w:ilvl="8">
      <w:isLgl w:val="false"/>
      <w:lvlJc w:val="left"/>
      <w:lvlText w:val=""/>
      <w:numFmt w:val="bullet"/>
      <w:pPr>
        <w:pBdr/>
        <w:spacing/>
        <w:ind w:hanging="360" w:left="6764"/>
      </w:pPr>
      <w:rPr>
        <w:rFonts w:hint="default" w:ascii="Wingdings" w:hAnsi="Wingdings"/>
      </w:rPr>
      <w:start w:val="1"/>
      <w:suff w:val="tab"/>
    </w:lvl>
  </w:abstractNum>
  <w:abstractNum w:abstractNumId="9">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1">
    <w:lvl w:ilvl="0">
      <w:isLgl w:val="false"/>
      <w:lvlJc w:val="left"/>
      <w:lvlText w:val="%1.0"/>
      <w:numFmt w:val="decimal"/>
      <w:pPr>
        <w:pBdr/>
        <w:spacing/>
        <w:ind w:hanging="720" w:left="1440"/>
      </w:pPr>
      <w:rPr>
        <w:rFonts w:hint="default"/>
      </w:rPr>
      <w:start w:val="2"/>
      <w:suff w:val="tab"/>
    </w:lvl>
    <w:lvl w:ilvl="1">
      <w:isLgl w:val="false"/>
      <w:lvlJc w:val="left"/>
      <w:lvlText w:val="%1.%2"/>
      <w:numFmt w:val="decimal"/>
      <w:pPr>
        <w:pBdr/>
        <w:spacing/>
        <w:ind w:hanging="720" w:left="2148"/>
      </w:pPr>
      <w:rPr>
        <w:rFonts w:hint="default"/>
      </w:rPr>
      <w:start w:val="1"/>
      <w:suff w:val="tab"/>
    </w:lvl>
    <w:lvl w:ilvl="2">
      <w:isLgl w:val="false"/>
      <w:lvlJc w:val="left"/>
      <w:lvlText w:val="%1.%2.%3"/>
      <w:numFmt w:val="decimal"/>
      <w:pPr>
        <w:pBdr/>
        <w:spacing/>
        <w:ind w:hanging="720" w:left="2856"/>
      </w:pPr>
      <w:rPr>
        <w:rFonts w:hint="default"/>
      </w:rPr>
      <w:start w:val="1"/>
      <w:suff w:val="tab"/>
    </w:lvl>
    <w:lvl w:ilvl="3">
      <w:isLgl w:val="false"/>
      <w:lvlJc w:val="left"/>
      <w:lvlText w:val="%1.%2.%3.%4"/>
      <w:numFmt w:val="decimal"/>
      <w:pPr>
        <w:pBdr/>
        <w:spacing/>
        <w:ind w:hanging="1080" w:left="3924"/>
      </w:pPr>
      <w:rPr>
        <w:rFonts w:hint="default"/>
      </w:rPr>
      <w:start w:val="1"/>
      <w:suff w:val="tab"/>
    </w:lvl>
    <w:lvl w:ilvl="4">
      <w:isLgl w:val="false"/>
      <w:lvlJc w:val="left"/>
      <w:lvlText w:val="%1.%2.%3.%4.%5"/>
      <w:numFmt w:val="decimal"/>
      <w:pPr>
        <w:pBdr/>
        <w:spacing/>
        <w:ind w:hanging="1440" w:left="4992"/>
      </w:pPr>
      <w:rPr>
        <w:rFonts w:hint="default"/>
      </w:rPr>
      <w:start w:val="1"/>
      <w:suff w:val="tab"/>
    </w:lvl>
    <w:lvl w:ilvl="5">
      <w:isLgl w:val="false"/>
      <w:lvlJc w:val="left"/>
      <w:lvlText w:val="%1.%2.%3.%4.%5.%6"/>
      <w:numFmt w:val="decimal"/>
      <w:pPr>
        <w:pBdr/>
        <w:spacing/>
        <w:ind w:hanging="1440" w:left="5700"/>
      </w:pPr>
      <w:rPr>
        <w:rFonts w:hint="default"/>
      </w:rPr>
      <w:start w:val="1"/>
      <w:suff w:val="tab"/>
    </w:lvl>
    <w:lvl w:ilvl="6">
      <w:isLgl w:val="false"/>
      <w:lvlJc w:val="left"/>
      <w:lvlText w:val="%1.%2.%3.%4.%5.%6.%7"/>
      <w:numFmt w:val="decimal"/>
      <w:pPr>
        <w:pBdr/>
        <w:spacing/>
        <w:ind w:hanging="1800" w:left="6768"/>
      </w:pPr>
      <w:rPr>
        <w:rFonts w:hint="default"/>
      </w:rPr>
      <w:start w:val="1"/>
      <w:suff w:val="tab"/>
    </w:lvl>
    <w:lvl w:ilvl="7">
      <w:isLgl w:val="false"/>
      <w:lvlJc w:val="left"/>
      <w:lvlText w:val="%1.%2.%3.%4.%5.%6.%7.%8"/>
      <w:numFmt w:val="decimal"/>
      <w:pPr>
        <w:pBdr/>
        <w:spacing/>
        <w:ind w:hanging="2160" w:left="7836"/>
      </w:pPr>
      <w:rPr>
        <w:rFonts w:hint="default"/>
      </w:rPr>
      <w:start w:val="1"/>
      <w:suff w:val="tab"/>
    </w:lvl>
    <w:lvl w:ilvl="8">
      <w:isLgl w:val="false"/>
      <w:lvlJc w:val="left"/>
      <w:lvlText w:val="%1.%2.%3.%4.%5.%6.%7.%8.%9"/>
      <w:numFmt w:val="decimal"/>
      <w:pPr>
        <w:pBdr/>
        <w:spacing/>
        <w:ind w:hanging="2160" w:left="8544"/>
      </w:pPr>
      <w:rPr>
        <w:rFonts w:hint="default"/>
      </w:rPr>
      <w:start w:val="1"/>
      <w:suff w:val="tab"/>
    </w:lvl>
  </w:abstractNum>
  <w:abstractNum w:abstractNumI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
  </w:num>
  <w:num w:numId="2">
    <w:abstractNumId w:val="10"/>
  </w:num>
  <w:num w:numId="3">
    <w:abstractNumId w:val="1"/>
  </w:num>
  <w:num w:numId="4">
    <w:abstractNumId w:val="12"/>
  </w:num>
  <w:num w:numId="5">
    <w:abstractNumId w:val="13"/>
  </w:num>
  <w:num w:numId="6">
    <w:abstractNumId w:val="7"/>
  </w:num>
  <w:num w:numId="7">
    <w:abstractNumId w:val="14"/>
  </w:num>
  <w:num w:numId="8">
    <w:abstractNumId w:val="9"/>
  </w:num>
  <w:num w:numId="9">
    <w:abstractNumId w:val="5"/>
  </w:num>
  <w:num w:numId="10">
    <w:abstractNumId w:val="6"/>
  </w:num>
  <w:num w:numId="11">
    <w:abstractNumId w:val="8"/>
  </w:num>
  <w:num w:numId="12">
    <w:abstractNumId w:val="4"/>
  </w:num>
  <w:num w:numId="13">
    <w:abstractNumId w:val="3"/>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it-IT" w:eastAsia="it-IT"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83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8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3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3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3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3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3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3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3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3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3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3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3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3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3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3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3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3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3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3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3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3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3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3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3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3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3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3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3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3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3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3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3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3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3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3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3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3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3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3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3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3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3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3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3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3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3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3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3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3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3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3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3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3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3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3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83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83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83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83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83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3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3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3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3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3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3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3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3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5"/>
    <w:basedOn w:val="824"/>
    <w:next w:val="82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5">
    <w:name w:val="Heading 8"/>
    <w:basedOn w:val="824"/>
    <w:next w:val="82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824"/>
    <w:next w:val="82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831"/>
    <w:link w:val="825"/>
    <w:uiPriority w:val="9"/>
    <w:pPr>
      <w:pBdr/>
      <w:spacing/>
      <w:ind/>
    </w:pPr>
    <w:rPr>
      <w:rFonts w:ascii="Arial" w:hAnsi="Arial" w:eastAsia="Arial" w:cs="Arial"/>
      <w:color w:val="0f4761" w:themeColor="accent1" w:themeShade="BF"/>
      <w:sz w:val="40"/>
      <w:szCs w:val="40"/>
    </w:rPr>
  </w:style>
  <w:style w:type="character" w:styleId="150">
    <w:name w:val="Heading 2 Char"/>
    <w:basedOn w:val="831"/>
    <w:link w:val="826"/>
    <w:uiPriority w:val="9"/>
    <w:pPr>
      <w:pBdr/>
      <w:spacing/>
      <w:ind/>
    </w:pPr>
    <w:rPr>
      <w:rFonts w:ascii="Arial" w:hAnsi="Arial" w:eastAsia="Arial" w:cs="Arial"/>
      <w:color w:val="0f4761" w:themeColor="accent1" w:themeShade="BF"/>
      <w:sz w:val="32"/>
      <w:szCs w:val="32"/>
    </w:rPr>
  </w:style>
  <w:style w:type="character" w:styleId="151">
    <w:name w:val="Heading 3 Char"/>
    <w:basedOn w:val="831"/>
    <w:link w:val="827"/>
    <w:uiPriority w:val="9"/>
    <w:pPr>
      <w:pBdr/>
      <w:spacing/>
      <w:ind/>
    </w:pPr>
    <w:rPr>
      <w:rFonts w:ascii="Arial" w:hAnsi="Arial" w:eastAsia="Arial" w:cs="Arial"/>
      <w:color w:val="0f4761" w:themeColor="accent1" w:themeShade="BF"/>
      <w:sz w:val="28"/>
      <w:szCs w:val="28"/>
    </w:rPr>
  </w:style>
  <w:style w:type="character" w:styleId="152">
    <w:name w:val="Heading 4 Char"/>
    <w:basedOn w:val="831"/>
    <w:link w:val="828"/>
    <w:uiPriority w:val="9"/>
    <w:pPr>
      <w:pBdr/>
      <w:spacing/>
      <w:ind/>
    </w:pPr>
    <w:rPr>
      <w:rFonts w:ascii="Arial" w:hAnsi="Arial" w:eastAsia="Arial" w:cs="Arial"/>
      <w:i/>
      <w:iCs/>
      <w:color w:val="0f4761" w:themeColor="accent1" w:themeShade="BF"/>
    </w:rPr>
  </w:style>
  <w:style w:type="character" w:styleId="153">
    <w:name w:val="Heading 5 Char"/>
    <w:basedOn w:val="831"/>
    <w:link w:val="142"/>
    <w:uiPriority w:val="9"/>
    <w:pPr>
      <w:pBdr/>
      <w:spacing/>
      <w:ind/>
    </w:pPr>
    <w:rPr>
      <w:rFonts w:ascii="Arial" w:hAnsi="Arial" w:eastAsia="Arial" w:cs="Arial"/>
      <w:color w:val="0f4761" w:themeColor="accent1" w:themeShade="BF"/>
    </w:rPr>
  </w:style>
  <w:style w:type="character" w:styleId="154">
    <w:name w:val="Heading 6 Char"/>
    <w:basedOn w:val="831"/>
    <w:link w:val="829"/>
    <w:uiPriority w:val="9"/>
    <w:pPr>
      <w:pBdr/>
      <w:spacing/>
      <w:ind/>
    </w:pPr>
    <w:rPr>
      <w:rFonts w:ascii="Arial" w:hAnsi="Arial" w:eastAsia="Arial" w:cs="Arial"/>
      <w:i/>
      <w:iCs/>
      <w:color w:val="595959" w:themeColor="text1" w:themeTint="A6"/>
    </w:rPr>
  </w:style>
  <w:style w:type="character" w:styleId="155">
    <w:name w:val="Heading 7 Char"/>
    <w:basedOn w:val="831"/>
    <w:link w:val="830"/>
    <w:uiPriority w:val="9"/>
    <w:pPr>
      <w:pBdr/>
      <w:spacing/>
      <w:ind/>
    </w:pPr>
    <w:rPr>
      <w:rFonts w:ascii="Arial" w:hAnsi="Arial" w:eastAsia="Arial" w:cs="Arial"/>
      <w:color w:val="595959" w:themeColor="text1" w:themeTint="A6"/>
    </w:rPr>
  </w:style>
  <w:style w:type="character" w:styleId="156">
    <w:name w:val="Heading 8 Char"/>
    <w:basedOn w:val="831"/>
    <w:link w:val="145"/>
    <w:uiPriority w:val="9"/>
    <w:pPr>
      <w:pBdr/>
      <w:spacing/>
      <w:ind/>
    </w:pPr>
    <w:rPr>
      <w:rFonts w:ascii="Arial" w:hAnsi="Arial" w:eastAsia="Arial" w:cs="Arial"/>
      <w:i/>
      <w:iCs/>
      <w:color w:val="272727" w:themeColor="text1" w:themeTint="D8"/>
    </w:rPr>
  </w:style>
  <w:style w:type="character" w:styleId="157">
    <w:name w:val="Heading 9 Char"/>
    <w:basedOn w:val="831"/>
    <w:link w:val="146"/>
    <w:uiPriority w:val="9"/>
    <w:pPr>
      <w:pBdr/>
      <w:spacing/>
      <w:ind/>
    </w:pPr>
    <w:rPr>
      <w:rFonts w:ascii="Arial" w:hAnsi="Arial" w:eastAsia="Arial" w:cs="Arial"/>
      <w:i/>
      <w:iCs/>
      <w:color w:val="272727" w:themeColor="text1" w:themeTint="D8"/>
    </w:rPr>
  </w:style>
  <w:style w:type="paragraph" w:styleId="158">
    <w:name w:val="Title"/>
    <w:basedOn w:val="824"/>
    <w:next w:val="82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831"/>
    <w:link w:val="158"/>
    <w:uiPriority w:val="10"/>
    <w:pPr>
      <w:pBdr/>
      <w:spacing/>
      <w:ind/>
    </w:pPr>
    <w:rPr>
      <w:rFonts w:ascii="Arial" w:hAnsi="Arial" w:eastAsia="Arial" w:cs="Arial"/>
      <w:spacing w:val="-10"/>
      <w:sz w:val="56"/>
      <w:szCs w:val="56"/>
    </w:rPr>
  </w:style>
  <w:style w:type="paragraph" w:styleId="160">
    <w:name w:val="Subtitle"/>
    <w:basedOn w:val="824"/>
    <w:next w:val="824"/>
    <w:link w:val="161"/>
    <w:uiPriority w:val="11"/>
    <w:qFormat/>
    <w:pPr>
      <w:numPr>
        <w:ilvl w:val="1"/>
      </w:numPr>
      <w:pBdr/>
      <w:spacing/>
      <w:ind/>
    </w:pPr>
    <w:rPr>
      <w:color w:val="595959" w:themeColor="text1" w:themeTint="A6"/>
      <w:spacing w:val="15"/>
      <w:sz w:val="28"/>
      <w:szCs w:val="28"/>
    </w:rPr>
  </w:style>
  <w:style w:type="character" w:styleId="161">
    <w:name w:val="Subtitle Char"/>
    <w:basedOn w:val="831"/>
    <w:link w:val="160"/>
    <w:uiPriority w:val="11"/>
    <w:pPr>
      <w:pBdr/>
      <w:spacing/>
      <w:ind/>
    </w:pPr>
    <w:rPr>
      <w:color w:val="595959" w:themeColor="text1" w:themeTint="A6"/>
      <w:spacing w:val="15"/>
      <w:sz w:val="28"/>
      <w:szCs w:val="28"/>
    </w:rPr>
  </w:style>
  <w:style w:type="paragraph" w:styleId="162">
    <w:name w:val="Quote"/>
    <w:basedOn w:val="824"/>
    <w:next w:val="824"/>
    <w:link w:val="163"/>
    <w:uiPriority w:val="29"/>
    <w:qFormat/>
    <w:pPr>
      <w:pBdr/>
      <w:spacing w:before="160"/>
      <w:ind/>
      <w:jc w:val="center"/>
    </w:pPr>
    <w:rPr>
      <w:i/>
      <w:iCs/>
      <w:color w:val="404040" w:themeColor="text1" w:themeTint="BF"/>
    </w:rPr>
  </w:style>
  <w:style w:type="character" w:styleId="163">
    <w:name w:val="Quote Char"/>
    <w:basedOn w:val="831"/>
    <w:link w:val="162"/>
    <w:uiPriority w:val="29"/>
    <w:pPr>
      <w:pBdr/>
      <w:spacing/>
      <w:ind/>
    </w:pPr>
    <w:rPr>
      <w:i/>
      <w:iCs/>
      <w:color w:val="404040" w:themeColor="text1" w:themeTint="BF"/>
    </w:rPr>
  </w:style>
  <w:style w:type="paragraph" w:styleId="164">
    <w:name w:val="List Paragraph"/>
    <w:basedOn w:val="824"/>
    <w:uiPriority w:val="34"/>
    <w:qFormat/>
    <w:pPr>
      <w:pBdr/>
      <w:spacing/>
      <w:ind w:left="720"/>
      <w:contextualSpacing w:val="true"/>
    </w:pPr>
  </w:style>
  <w:style w:type="character" w:styleId="165">
    <w:name w:val="Intense Emphasis"/>
    <w:basedOn w:val="831"/>
    <w:uiPriority w:val="21"/>
    <w:qFormat/>
    <w:pPr>
      <w:pBdr/>
      <w:spacing/>
      <w:ind/>
    </w:pPr>
    <w:rPr>
      <w:i/>
      <w:iCs/>
      <w:color w:val="0f4761" w:themeColor="accent1" w:themeShade="BF"/>
    </w:rPr>
  </w:style>
  <w:style w:type="paragraph" w:styleId="166">
    <w:name w:val="Intense Quote"/>
    <w:basedOn w:val="824"/>
    <w:next w:val="82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831"/>
    <w:link w:val="166"/>
    <w:uiPriority w:val="30"/>
    <w:pPr>
      <w:pBdr/>
      <w:spacing/>
      <w:ind/>
    </w:pPr>
    <w:rPr>
      <w:i/>
      <w:iCs/>
      <w:color w:val="0f4761" w:themeColor="accent1" w:themeShade="BF"/>
    </w:rPr>
  </w:style>
  <w:style w:type="character" w:styleId="168">
    <w:name w:val="Intense Reference"/>
    <w:basedOn w:val="831"/>
    <w:uiPriority w:val="32"/>
    <w:qFormat/>
    <w:pPr>
      <w:pBdr/>
      <w:spacing/>
      <w:ind/>
    </w:pPr>
    <w:rPr>
      <w:b/>
      <w:bCs/>
      <w:smallCaps/>
      <w:color w:val="0f4761" w:themeColor="accent1" w:themeShade="BF"/>
      <w:spacing w:val="5"/>
    </w:rPr>
  </w:style>
  <w:style w:type="paragraph" w:styleId="169">
    <w:name w:val="No Spacing"/>
    <w:basedOn w:val="824"/>
    <w:uiPriority w:val="1"/>
    <w:qFormat/>
    <w:pPr>
      <w:pBdr/>
      <w:spacing w:after="0" w:line="240" w:lineRule="auto"/>
      <w:ind/>
    </w:pPr>
  </w:style>
  <w:style w:type="character" w:styleId="170">
    <w:name w:val="Subtle Emphasis"/>
    <w:basedOn w:val="831"/>
    <w:uiPriority w:val="19"/>
    <w:qFormat/>
    <w:pPr>
      <w:pBdr/>
      <w:spacing/>
      <w:ind/>
    </w:pPr>
    <w:rPr>
      <w:i/>
      <w:iCs/>
      <w:color w:val="404040" w:themeColor="text1" w:themeTint="BF"/>
    </w:rPr>
  </w:style>
  <w:style w:type="character" w:styleId="171">
    <w:name w:val="Emphasis"/>
    <w:basedOn w:val="831"/>
    <w:uiPriority w:val="20"/>
    <w:qFormat/>
    <w:pPr>
      <w:pBdr/>
      <w:spacing/>
      <w:ind/>
    </w:pPr>
    <w:rPr>
      <w:i/>
      <w:iCs/>
    </w:rPr>
  </w:style>
  <w:style w:type="character" w:styleId="172">
    <w:name w:val="Strong"/>
    <w:basedOn w:val="831"/>
    <w:uiPriority w:val="22"/>
    <w:qFormat/>
    <w:pPr>
      <w:pBdr/>
      <w:spacing/>
      <w:ind/>
    </w:pPr>
    <w:rPr>
      <w:b/>
      <w:bCs/>
    </w:rPr>
  </w:style>
  <w:style w:type="character" w:styleId="173">
    <w:name w:val="Subtle Reference"/>
    <w:basedOn w:val="831"/>
    <w:uiPriority w:val="31"/>
    <w:qFormat/>
    <w:pPr>
      <w:pBdr/>
      <w:spacing/>
      <w:ind/>
    </w:pPr>
    <w:rPr>
      <w:smallCaps/>
      <w:color w:val="5a5a5a" w:themeColor="text1" w:themeTint="A5"/>
    </w:rPr>
  </w:style>
  <w:style w:type="character" w:styleId="174">
    <w:name w:val="Book Title"/>
    <w:basedOn w:val="831"/>
    <w:uiPriority w:val="33"/>
    <w:qFormat/>
    <w:pPr>
      <w:pBdr/>
      <w:spacing/>
      <w:ind/>
    </w:pPr>
    <w:rPr>
      <w:b/>
      <w:bCs/>
      <w:i/>
      <w:iCs/>
      <w:spacing w:val="5"/>
    </w:rPr>
  </w:style>
  <w:style w:type="character" w:styleId="176">
    <w:name w:val="Header Char"/>
    <w:basedOn w:val="831"/>
    <w:link w:val="834"/>
    <w:uiPriority w:val="99"/>
    <w:pPr>
      <w:pBdr/>
      <w:spacing/>
      <w:ind/>
    </w:pPr>
  </w:style>
  <w:style w:type="character" w:styleId="178">
    <w:name w:val="Footer Char"/>
    <w:basedOn w:val="831"/>
    <w:link w:val="835"/>
    <w:uiPriority w:val="99"/>
    <w:pPr>
      <w:pBdr/>
      <w:spacing/>
      <w:ind/>
    </w:pPr>
  </w:style>
  <w:style w:type="paragraph" w:styleId="179">
    <w:name w:val="Caption"/>
    <w:basedOn w:val="824"/>
    <w:next w:val="824"/>
    <w:uiPriority w:val="35"/>
    <w:unhideWhenUsed/>
    <w:qFormat/>
    <w:pPr>
      <w:pBdr/>
      <w:spacing w:after="200" w:line="240" w:lineRule="auto"/>
      <w:ind/>
    </w:pPr>
    <w:rPr>
      <w:i/>
      <w:iCs/>
      <w:color w:val="0e2841" w:themeColor="text2"/>
      <w:sz w:val="18"/>
      <w:szCs w:val="18"/>
    </w:rPr>
  </w:style>
  <w:style w:type="paragraph" w:styleId="180">
    <w:name w:val="footnote text"/>
    <w:basedOn w:val="824"/>
    <w:link w:val="181"/>
    <w:uiPriority w:val="99"/>
    <w:semiHidden/>
    <w:unhideWhenUsed/>
    <w:pPr>
      <w:pBdr/>
      <w:spacing w:after="0" w:line="240" w:lineRule="auto"/>
      <w:ind/>
    </w:pPr>
    <w:rPr>
      <w:sz w:val="20"/>
      <w:szCs w:val="20"/>
    </w:rPr>
  </w:style>
  <w:style w:type="character" w:styleId="181">
    <w:name w:val="Footnote Text Char"/>
    <w:basedOn w:val="831"/>
    <w:link w:val="180"/>
    <w:uiPriority w:val="99"/>
    <w:semiHidden/>
    <w:pPr>
      <w:pBdr/>
      <w:spacing/>
      <w:ind/>
    </w:pPr>
    <w:rPr>
      <w:sz w:val="20"/>
      <w:szCs w:val="20"/>
    </w:rPr>
  </w:style>
  <w:style w:type="character" w:styleId="182">
    <w:name w:val="footnote reference"/>
    <w:basedOn w:val="831"/>
    <w:uiPriority w:val="99"/>
    <w:semiHidden/>
    <w:unhideWhenUsed/>
    <w:pPr>
      <w:pBdr/>
      <w:spacing/>
      <w:ind/>
    </w:pPr>
    <w:rPr>
      <w:vertAlign w:val="superscript"/>
    </w:rPr>
  </w:style>
  <w:style w:type="paragraph" w:styleId="183">
    <w:name w:val="endnote text"/>
    <w:basedOn w:val="824"/>
    <w:link w:val="184"/>
    <w:uiPriority w:val="99"/>
    <w:semiHidden/>
    <w:unhideWhenUsed/>
    <w:pPr>
      <w:pBdr/>
      <w:spacing w:after="0" w:line="240" w:lineRule="auto"/>
      <w:ind/>
    </w:pPr>
    <w:rPr>
      <w:sz w:val="20"/>
      <w:szCs w:val="20"/>
    </w:rPr>
  </w:style>
  <w:style w:type="character" w:styleId="184">
    <w:name w:val="Endnote Text Char"/>
    <w:basedOn w:val="831"/>
    <w:link w:val="183"/>
    <w:uiPriority w:val="99"/>
    <w:semiHidden/>
    <w:pPr>
      <w:pBdr/>
      <w:spacing/>
      <w:ind/>
    </w:pPr>
    <w:rPr>
      <w:sz w:val="20"/>
      <w:szCs w:val="20"/>
    </w:rPr>
  </w:style>
  <w:style w:type="character" w:styleId="185">
    <w:name w:val="endnote reference"/>
    <w:basedOn w:val="831"/>
    <w:uiPriority w:val="99"/>
    <w:semiHidden/>
    <w:unhideWhenUsed/>
    <w:pPr>
      <w:pBdr/>
      <w:spacing/>
      <w:ind/>
    </w:pPr>
    <w:rPr>
      <w:vertAlign w:val="superscript"/>
    </w:rPr>
  </w:style>
  <w:style w:type="character" w:styleId="186">
    <w:name w:val="Hyperlink"/>
    <w:basedOn w:val="831"/>
    <w:uiPriority w:val="99"/>
    <w:unhideWhenUsed/>
    <w:pPr>
      <w:pBdr/>
      <w:spacing/>
      <w:ind/>
    </w:pPr>
    <w:rPr>
      <w:color w:val="0563c1" w:themeColor="hyperlink"/>
      <w:u w:val="single"/>
    </w:rPr>
  </w:style>
  <w:style w:type="character" w:styleId="187">
    <w:name w:val="FollowedHyperlink"/>
    <w:basedOn w:val="831"/>
    <w:uiPriority w:val="99"/>
    <w:semiHidden/>
    <w:unhideWhenUsed/>
    <w:pPr>
      <w:pBdr/>
      <w:spacing/>
      <w:ind/>
    </w:pPr>
    <w:rPr>
      <w:color w:val="954f72" w:themeColor="followedHyperlink"/>
      <w:u w:val="single"/>
    </w:rPr>
  </w:style>
  <w:style w:type="paragraph" w:styleId="188">
    <w:name w:val="toc 1"/>
    <w:basedOn w:val="824"/>
    <w:next w:val="824"/>
    <w:uiPriority w:val="39"/>
    <w:unhideWhenUsed/>
    <w:pPr>
      <w:pBdr/>
      <w:spacing w:after="100"/>
      <w:ind/>
    </w:pPr>
  </w:style>
  <w:style w:type="paragraph" w:styleId="189">
    <w:name w:val="toc 2"/>
    <w:basedOn w:val="824"/>
    <w:next w:val="824"/>
    <w:uiPriority w:val="39"/>
    <w:unhideWhenUsed/>
    <w:pPr>
      <w:pBdr/>
      <w:spacing w:after="100"/>
      <w:ind w:left="220"/>
    </w:pPr>
  </w:style>
  <w:style w:type="paragraph" w:styleId="190">
    <w:name w:val="toc 3"/>
    <w:basedOn w:val="824"/>
    <w:next w:val="824"/>
    <w:uiPriority w:val="39"/>
    <w:unhideWhenUsed/>
    <w:pPr>
      <w:pBdr/>
      <w:spacing w:after="100"/>
      <w:ind w:left="440"/>
    </w:pPr>
  </w:style>
  <w:style w:type="paragraph" w:styleId="191">
    <w:name w:val="toc 4"/>
    <w:basedOn w:val="824"/>
    <w:next w:val="824"/>
    <w:uiPriority w:val="39"/>
    <w:unhideWhenUsed/>
    <w:pPr>
      <w:pBdr/>
      <w:spacing w:after="100"/>
      <w:ind w:left="660"/>
    </w:pPr>
  </w:style>
  <w:style w:type="paragraph" w:styleId="192">
    <w:name w:val="toc 5"/>
    <w:basedOn w:val="824"/>
    <w:next w:val="824"/>
    <w:uiPriority w:val="39"/>
    <w:unhideWhenUsed/>
    <w:pPr>
      <w:pBdr/>
      <w:spacing w:after="100"/>
      <w:ind w:left="880"/>
    </w:pPr>
  </w:style>
  <w:style w:type="paragraph" w:styleId="193">
    <w:name w:val="toc 6"/>
    <w:basedOn w:val="824"/>
    <w:next w:val="824"/>
    <w:uiPriority w:val="39"/>
    <w:unhideWhenUsed/>
    <w:pPr>
      <w:pBdr/>
      <w:spacing w:after="100"/>
      <w:ind w:left="1100"/>
    </w:pPr>
  </w:style>
  <w:style w:type="paragraph" w:styleId="194">
    <w:name w:val="toc 7"/>
    <w:basedOn w:val="824"/>
    <w:next w:val="824"/>
    <w:uiPriority w:val="39"/>
    <w:unhideWhenUsed/>
    <w:pPr>
      <w:pBdr/>
      <w:spacing w:after="100"/>
      <w:ind w:left="1320"/>
    </w:pPr>
  </w:style>
  <w:style w:type="paragraph" w:styleId="195">
    <w:name w:val="toc 8"/>
    <w:basedOn w:val="824"/>
    <w:next w:val="824"/>
    <w:uiPriority w:val="39"/>
    <w:unhideWhenUsed/>
    <w:pPr>
      <w:pBdr/>
      <w:spacing w:after="100"/>
      <w:ind w:left="1540"/>
    </w:pPr>
  </w:style>
  <w:style w:type="paragraph" w:styleId="196">
    <w:name w:val="toc 9"/>
    <w:basedOn w:val="824"/>
    <w:next w:val="824"/>
    <w:uiPriority w:val="39"/>
    <w:unhideWhenUsed/>
    <w:pPr>
      <w:pBdr/>
      <w:spacing w:after="100"/>
      <w:ind w:left="1760"/>
    </w:pPr>
  </w:style>
  <w:style w:type="character" w:styleId="197">
    <w:name w:val="Placeholder Text"/>
    <w:basedOn w:val="831"/>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824"/>
    <w:next w:val="824"/>
    <w:uiPriority w:val="99"/>
    <w:unhideWhenUsed/>
    <w:pPr>
      <w:pBdr/>
      <w:spacing w:after="0" w:afterAutospacing="0"/>
      <w:ind/>
    </w:pPr>
  </w:style>
  <w:style w:type="paragraph" w:styleId="824" w:default="1">
    <w:name w:val="Normal"/>
    <w:qFormat/>
    <w:pPr>
      <w:pBdr/>
      <w:spacing/>
      <w:ind/>
    </w:pPr>
  </w:style>
  <w:style w:type="paragraph" w:styleId="825">
    <w:name w:val="Heading 1"/>
    <w:basedOn w:val="824"/>
    <w:next w:val="824"/>
    <w:qFormat/>
    <w:pPr>
      <w:keepNext w:val="true"/>
      <w:pBdr/>
      <w:spacing w:after="60" w:before="240" w:line="360" w:lineRule="auto"/>
      <w:ind/>
      <w:jc w:val="both"/>
      <w:outlineLvl w:val="0"/>
    </w:pPr>
    <w:rPr>
      <w:b/>
      <w:sz w:val="24"/>
    </w:rPr>
  </w:style>
  <w:style w:type="paragraph" w:styleId="826">
    <w:name w:val="Heading 2"/>
    <w:basedOn w:val="824"/>
    <w:next w:val="824"/>
    <w:qFormat/>
    <w:pPr>
      <w:keepNext w:val="true"/>
      <w:pBdr/>
      <w:spacing/>
      <w:ind/>
      <w:outlineLvl w:val="1"/>
    </w:pPr>
    <w:rPr>
      <w:b/>
    </w:rPr>
  </w:style>
  <w:style w:type="paragraph" w:styleId="827">
    <w:name w:val="Heading 3"/>
    <w:basedOn w:val="824"/>
    <w:next w:val="824"/>
    <w:qFormat/>
    <w:pPr>
      <w:keepNext w:val="true"/>
      <w:pBdr/>
      <w:spacing/>
      <w:ind/>
      <w:outlineLvl w:val="2"/>
    </w:pPr>
    <w:rPr>
      <w:u w:val="single"/>
    </w:rPr>
  </w:style>
  <w:style w:type="paragraph" w:styleId="828">
    <w:name w:val="Heading 4"/>
    <w:basedOn w:val="824"/>
    <w:next w:val="824"/>
    <w:qFormat/>
    <w:pPr>
      <w:keepNext w:val="true"/>
      <w:pBdr/>
      <w:spacing/>
      <w:ind/>
      <w:outlineLvl w:val="3"/>
    </w:pPr>
    <w:rPr>
      <w:i/>
    </w:rPr>
  </w:style>
  <w:style w:type="paragraph" w:styleId="829">
    <w:name w:val="Heading 6"/>
    <w:basedOn w:val="824"/>
    <w:next w:val="824"/>
    <w:qFormat/>
    <w:pPr>
      <w:keepNext w:val="true"/>
      <w:pBdr/>
      <w:spacing w:line="360" w:lineRule="auto"/>
      <w:ind/>
      <w:jc w:val="both"/>
      <w:outlineLvl w:val="5"/>
    </w:pPr>
    <w:rPr>
      <w:b/>
    </w:rPr>
  </w:style>
  <w:style w:type="paragraph" w:styleId="830">
    <w:name w:val="Heading 7"/>
    <w:basedOn w:val="824"/>
    <w:next w:val="824"/>
    <w:qFormat/>
    <w:pPr>
      <w:keepNext w:val="true"/>
      <w:pBdr/>
      <w:spacing/>
      <w:ind/>
      <w:jc w:val="both"/>
      <w:outlineLvl w:val="6"/>
    </w:pPr>
    <w:rPr>
      <w:b/>
      <w:sz w:val="24"/>
      <w:u w:val="single"/>
    </w:rPr>
  </w:style>
  <w:style w:type="character" w:styleId="831" w:default="1">
    <w:name w:val="Default Paragraph Font"/>
    <w:uiPriority w:val="1"/>
    <w:semiHidden/>
    <w:unhideWhenUsed/>
    <w:pPr>
      <w:pBdr/>
      <w:spacing/>
      <w:ind/>
    </w:pPr>
  </w:style>
  <w:style w:type="table" w:styleId="83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3" w:default="1">
    <w:name w:val="No List"/>
    <w:uiPriority w:val="99"/>
    <w:semiHidden/>
    <w:unhideWhenUsed/>
    <w:pPr>
      <w:pBdr/>
      <w:spacing/>
      <w:ind/>
    </w:pPr>
  </w:style>
  <w:style w:type="paragraph" w:styleId="834">
    <w:name w:val="Header"/>
    <w:basedOn w:val="824"/>
    <w:pPr>
      <w:pBdr/>
      <w:tabs>
        <w:tab w:val="center" w:leader="none" w:pos="4819"/>
        <w:tab w:val="right" w:leader="none" w:pos="9638"/>
      </w:tabs>
      <w:spacing/>
      <w:ind/>
    </w:pPr>
  </w:style>
  <w:style w:type="paragraph" w:styleId="835">
    <w:name w:val="Footer"/>
    <w:basedOn w:val="824"/>
    <w:pPr>
      <w:pBdr/>
      <w:tabs>
        <w:tab w:val="center" w:leader="none" w:pos="4819"/>
        <w:tab w:val="right" w:leader="none" w:pos="9638"/>
      </w:tabs>
      <w:spacing/>
      <w:ind/>
    </w:pPr>
  </w:style>
  <w:style w:type="character" w:styleId="836">
    <w:name w:val="page number"/>
    <w:basedOn w:val="831"/>
    <w:pPr>
      <w:pBdr/>
      <w:spacing/>
      <w:ind/>
    </w:pPr>
  </w:style>
  <w:style w:type="paragraph" w:styleId="837">
    <w:name w:val="Balloon Text"/>
    <w:basedOn w:val="824"/>
    <w:link w:val="838"/>
    <w:pPr>
      <w:pBdr/>
      <w:spacing/>
      <w:ind/>
    </w:pPr>
    <w:rPr>
      <w:rFonts w:ascii="Tahoma" w:hAnsi="Tahoma" w:cs="Tahoma"/>
      <w:sz w:val="16"/>
      <w:szCs w:val="16"/>
    </w:rPr>
  </w:style>
  <w:style w:type="character" w:styleId="838" w:customStyle="1">
    <w:name w:val="Testo fumetto Carattere"/>
    <w:basedOn w:val="831"/>
    <w:link w:val="837"/>
    <w:pPr>
      <w:pBdr/>
      <w:spacing/>
      <w:ind/>
    </w:pPr>
    <w:rPr>
      <w:rFonts w:ascii="Tahoma" w:hAnsi="Tahoma" w:cs="Tahoma"/>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AF230D-26F4-4BB4-B7E1-B2EBE5438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onlyoffice/9.0.3.29</Application>
  <DocSecurity>0</DocSecurity>
  <ScaleCrop>0</ScaleCrop>
  <HeadingPairs>
    <vt:vector size="0" baseType="variant"/>
  </HeadingPairs>
  <TitlesOfParts>
    <vt:vector size="0" baseType="lpstr"/>
  </TitlesOfParts>
  <Company>Novaconsult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 05.02 Comunicazione Interna</dc:title>
  <dc:creator>Francesco San Martino</dc:creator>
  <cp:keywords>ISO 9001</cp:keywords>
  <cp:lastModifiedBy>Francesco Scavello</cp:lastModifiedBy>
  <cp:revision>34</cp:revision>
  <dcterms:created xsi:type="dcterms:W3CDTF">2015-09-10T07:58:00Z</dcterms:created>
  <dcterms:modified xsi:type="dcterms:W3CDTF">2025-11-10T10:52:28Z</dcterms:modified>
</cp:coreProperties>
</file>