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widowControl w:val="false"/>
        <w:numPr>
          <w:ilvl w:val="0"/>
          <w:numId w:val="20"/>
        </w:numPr>
        <w:pBdr/>
        <w:spacing w:line="276" w:lineRule="auto"/>
        <w:ind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Scopo</w:t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La presente procedura ha lo scopo di definire le responsabilità e le modalità di effettuazione di qualsiasi forma di sponsorizzazione, </w:t>
      </w:r>
      <w:r>
        <w:rPr>
          <w:rFonts w:asciiTheme="minorHAnsi" w:hAnsiTheme="minorHAnsi" w:cstheme="minorHAnsi"/>
          <w:sz w:val="22"/>
          <w:szCs w:val="22"/>
        </w:rPr>
        <w:t xml:space="preserve">donazione, omaggio, liberalità o beneficio, erogati su iniziativa di Agrumigel a favore di terzi o a seguito di richiesta di enti terzi.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Gli obiettivi sono: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17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</w:t>
      </w:r>
      <w:r>
        <w:rPr>
          <w:rFonts w:asciiTheme="minorHAnsi" w:hAnsiTheme="minorHAnsi" w:cstheme="minorHAnsi"/>
          <w:sz w:val="22"/>
          <w:szCs w:val="22"/>
        </w:rPr>
        <w:t xml:space="preserve">ndividuare le modalità </w:t>
      </w:r>
      <w:r>
        <w:rPr>
          <w:rFonts w:asciiTheme="minorHAnsi" w:hAnsiTheme="minorHAnsi" w:cstheme="minorHAnsi"/>
          <w:sz w:val="22"/>
          <w:szCs w:val="22"/>
        </w:rPr>
        <w:t xml:space="preserve">per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effettuare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donazioni/</w:t>
      </w:r>
      <w:r>
        <w:rPr>
          <w:rFonts w:asciiTheme="minorHAnsi" w:hAnsiTheme="minorHAnsi" w:cstheme="minorHAnsi"/>
          <w:sz w:val="22"/>
          <w:szCs w:val="22"/>
        </w:rPr>
        <w:t xml:space="preserve">sponsorizzazioni e</w:t>
      </w:r>
      <w:r>
        <w:rPr>
          <w:rFonts w:asciiTheme="minorHAnsi" w:hAnsiTheme="minorHAnsi" w:cstheme="minorHAnsi"/>
          <w:sz w:val="22"/>
          <w:szCs w:val="22"/>
        </w:rPr>
        <w:t xml:space="preserve"> gli</w:t>
      </w:r>
      <w:r>
        <w:rPr>
          <w:rFonts w:asciiTheme="minorHAnsi" w:hAnsiTheme="minorHAnsi" w:cstheme="minorHAnsi"/>
          <w:sz w:val="22"/>
          <w:szCs w:val="22"/>
        </w:rPr>
        <w:t xml:space="preserve"> adempimenti conseguenti;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17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</w:t>
      </w:r>
      <w:r>
        <w:rPr>
          <w:rFonts w:asciiTheme="minorHAnsi" w:hAnsiTheme="minorHAnsi" w:cstheme="minorHAnsi"/>
          <w:sz w:val="22"/>
          <w:szCs w:val="22"/>
        </w:rPr>
        <w:t xml:space="preserve">ndividuare i responsabili della gestione delle </w:t>
      </w:r>
      <w:r>
        <w:rPr>
          <w:rFonts w:asciiTheme="minorHAnsi" w:hAnsiTheme="minorHAnsi" w:cstheme="minorHAnsi"/>
          <w:sz w:val="22"/>
          <w:szCs w:val="22"/>
        </w:rPr>
        <w:t xml:space="preserve">donazioni/</w:t>
      </w:r>
      <w:r>
        <w:rPr>
          <w:rFonts w:asciiTheme="minorHAnsi" w:hAnsiTheme="minorHAnsi" w:cstheme="minorHAnsi"/>
          <w:sz w:val="22"/>
          <w:szCs w:val="22"/>
        </w:rPr>
        <w:t xml:space="preserve">sponsorizzazioni e i relativi compiti.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Agrumi</w:t>
      </w:r>
      <w:r>
        <w:rPr>
          <w:rFonts w:asciiTheme="minorHAnsi" w:hAnsiTheme="minorHAnsi" w:cstheme="minorHAnsi"/>
          <w:sz w:val="22"/>
          <w:szCs w:val="22"/>
        </w:rPr>
        <w:t xml:space="preserve">-</w:t>
      </w:r>
      <w:r>
        <w:rPr>
          <w:rFonts w:asciiTheme="minorHAnsi" w:hAnsiTheme="minorHAnsi" w:cstheme="minorHAnsi"/>
          <w:sz w:val="22"/>
          <w:szCs w:val="22"/>
        </w:rPr>
        <w:t xml:space="preserve">gel può </w:t>
      </w:r>
      <w:r>
        <w:rPr>
          <w:rFonts w:asciiTheme="minorHAnsi" w:hAnsiTheme="minorHAnsi" w:cstheme="minorHAnsi"/>
          <w:sz w:val="22"/>
          <w:szCs w:val="22"/>
        </w:rPr>
        <w:t xml:space="preserve">fare donazioni/</w:t>
      </w:r>
      <w:r>
        <w:rPr>
          <w:rFonts w:asciiTheme="minorHAnsi" w:hAnsiTheme="minorHAnsi" w:cstheme="minorHAnsi"/>
          <w:sz w:val="22"/>
          <w:szCs w:val="22"/>
        </w:rPr>
        <w:t xml:space="preserve">sponsorizzazioni a seguito di una valutazione multidisciplinare rispondente ai seguenti criteri: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18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finalità lecita della </w:t>
      </w:r>
      <w:r>
        <w:rPr>
          <w:rFonts w:asciiTheme="minorHAnsi" w:hAnsiTheme="minorHAnsi" w:cstheme="minorHAnsi"/>
          <w:sz w:val="22"/>
          <w:szCs w:val="22"/>
        </w:rPr>
        <w:t xml:space="preserve">donazione/</w:t>
      </w:r>
      <w:r>
        <w:rPr>
          <w:rFonts w:asciiTheme="minorHAnsi" w:hAnsiTheme="minorHAnsi" w:cstheme="minorHAnsi"/>
          <w:sz w:val="22"/>
          <w:szCs w:val="22"/>
        </w:rPr>
        <w:t xml:space="preserve">sponsorizzazione;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18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compatibilità della </w:t>
      </w:r>
      <w:r>
        <w:rPr>
          <w:rFonts w:asciiTheme="minorHAnsi" w:hAnsiTheme="minorHAnsi" w:cstheme="minorHAnsi"/>
          <w:sz w:val="22"/>
          <w:szCs w:val="22"/>
        </w:rPr>
        <w:t xml:space="preserve">donazione/</w:t>
      </w:r>
      <w:r>
        <w:rPr>
          <w:rFonts w:asciiTheme="minorHAnsi" w:hAnsiTheme="minorHAnsi" w:cstheme="minorHAnsi"/>
          <w:sz w:val="22"/>
          <w:szCs w:val="22"/>
        </w:rPr>
        <w:t xml:space="preserve">sponsorizzazione con l’interesse pubblico e con i fini istituzionali dell’Azienda;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18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sostenibilità degli effetti della </w:t>
      </w:r>
      <w:r>
        <w:rPr>
          <w:rFonts w:asciiTheme="minorHAnsi" w:hAnsiTheme="minorHAnsi" w:cstheme="minorHAnsi"/>
          <w:sz w:val="22"/>
          <w:szCs w:val="22"/>
        </w:rPr>
        <w:t xml:space="preserve">donazione/</w:t>
      </w:r>
      <w:r>
        <w:rPr>
          <w:rFonts w:asciiTheme="minorHAnsi" w:hAnsiTheme="minorHAnsi" w:cstheme="minorHAnsi"/>
          <w:sz w:val="22"/>
          <w:szCs w:val="22"/>
        </w:rPr>
        <w:t xml:space="preserve">sponsorizzazione sia in termini economici sia in termini organizzativi;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L’azienda si riserva di rifiutare qualsiasi </w:t>
      </w:r>
      <w:r>
        <w:rPr>
          <w:rFonts w:asciiTheme="minorHAnsi" w:hAnsiTheme="minorHAnsi" w:cstheme="minorHAnsi"/>
          <w:sz w:val="22"/>
          <w:szCs w:val="22"/>
        </w:rPr>
        <w:t xml:space="preserve">donazione/</w:t>
      </w:r>
      <w:r>
        <w:rPr>
          <w:rFonts w:asciiTheme="minorHAnsi" w:hAnsiTheme="minorHAnsi" w:cstheme="minorHAnsi"/>
          <w:sz w:val="22"/>
          <w:szCs w:val="22"/>
        </w:rPr>
        <w:t xml:space="preserve">sponsorizzazione non rispondente ai criteri di cui sopra e comunque, quando vi sia il rischio di un danno all’immagine dell’azienda, il rischio di conflitto di interessi tra </w:t>
      </w:r>
      <w:r>
        <w:rPr>
          <w:rFonts w:asciiTheme="minorHAnsi" w:hAnsiTheme="minorHAnsi" w:cstheme="minorHAnsi"/>
          <w:sz w:val="22"/>
          <w:szCs w:val="22"/>
        </w:rPr>
        <w:t xml:space="preserve">Donatore/</w:t>
      </w:r>
      <w:r>
        <w:rPr>
          <w:rFonts w:asciiTheme="minorHAnsi" w:hAnsiTheme="minorHAnsi" w:cstheme="minorHAnsi"/>
          <w:sz w:val="22"/>
          <w:szCs w:val="22"/>
        </w:rPr>
        <w:t xml:space="preserve">Sponsor e Azienda e/o la </w:t>
      </w:r>
      <w:r>
        <w:rPr>
          <w:rFonts w:asciiTheme="minorHAnsi" w:hAnsiTheme="minorHAnsi" w:cstheme="minorHAnsi"/>
          <w:sz w:val="22"/>
          <w:szCs w:val="22"/>
        </w:rPr>
        <w:t xml:space="preserve">donazione/</w:t>
      </w:r>
      <w:r>
        <w:rPr>
          <w:rFonts w:asciiTheme="minorHAnsi" w:hAnsiTheme="minorHAnsi" w:cstheme="minorHAnsi"/>
          <w:sz w:val="22"/>
          <w:szCs w:val="22"/>
        </w:rPr>
        <w:t xml:space="preserve">sponsorizzazione comporti un vincolo in un ordine d’acquisto di beni o pagamento di denaro per servizi o beni accessori.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Tale procedura, è stata redatta in conformi</w:t>
      </w:r>
      <w:r>
        <w:rPr>
          <w:rFonts w:asciiTheme="minorHAnsi" w:hAnsiTheme="minorHAnsi" w:cstheme="minorHAnsi"/>
          <w:sz w:val="22"/>
          <w:szCs w:val="22"/>
        </w:rPr>
        <w:t xml:space="preserve">tà ai requisiti indicati dal D.L</w:t>
      </w:r>
      <w:r>
        <w:rPr>
          <w:rFonts w:asciiTheme="minorHAnsi" w:hAnsiTheme="minorHAnsi" w:cstheme="minorHAnsi"/>
          <w:sz w:val="22"/>
          <w:szCs w:val="22"/>
        </w:rPr>
        <w:t xml:space="preserve">gs 231/01, costituisce parte integrante del Modello 231.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20"/>
        </w:numPr>
        <w:pBdr/>
        <w:spacing w:line="276" w:lineRule="auto"/>
        <w:ind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Campo di applicazione</w:t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La presente procedura si applica ai seguenti destinatari dell’Agrumi</w:t>
      </w:r>
      <w:r>
        <w:rPr>
          <w:rFonts w:asciiTheme="minorHAnsi" w:hAnsiTheme="minorHAnsi" w:cstheme="minorHAnsi"/>
          <w:sz w:val="22"/>
          <w:szCs w:val="22"/>
        </w:rPr>
        <w:t xml:space="preserve">-</w:t>
      </w:r>
      <w:r>
        <w:rPr>
          <w:rFonts w:asciiTheme="minorHAnsi" w:hAnsiTheme="minorHAnsi" w:cstheme="minorHAnsi"/>
          <w:sz w:val="22"/>
          <w:szCs w:val="22"/>
        </w:rPr>
        <w:t xml:space="preserve">gel: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13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Amministratore Unico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13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Procuratore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13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Ufficio Affari Generali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13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Ufficio commerciale, </w:t>
      </w:r>
      <w:r>
        <w:rPr>
          <w:rFonts w:asciiTheme="minorHAnsi" w:hAnsiTheme="minorHAnsi" w:cstheme="minorHAnsi"/>
          <w:sz w:val="22"/>
          <w:szCs w:val="22"/>
        </w:rPr>
        <w:t xml:space="preserve">Ufficio </w:t>
      </w:r>
      <w:r>
        <w:rPr>
          <w:rFonts w:asciiTheme="minorHAnsi" w:hAnsiTheme="minorHAnsi" w:cstheme="minorHAnsi"/>
          <w:sz w:val="22"/>
          <w:szCs w:val="22"/>
        </w:rPr>
        <w:t xml:space="preserve">acquist</w:t>
      </w:r>
      <w:r>
        <w:rPr>
          <w:rFonts w:asciiTheme="minorHAnsi" w:hAnsiTheme="minorHAnsi" w:cstheme="minorHAnsi"/>
          <w:sz w:val="22"/>
          <w:szCs w:val="22"/>
        </w:rPr>
        <w:t xml:space="preserve">i</w:t>
      </w:r>
      <w:r>
        <w:rPr>
          <w:rFonts w:asciiTheme="minorHAnsi" w:hAnsiTheme="minorHAnsi" w:cstheme="minorHAnsi"/>
          <w:sz w:val="22"/>
          <w:szCs w:val="22"/>
        </w:rPr>
        <w:t xml:space="preserve"> e magazzino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13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Responsabile amministrazione, fiscalità e finanza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Resta inteso che le disposizioni si applicano anche ai soggetti terzi (persone fisiche e giuridiche) che intervengono.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20"/>
        </w:numPr>
        <w:pBdr/>
        <w:spacing w:line="276" w:lineRule="auto"/>
        <w:ind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Riferimenti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widowControl w:val="false"/>
        <w:numPr>
          <w:ilvl w:val="0"/>
          <w:numId w:val="14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D.Lgs. 231/2001;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14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Codice Etico;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14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Modello di Organizzazione, Gestione e Controllo ex D.Lgs. 231/2001.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20"/>
        </w:numPr>
        <w:pBdr/>
        <w:spacing w:line="276" w:lineRule="auto"/>
        <w:ind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Definizioni</w:t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u w:val="single"/>
        </w:rPr>
        <w:t xml:space="preserve">Liberalità/Donazione/Erogazione</w:t>
      </w:r>
      <w:r>
        <w:rPr>
          <w:rFonts w:asciiTheme="minorHAnsi" w:hAnsiTheme="minorHAnsi" w:cstheme="minorHAnsi"/>
          <w:sz w:val="22"/>
          <w:szCs w:val="22"/>
        </w:rPr>
        <w:t xml:space="preserve">: cessione a titolo gratuito di denaro, erogati da Agrumi</w:t>
      </w:r>
      <w:r>
        <w:rPr>
          <w:rFonts w:asciiTheme="minorHAnsi" w:hAnsiTheme="minorHAnsi" w:cstheme="minorHAnsi"/>
          <w:sz w:val="22"/>
          <w:szCs w:val="22"/>
        </w:rPr>
        <w:t xml:space="preserve">-</w:t>
      </w:r>
      <w:r>
        <w:rPr>
          <w:rFonts w:asciiTheme="minorHAnsi" w:hAnsiTheme="minorHAnsi" w:cstheme="minorHAnsi"/>
          <w:sz w:val="22"/>
          <w:szCs w:val="22"/>
        </w:rPr>
        <w:t xml:space="preserve">gel a terzi;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u w:val="single"/>
        </w:rPr>
        <w:t xml:space="preserve">Sponsorizzazione</w:t>
      </w:r>
      <w:r>
        <w:rPr>
          <w:rFonts w:asciiTheme="minorHAnsi" w:hAnsiTheme="minorHAnsi" w:cstheme="minorHAnsi"/>
          <w:sz w:val="22"/>
          <w:szCs w:val="22"/>
        </w:rPr>
        <w:t xml:space="preserve">: accordo che prevede la fornitura di prodotto e/o servizi, denaro da parte di Agrumigel a fronte di pubblicità, attività promo-pubblicitarie e qualsiasi altra forma di visibilità dell’azienda;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u w:val="single"/>
        </w:rPr>
        <w:t xml:space="preserve">Attività promozionali</w:t>
      </w:r>
      <w:r>
        <w:rPr>
          <w:rFonts w:asciiTheme="minorHAnsi" w:hAnsiTheme="minorHAnsi" w:cstheme="minorHAnsi"/>
          <w:sz w:val="22"/>
          <w:szCs w:val="22"/>
        </w:rPr>
        <w:t xml:space="preserve">: si fa riferimento ad attività finalizzate a pubblicizzare Agrumi</w:t>
      </w:r>
      <w:r>
        <w:rPr>
          <w:rFonts w:asciiTheme="minorHAnsi" w:hAnsiTheme="minorHAnsi" w:cstheme="minorHAnsi"/>
          <w:sz w:val="22"/>
          <w:szCs w:val="22"/>
        </w:rPr>
        <w:t xml:space="preserve">-</w:t>
      </w:r>
      <w:r>
        <w:rPr>
          <w:rFonts w:asciiTheme="minorHAnsi" w:hAnsiTheme="minorHAnsi" w:cstheme="minorHAnsi"/>
          <w:sz w:val="22"/>
          <w:szCs w:val="22"/>
        </w:rPr>
        <w:t xml:space="preserve">gel e i suoi prodotti.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20"/>
        </w:numPr>
        <w:pBdr/>
        <w:spacing w:line="276" w:lineRule="auto"/>
        <w:ind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Principi di comportamento</w:t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Come indicato nel codice etico del Modello 231 adottato da Agrumi</w:t>
      </w:r>
      <w:r>
        <w:rPr>
          <w:rFonts w:asciiTheme="minorHAnsi" w:hAnsiTheme="minorHAnsi" w:cstheme="minorHAnsi"/>
          <w:sz w:val="22"/>
          <w:szCs w:val="22"/>
        </w:rPr>
        <w:t xml:space="preserve">-</w:t>
      </w:r>
      <w:r>
        <w:rPr>
          <w:rFonts w:asciiTheme="minorHAnsi" w:hAnsiTheme="minorHAnsi" w:cstheme="minorHAnsi"/>
          <w:sz w:val="22"/>
          <w:szCs w:val="22"/>
        </w:rPr>
        <w:t xml:space="preserve">gel, è vietato: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15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effettuare regali e</w:t>
      </w:r>
      <w:r>
        <w:rPr>
          <w:rFonts w:asciiTheme="minorHAnsi" w:hAnsiTheme="minorHAnsi" w:cstheme="minorHAnsi"/>
          <w:sz w:val="22"/>
          <w:szCs w:val="22"/>
        </w:rPr>
        <w:t xml:space="preserve">/o</w:t>
      </w:r>
      <w:r>
        <w:rPr>
          <w:rFonts w:asciiTheme="minorHAnsi" w:hAnsiTheme="minorHAnsi" w:cstheme="minorHAnsi"/>
          <w:sz w:val="22"/>
          <w:szCs w:val="22"/>
        </w:rPr>
        <w:t xml:space="preserve"> omaggi se non per spese ed oggetti di valore simbolico, rientrante nei normali rapporti di cortesia;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15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sponsorizzare iniziative ed eventi in cambio di promesse di vantaggi per l’azienda;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15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modificare la destinazione della sponsorizzazione una volta autorizzata;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15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finanziare qualsiasi organizzazione la cui finalità sia in contrasto con il Codice Etico e che rappresenti un’aperta violazione alle norme ed ai principi del Modello 231;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15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finanziare organizzazioni che siano in qualche modo riconducibili ad associazioni criminali e terroristiche.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È fatto obbligo: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16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rifiutare qualsiasi omaggio, regali o altra offerta da parte di terzi funzionari pubblici o privati che non abbia</w:t>
      </w:r>
      <w:r>
        <w:rPr>
          <w:rFonts w:asciiTheme="minorHAnsi" w:hAnsiTheme="minorHAnsi" w:cstheme="minorHAnsi"/>
          <w:sz w:val="22"/>
          <w:szCs w:val="22"/>
        </w:rPr>
        <w:t xml:space="preserve">no</w:t>
      </w:r>
      <w:r>
        <w:rPr>
          <w:rFonts w:asciiTheme="minorHAnsi" w:hAnsiTheme="minorHAnsi" w:cstheme="minorHAnsi"/>
          <w:sz w:val="22"/>
          <w:szCs w:val="22"/>
        </w:rPr>
        <w:t xml:space="preserve"> valore simbolico e comunque tali da non ingenerare alcuna aspettativa da parte del soggetto offerente;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16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comunicare, al proprio superiore gerarchico e all’</w:t>
      </w:r>
      <w:r>
        <w:rPr>
          <w:rFonts w:asciiTheme="minorHAnsi" w:hAnsiTheme="minorHAnsi" w:cstheme="minorHAnsi"/>
          <w:sz w:val="22"/>
          <w:szCs w:val="22"/>
        </w:rPr>
        <w:t xml:space="preserve">o</w:t>
      </w:r>
      <w:r>
        <w:rPr>
          <w:rFonts w:asciiTheme="minorHAnsi" w:hAnsiTheme="minorHAnsi" w:cstheme="minorHAnsi"/>
          <w:sz w:val="22"/>
          <w:szCs w:val="22"/>
        </w:rPr>
        <w:t xml:space="preserve">rganismo di </w:t>
      </w:r>
      <w:r>
        <w:rPr>
          <w:rFonts w:asciiTheme="minorHAnsi" w:hAnsiTheme="minorHAnsi" w:cstheme="minorHAnsi"/>
          <w:sz w:val="22"/>
          <w:szCs w:val="22"/>
        </w:rPr>
        <w:t xml:space="preserve">v</w:t>
      </w:r>
      <w:r>
        <w:rPr>
          <w:rFonts w:asciiTheme="minorHAnsi" w:hAnsiTheme="minorHAnsi" w:cstheme="minorHAnsi"/>
          <w:sz w:val="22"/>
          <w:szCs w:val="22"/>
        </w:rPr>
        <w:t xml:space="preserve">igilanza, se l’iniziativa da sponsorizzare è riconducibile direttamente o indirettamente ad un soggetto facente parte della Pubblica Amministrazione.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20"/>
        </w:numPr>
        <w:pBdr/>
        <w:spacing w:line="276" w:lineRule="auto"/>
        <w:ind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Modalità operative</w:t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Eventuali iniziative di </w:t>
      </w:r>
      <w:r>
        <w:rPr>
          <w:rFonts w:asciiTheme="minorHAnsi" w:hAnsiTheme="minorHAnsi" w:cstheme="minorHAnsi"/>
          <w:sz w:val="22"/>
          <w:szCs w:val="22"/>
        </w:rPr>
        <w:t xml:space="preserve">donazione/</w:t>
      </w:r>
      <w:r>
        <w:rPr>
          <w:rFonts w:asciiTheme="minorHAnsi" w:hAnsiTheme="minorHAnsi" w:cstheme="minorHAnsi"/>
          <w:sz w:val="22"/>
          <w:szCs w:val="22"/>
        </w:rPr>
        <w:t xml:space="preserve">sponsorizzazione sono autorizzate attraverso lo stanziamento a budget di somme specifiche. In assenza di budget approvato dall’Amministratore, le iniziative devono essere singolarmente sottoposte alla sua attenzione.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L’erogazione di una donazione o di un atto di liberalità può aver origine da: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22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</w:t>
      </w:r>
      <w:r>
        <w:rPr>
          <w:rFonts w:asciiTheme="minorHAnsi" w:hAnsiTheme="minorHAnsi" w:cstheme="minorHAnsi"/>
          <w:sz w:val="22"/>
          <w:szCs w:val="22"/>
        </w:rPr>
        <w:t xml:space="preserve">na formale richiesta da parte di un soggetto esterno (ente, associazione, privato, organizzazioni, ecc.);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22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</w:t>
      </w:r>
      <w:r>
        <w:rPr>
          <w:rFonts w:asciiTheme="minorHAnsi" w:hAnsiTheme="minorHAnsi" w:cstheme="minorHAnsi"/>
          <w:sz w:val="22"/>
          <w:szCs w:val="22"/>
        </w:rPr>
        <w:t xml:space="preserve">na proposta all’Amministratore da parte del Responsabile di una Direzione/Funzione della Società.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 seguito della ricezione di una formale richiesta di erogazione da parte di un soggetto esterno o di una </w:t>
      </w:r>
      <w:r>
        <w:rPr>
          <w:rFonts w:asciiTheme="minorHAnsi" w:hAnsiTheme="minorHAnsi" w:cstheme="minorHAnsi"/>
          <w:sz w:val="22"/>
          <w:szCs w:val="22"/>
        </w:rPr>
        <w:t xml:space="preserve">d</w:t>
      </w:r>
      <w:r>
        <w:rPr>
          <w:rFonts w:asciiTheme="minorHAnsi" w:hAnsiTheme="minorHAnsi" w:cstheme="minorHAnsi"/>
          <w:sz w:val="22"/>
          <w:szCs w:val="22"/>
        </w:rPr>
        <w:t xml:space="preserve">irezione/</w:t>
      </w:r>
      <w:r>
        <w:rPr>
          <w:rFonts w:asciiTheme="minorHAnsi" w:hAnsiTheme="minorHAnsi" w:cstheme="minorHAnsi"/>
          <w:sz w:val="22"/>
          <w:szCs w:val="22"/>
        </w:rPr>
        <w:t xml:space="preserve">f</w:t>
      </w:r>
      <w:r>
        <w:rPr>
          <w:rFonts w:asciiTheme="minorHAnsi" w:hAnsiTheme="minorHAnsi" w:cstheme="minorHAnsi"/>
          <w:sz w:val="22"/>
          <w:szCs w:val="22"/>
        </w:rPr>
        <w:t xml:space="preserve">unzione interna, l’ufficio amministrativo richiede l’invio di una richiesta scritta, la quale deve contenere le seguenti informazioni: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19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soggetto proponente e data di invio della richiesta;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19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soggetto beneficiario, se diverso, specificando: dati anagrafici (denominazione o ragione sociale, indirizzo, ecc.);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19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attività svolta;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19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area/funzione/persona fisi</w:t>
      </w:r>
      <w:r>
        <w:rPr>
          <w:rFonts w:asciiTheme="minorHAnsi" w:hAnsiTheme="minorHAnsi" w:cstheme="minorHAnsi"/>
          <w:sz w:val="22"/>
          <w:szCs w:val="22"/>
        </w:rPr>
        <w:t xml:space="preserve">ca destinataria dell’erogazione;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19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casuale, finalità e motivazioni aziendali connesse all’erogazione;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19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valore economico dell’erogazione e congruità rispetto alla destinazione dichiarata.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Anche la richiesta di sponsorizzazione, deve avvenire per iscritto e deve essere motivata. 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Essa deve contenere le seguenti informazioni: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24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per il soggetto beneficiario: dati anagrafici (denominazione o ragione sociale, indirizzo, ecc.), </w:t>
      </w:r>
      <w:r>
        <w:rPr>
          <w:rFonts w:asciiTheme="minorHAnsi" w:hAnsiTheme="minorHAnsi" w:cstheme="minorHAnsi"/>
          <w:sz w:val="22"/>
          <w:szCs w:val="22"/>
        </w:rPr>
        <w:t xml:space="preserve">attività svolta, indicazione se trattasi di soggetti che rivestono cariche pubbliche o sono dipendenti di enti pubblici, elenco di altre iniziative attivate in precedenza nei confronti del medesimo soggetto beneficiario;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24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casuale, finalità e motivazioni aziendali connesse all’erogazione;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24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valore economico dell’erogazione, se presente un pre-assegnazione in sede di budget e la congruità dell’importo;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24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eventuale presenza di conflitto di interessi, in particolare nei confronti di soggetti pubblici che possano, direttamente o indirettamente, favorire le attività delle Società.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Il Responsabile dell’Ufficio</w:t>
      </w:r>
      <w:r>
        <w:rPr>
          <w:rFonts w:asciiTheme="minorHAnsi" w:hAnsiTheme="minorHAnsi" w:cstheme="minorHAnsi"/>
          <w:sz w:val="22"/>
          <w:szCs w:val="22"/>
        </w:rPr>
        <w:t xml:space="preserve"> Amministrativo verifica la sussistenza dei requisiti dell’ente richiedente, sulla base dei principi enunciati nel Codice Etico e delle disposizioni del Modello 231 e in caso di esito positivo, invia all’Amministratore la bozza della lettera di accordo di </w:t>
      </w:r>
      <w:r>
        <w:rPr>
          <w:rFonts w:asciiTheme="minorHAnsi" w:hAnsiTheme="minorHAnsi" w:cstheme="minorHAnsi"/>
          <w:sz w:val="22"/>
          <w:szCs w:val="22"/>
        </w:rPr>
        <w:t xml:space="preserve">donazione/</w:t>
      </w:r>
      <w:r>
        <w:rPr>
          <w:rFonts w:asciiTheme="minorHAnsi" w:hAnsiTheme="minorHAnsi" w:cstheme="minorHAnsi"/>
          <w:sz w:val="22"/>
          <w:szCs w:val="22"/>
        </w:rPr>
        <w:t xml:space="preserve">sponsorizzazione. Da tale documentazione</w:t>
      </w:r>
      <w:r>
        <w:rPr>
          <w:rFonts w:asciiTheme="minorHAnsi" w:hAnsiTheme="minorHAnsi" w:cstheme="minorHAnsi"/>
          <w:sz w:val="22"/>
          <w:szCs w:val="22"/>
        </w:rPr>
        <w:t xml:space="preserve">, in caso di donazione</w:t>
      </w:r>
      <w:r>
        <w:rPr>
          <w:rFonts w:asciiTheme="minorHAnsi" w:hAnsiTheme="minorHAnsi" w:cstheme="minorHAnsi"/>
          <w:sz w:val="22"/>
          <w:szCs w:val="22"/>
        </w:rPr>
        <w:t xml:space="preserve"> si deve chiaramente evincere la motivazione, </w:t>
      </w:r>
      <w:r>
        <w:rPr>
          <w:rFonts w:asciiTheme="minorHAnsi" w:hAnsiTheme="minorHAnsi" w:cstheme="minorHAnsi"/>
          <w:sz w:val="22"/>
          <w:szCs w:val="22"/>
        </w:rPr>
        <w:t xml:space="preserve">in caso di sponsorizzazione si deve evincere </w:t>
      </w:r>
      <w:r>
        <w:rPr>
          <w:rFonts w:asciiTheme="minorHAnsi" w:hAnsiTheme="minorHAnsi" w:cstheme="minorHAnsi"/>
          <w:sz w:val="22"/>
          <w:szCs w:val="22"/>
        </w:rPr>
        <w:t xml:space="preserve">l’importo dell’iniziativa di sponsorizzazione e le modalità di pubblicizzazione del marchio “Agrumi-gel s</w:t>
      </w:r>
      <w:r>
        <w:rPr>
          <w:rFonts w:asciiTheme="minorHAnsi" w:hAnsiTheme="minorHAnsi" w:cstheme="minorHAnsi"/>
          <w:sz w:val="22"/>
          <w:szCs w:val="22"/>
        </w:rPr>
        <w:t xml:space="preserve">.</w:t>
      </w:r>
      <w:r>
        <w:rPr>
          <w:rFonts w:asciiTheme="minorHAnsi" w:hAnsiTheme="minorHAnsi" w:cstheme="minorHAnsi"/>
          <w:sz w:val="22"/>
          <w:szCs w:val="22"/>
        </w:rPr>
        <w:t xml:space="preserve">r</w:t>
      </w:r>
      <w:r>
        <w:rPr>
          <w:rFonts w:asciiTheme="minorHAnsi" w:hAnsiTheme="minorHAnsi" w:cstheme="minorHAnsi"/>
          <w:sz w:val="22"/>
          <w:szCs w:val="22"/>
        </w:rPr>
        <w:t xml:space="preserve">.</w:t>
      </w:r>
      <w:r>
        <w:rPr>
          <w:rFonts w:asciiTheme="minorHAnsi" w:hAnsiTheme="minorHAnsi" w:cstheme="minorHAnsi"/>
          <w:sz w:val="22"/>
          <w:szCs w:val="22"/>
        </w:rPr>
        <w:t xml:space="preserve">l</w:t>
      </w:r>
      <w:r>
        <w:rPr>
          <w:rFonts w:asciiTheme="minorHAnsi" w:hAnsiTheme="minorHAnsi" w:cstheme="minorHAnsi"/>
          <w:sz w:val="22"/>
          <w:szCs w:val="22"/>
        </w:rPr>
        <w:t xml:space="preserve">.</w:t>
      </w:r>
      <w:r>
        <w:rPr>
          <w:rFonts w:asciiTheme="minorHAnsi" w:hAnsiTheme="minorHAnsi" w:cstheme="minorHAnsi"/>
          <w:sz w:val="22"/>
          <w:szCs w:val="22"/>
        </w:rPr>
        <w:t xml:space="preserve">”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Se l’Amministratore ritiene adeguata la richiesta, la approva e sottoscrive la lettera di accordo di </w:t>
      </w:r>
      <w:r>
        <w:rPr>
          <w:rFonts w:asciiTheme="minorHAnsi" w:hAnsiTheme="minorHAnsi" w:cstheme="minorHAnsi"/>
          <w:sz w:val="22"/>
          <w:szCs w:val="22"/>
        </w:rPr>
        <w:t xml:space="preserve">donazione/</w:t>
      </w:r>
      <w:r>
        <w:rPr>
          <w:rFonts w:asciiTheme="minorHAnsi" w:hAnsiTheme="minorHAnsi" w:cstheme="minorHAnsi"/>
          <w:sz w:val="22"/>
          <w:szCs w:val="22"/>
        </w:rPr>
        <w:t xml:space="preserve">sponsorizzazione. Il soggetto richiedente dovrà cont</w:t>
      </w:r>
      <w:r>
        <w:rPr>
          <w:rFonts w:asciiTheme="minorHAnsi" w:hAnsiTheme="minorHAnsi" w:cstheme="minorHAnsi"/>
          <w:sz w:val="22"/>
          <w:szCs w:val="22"/>
        </w:rPr>
        <w:t xml:space="preserve">rofirmare la lettera di accordo.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Il soggetto beneficiario deve garantire la verifica di quanto previsto nel contratto e raccogliere adeguata documentazione al fine di dimostrare l’effettiva pubblicizzazione dell’azienda secondo le modalità concordate.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false"/>
        <w:numPr>
          <w:ilvl w:val="0"/>
          <w:numId w:val="20"/>
        </w:numPr>
        <w:pBdr/>
        <w:spacing w:line="276" w:lineRule="auto"/>
        <w:ind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Archiviazione </w:t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Tutte le pratiche di sponsorizzazione, con la relativa documentazione di supporto dell’intero iter della stessa, devono essere archiviate presso l’Ufficio Amministrativo.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sectPr>
      <w:headerReference w:type="default" r:id="rId9"/>
      <w:footnotePr/>
      <w:endnotePr/>
      <w:type w:val="nextPage"/>
      <w:pgSz w:h="16838" w:orient="portrait" w:w="11906"/>
      <w:pgMar w:top="1417" w:right="1134" w:bottom="113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Courier New">
    <w:panose1 w:val="02070309020205020404"/>
  </w:font>
  <w:font w:name="Wingdings">
    <w:panose1 w:val="05010000000000000000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>
        <w:left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Look w:val="04A0" w:firstRow="1" w:lastRow="0" w:firstColumn="1" w:lastColumn="0" w:noHBand="0" w:noVBand="1"/>
      <w:tblStyle w:val="11"/>
    </w:tblPr>
    <w:tblGrid>
      <w:gridCol w:w="1808"/>
      <w:gridCol w:w="5528"/>
      <w:gridCol w:w="2518"/>
    </w:tblGrid>
    <w:tr>
      <w:trPr>
        <w:trHeight w:val="977"/>
      </w:trPr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1808" w:type="dxa"/>
          <w:vAlign w:val="center"/>
          <w:textDirection w:val="lrTb"/>
          <w:noWrap w:val="false"/>
        </w:tcPr>
        <w:p>
          <w:pPr>
            <w:pStyle w:val="850"/>
            <w:pBdr/>
            <w:spacing/>
            <w:ind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79205" cy="512165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90788156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flipH="0" flipV="0">
                              <a:off x="0" y="0"/>
                              <a:ext cx="1079203" cy="512163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4.98pt;height:40.33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  <w:r/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5528" w:type="dxa"/>
          <w:vAlign w:val="center"/>
          <w:textDirection w:val="lrTb"/>
          <w:noWrap w:val="false"/>
        </w:tcPr>
        <w:p>
          <w:pPr>
            <w:pStyle w:val="850"/>
            <w:pBdr/>
            <w:spacing/>
            <w:ind/>
            <w:jc w:val="center"/>
            <w:rPr>
              <w:rFonts w:ascii="Verdana" w:hAnsi="Verdana" w:cs="Verdana"/>
              <w:b/>
              <w:bCs/>
              <w:sz w:val="18"/>
              <w:szCs w:val="18"/>
            </w:rPr>
          </w:pPr>
          <w:r>
            <w:rPr>
              <w:rFonts w:ascii="Verdana" w:hAnsi="Verdana" w:eastAsia="Verdana" w:cs="Verdana"/>
              <w:b/>
              <w:bCs/>
              <w:sz w:val="22"/>
              <w:szCs w:val="22"/>
            </w:rPr>
            <w:t xml:space="preserve">GESTIONE DONAZIONI, OMAGGI, SPONSORIZZAZIONI E ALTRE LIBERALITÀ</w:t>
          </w:r>
          <w:r>
            <w:rPr>
              <w:rFonts w:ascii="Verdana" w:hAnsi="Verdana" w:eastAsia="Verdana" w:cs="Verdana"/>
              <w:b/>
              <w:bCs/>
              <w:sz w:val="18"/>
              <w:szCs w:val="18"/>
            </w:rPr>
          </w:r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2518" w:type="dxa"/>
          <w:vAlign w:val="center"/>
          <w:textDirection w:val="lrTb"/>
          <w:noWrap w:val="false"/>
        </w:tcPr>
        <w:p>
          <w:pPr>
            <w:pStyle w:val="850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P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01.05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</w:t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</w:r>
        </w:p>
        <w:p>
          <w:pPr>
            <w:pStyle w:val="850"/>
            <w:pBdr/>
            <w:spacing/>
            <w:ind/>
            <w:rPr>
              <w:rFonts w:ascii="Verdana" w:hAnsi="Verdana" w:eastAsia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REV. 03</w:t>
          </w:r>
          <w:r>
            <w:rPr>
              <w:rFonts w:ascii="Verdana" w:hAnsi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del 1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6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-0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9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-2025</w:t>
          </w:r>
          <w:r>
            <w:rPr>
              <w:rFonts w:ascii="Verdana" w:hAnsi="Verdana" w:eastAsia="Verdana" w:cs="Verdana"/>
              <w:sz w:val="18"/>
              <w:szCs w:val="18"/>
            </w:rPr>
          </w:r>
          <w:r/>
          <w:r>
            <w:rPr>
              <w:rFonts w:ascii="Verdana" w:hAnsi="Verdana" w:eastAsia="Verdana" w:cs="Verdana"/>
              <w:sz w:val="18"/>
              <w:szCs w:val="18"/>
            </w:rPr>
          </w:r>
        </w:p>
        <w:p>
          <w:pPr>
            <w:pStyle w:val="850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Pag. 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begin"/>
          </w:r>
          <w:r>
            <w:rPr>
              <w:rFonts w:ascii="Verdana" w:hAnsi="Verdana" w:eastAsia="Verdana" w:cs="Verdana"/>
              <w:sz w:val="18"/>
              <w:szCs w:val="18"/>
            </w:rPr>
            <w:instrText xml:space="preserve">PAGE   \* MERGEFORMAT</w:instrTex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separate"/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1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end"/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</w:r>
        </w:p>
      </w:tc>
    </w:tr>
  </w:tbl>
  <w:p>
    <w:pPr>
      <w:pStyle w:val="85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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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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4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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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1070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9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1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3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5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7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9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1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30"/>
      </w:pPr>
      <w:rPr/>
      <w:start w:val="1"/>
      <w:suff w:val="tab"/>
    </w:lvl>
  </w:abstractNum>
  <w:abstractNum w:abstractNumId="10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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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"/>
      <w:numFmt w:val="bullet"/>
      <w:pPr>
        <w:pBdr/>
        <w:spacing/>
        <w:ind w:hanging="360" w:left="100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2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44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16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8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0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2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4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764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lvl w:ilvl="0">
      <w:isLgl w:val="false"/>
      <w:lvlJc w:val="left"/>
      <w:lvlText w:val="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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8">
    <w:lvl w:ilvl="0">
      <w:isLgl w:val="false"/>
      <w:lvlJc w:val="left"/>
      <w:lvlText w:val="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lvl w:ilvl="0">
      <w:isLgl w:val="false"/>
      <w:lvlJc w:val="left"/>
      <w:lvlText w:val="%1.1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lvl w:ilvl="0">
      <w:isLgl w:val="false"/>
      <w:lvlJc w:val="left"/>
      <w:lvlText w:val="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lvl w:ilvl="0">
      <w:isLgl w:val="false"/>
      <w:lvlJc w:val="left"/>
      <w:lvlText w:val="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lvl w:ilvl="0">
      <w:isLgl w:val="false"/>
      <w:lvlJc w:val="left"/>
      <w:lvlText w:val="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6"/>
  </w:num>
  <w:num w:numId="2">
    <w:abstractNumId w:val="17"/>
  </w:num>
  <w:num w:numId="3">
    <w:abstractNumId w:val="1"/>
  </w:num>
  <w:num w:numId="4">
    <w:abstractNumId w:val="19"/>
  </w:num>
  <w:num w:numId="5">
    <w:abstractNumId w:val="22"/>
  </w:num>
  <w:num w:numId="6">
    <w:abstractNumId w:val="11"/>
  </w:num>
  <w:num w:numId="7">
    <w:abstractNumId w:val="23"/>
  </w:num>
  <w:num w:numId="8">
    <w:abstractNumId w:val="14"/>
  </w:num>
  <w:num w:numId="9">
    <w:abstractNumId w:val="9"/>
  </w:num>
  <w:num w:numId="10">
    <w:abstractNumId w:val="10"/>
  </w:num>
  <w:num w:numId="11">
    <w:abstractNumId w:val="13"/>
  </w:num>
  <w:num w:numId="12">
    <w:abstractNumId w:val="3"/>
  </w:num>
  <w:num w:numId="13">
    <w:abstractNumId w:val="5"/>
  </w:num>
  <w:num w:numId="14">
    <w:abstractNumId w:val="8"/>
  </w:num>
  <w:num w:numId="15">
    <w:abstractNumId w:val="7"/>
  </w:num>
  <w:num w:numId="16">
    <w:abstractNumId w:val="21"/>
  </w:num>
  <w:num w:numId="17">
    <w:abstractNumId w:val="16"/>
  </w:num>
  <w:num w:numId="18">
    <w:abstractNumId w:val="12"/>
  </w:num>
  <w:num w:numId="19">
    <w:abstractNumId w:val="18"/>
  </w:num>
  <w:num w:numId="20">
    <w:abstractNumId w:val="0"/>
  </w:num>
  <w:num w:numId="21">
    <w:abstractNumId w:val="2"/>
  </w:num>
  <w:num w:numId="22">
    <w:abstractNumId w:val="4"/>
  </w:num>
  <w:num w:numId="23">
    <w:abstractNumId w:val="20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it-I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8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8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8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8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8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8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8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8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8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8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8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8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8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8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8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8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8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8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5"/>
    <w:basedOn w:val="840"/>
    <w:next w:val="84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5">
    <w:name w:val="Heading 8"/>
    <w:basedOn w:val="840"/>
    <w:next w:val="84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840"/>
    <w:next w:val="84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847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847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847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847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8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847"/>
    <w:link w:val="84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847"/>
    <w:link w:val="84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8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8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840"/>
    <w:next w:val="84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8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840"/>
    <w:next w:val="84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8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840"/>
    <w:next w:val="84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8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840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8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840"/>
    <w:next w:val="84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8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8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840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8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8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8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8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84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847"/>
    <w:link w:val="850"/>
    <w:uiPriority w:val="99"/>
    <w:pPr>
      <w:pBdr/>
      <w:spacing/>
      <w:ind/>
    </w:pPr>
  </w:style>
  <w:style w:type="character" w:styleId="178">
    <w:name w:val="Footer Char"/>
    <w:basedOn w:val="847"/>
    <w:link w:val="851"/>
    <w:uiPriority w:val="99"/>
    <w:pPr>
      <w:pBdr/>
      <w:spacing/>
      <w:ind/>
    </w:pPr>
  </w:style>
  <w:style w:type="paragraph" w:styleId="179">
    <w:name w:val="Caption"/>
    <w:basedOn w:val="840"/>
    <w:next w:val="84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84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8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8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84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8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8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8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8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840"/>
    <w:next w:val="840"/>
    <w:uiPriority w:val="39"/>
    <w:unhideWhenUsed/>
    <w:pPr>
      <w:pBdr/>
      <w:spacing w:after="100"/>
      <w:ind/>
    </w:pPr>
  </w:style>
  <w:style w:type="paragraph" w:styleId="189">
    <w:name w:val="toc 2"/>
    <w:basedOn w:val="840"/>
    <w:next w:val="840"/>
    <w:uiPriority w:val="39"/>
    <w:unhideWhenUsed/>
    <w:pPr>
      <w:pBdr/>
      <w:spacing w:after="100"/>
      <w:ind w:left="220"/>
    </w:pPr>
  </w:style>
  <w:style w:type="paragraph" w:styleId="190">
    <w:name w:val="toc 3"/>
    <w:basedOn w:val="840"/>
    <w:next w:val="840"/>
    <w:uiPriority w:val="39"/>
    <w:unhideWhenUsed/>
    <w:pPr>
      <w:pBdr/>
      <w:spacing w:after="100"/>
      <w:ind w:left="440"/>
    </w:pPr>
  </w:style>
  <w:style w:type="paragraph" w:styleId="191">
    <w:name w:val="toc 4"/>
    <w:basedOn w:val="840"/>
    <w:next w:val="840"/>
    <w:uiPriority w:val="39"/>
    <w:unhideWhenUsed/>
    <w:pPr>
      <w:pBdr/>
      <w:spacing w:after="100"/>
      <w:ind w:left="660"/>
    </w:pPr>
  </w:style>
  <w:style w:type="paragraph" w:styleId="192">
    <w:name w:val="toc 5"/>
    <w:basedOn w:val="840"/>
    <w:next w:val="840"/>
    <w:uiPriority w:val="39"/>
    <w:unhideWhenUsed/>
    <w:pPr>
      <w:pBdr/>
      <w:spacing w:after="100"/>
      <w:ind w:left="880"/>
    </w:pPr>
  </w:style>
  <w:style w:type="paragraph" w:styleId="193">
    <w:name w:val="toc 6"/>
    <w:basedOn w:val="840"/>
    <w:next w:val="840"/>
    <w:uiPriority w:val="39"/>
    <w:unhideWhenUsed/>
    <w:pPr>
      <w:pBdr/>
      <w:spacing w:after="100"/>
      <w:ind w:left="1100"/>
    </w:pPr>
  </w:style>
  <w:style w:type="paragraph" w:styleId="194">
    <w:name w:val="toc 7"/>
    <w:basedOn w:val="840"/>
    <w:next w:val="840"/>
    <w:uiPriority w:val="39"/>
    <w:unhideWhenUsed/>
    <w:pPr>
      <w:pBdr/>
      <w:spacing w:after="100"/>
      <w:ind w:left="1320"/>
    </w:pPr>
  </w:style>
  <w:style w:type="paragraph" w:styleId="195">
    <w:name w:val="toc 8"/>
    <w:basedOn w:val="840"/>
    <w:next w:val="840"/>
    <w:uiPriority w:val="39"/>
    <w:unhideWhenUsed/>
    <w:pPr>
      <w:pBdr/>
      <w:spacing w:after="100"/>
      <w:ind w:left="1540"/>
    </w:pPr>
  </w:style>
  <w:style w:type="paragraph" w:styleId="196">
    <w:name w:val="toc 9"/>
    <w:basedOn w:val="840"/>
    <w:next w:val="840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8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840"/>
    <w:next w:val="840"/>
    <w:uiPriority w:val="99"/>
    <w:unhideWhenUsed/>
    <w:pPr>
      <w:pBdr/>
      <w:spacing w:after="0" w:afterAutospacing="0"/>
      <w:ind/>
    </w:pPr>
  </w:style>
  <w:style w:type="paragraph" w:styleId="840" w:default="1">
    <w:name w:val="Normal"/>
    <w:qFormat/>
    <w:pPr>
      <w:pBdr/>
      <w:spacing/>
      <w:ind/>
    </w:pPr>
  </w:style>
  <w:style w:type="paragraph" w:styleId="841">
    <w:name w:val="Heading 1"/>
    <w:basedOn w:val="840"/>
    <w:next w:val="840"/>
    <w:qFormat/>
    <w:pPr>
      <w:keepNext w:val="true"/>
      <w:pBdr/>
      <w:spacing w:after="60" w:before="240" w:line="360" w:lineRule="auto"/>
      <w:ind/>
      <w:jc w:val="both"/>
      <w:outlineLvl w:val="0"/>
    </w:pPr>
    <w:rPr>
      <w:b/>
      <w:sz w:val="24"/>
    </w:rPr>
  </w:style>
  <w:style w:type="paragraph" w:styleId="842">
    <w:name w:val="Heading 2"/>
    <w:basedOn w:val="840"/>
    <w:next w:val="840"/>
    <w:qFormat/>
    <w:pPr>
      <w:keepNext w:val="true"/>
      <w:pBdr/>
      <w:spacing/>
      <w:ind/>
      <w:outlineLvl w:val="1"/>
    </w:pPr>
    <w:rPr>
      <w:b/>
    </w:rPr>
  </w:style>
  <w:style w:type="paragraph" w:styleId="843">
    <w:name w:val="Heading 3"/>
    <w:basedOn w:val="840"/>
    <w:next w:val="840"/>
    <w:qFormat/>
    <w:pPr>
      <w:keepNext w:val="true"/>
      <w:pBdr/>
      <w:spacing/>
      <w:ind/>
      <w:outlineLvl w:val="2"/>
    </w:pPr>
    <w:rPr>
      <w:u w:val="single"/>
    </w:rPr>
  </w:style>
  <w:style w:type="paragraph" w:styleId="844">
    <w:name w:val="Heading 4"/>
    <w:basedOn w:val="840"/>
    <w:next w:val="840"/>
    <w:qFormat/>
    <w:pPr>
      <w:keepNext w:val="true"/>
      <w:pBdr/>
      <w:spacing/>
      <w:ind/>
      <w:outlineLvl w:val="3"/>
    </w:pPr>
    <w:rPr>
      <w:i/>
    </w:rPr>
  </w:style>
  <w:style w:type="paragraph" w:styleId="845">
    <w:name w:val="Heading 6"/>
    <w:basedOn w:val="840"/>
    <w:next w:val="840"/>
    <w:qFormat/>
    <w:pPr>
      <w:keepNext w:val="true"/>
      <w:pBdr/>
      <w:spacing w:line="360" w:lineRule="auto"/>
      <w:ind/>
      <w:jc w:val="both"/>
      <w:outlineLvl w:val="5"/>
    </w:pPr>
    <w:rPr>
      <w:b/>
    </w:rPr>
  </w:style>
  <w:style w:type="paragraph" w:styleId="846">
    <w:name w:val="Heading 7"/>
    <w:basedOn w:val="840"/>
    <w:next w:val="840"/>
    <w:qFormat/>
    <w:pPr>
      <w:keepNext w:val="true"/>
      <w:pBdr/>
      <w:spacing/>
      <w:ind/>
      <w:jc w:val="both"/>
      <w:outlineLvl w:val="6"/>
    </w:pPr>
    <w:rPr>
      <w:b/>
      <w:sz w:val="24"/>
      <w:u w:val="single"/>
    </w:rPr>
  </w:style>
  <w:style w:type="character" w:styleId="847" w:default="1">
    <w:name w:val="Default Paragraph Font"/>
    <w:uiPriority w:val="1"/>
    <w:semiHidden/>
    <w:unhideWhenUsed/>
    <w:pPr>
      <w:pBdr/>
      <w:spacing/>
      <w:ind/>
    </w:pPr>
  </w:style>
  <w:style w:type="table" w:styleId="84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9" w:default="1">
    <w:name w:val="No List"/>
    <w:uiPriority w:val="99"/>
    <w:semiHidden/>
    <w:unhideWhenUsed/>
    <w:pPr>
      <w:pBdr/>
      <w:spacing/>
      <w:ind/>
    </w:pPr>
  </w:style>
  <w:style w:type="paragraph" w:styleId="850">
    <w:name w:val="Header"/>
    <w:basedOn w:val="840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851">
    <w:name w:val="Footer"/>
    <w:basedOn w:val="840"/>
    <w:pPr>
      <w:pBdr/>
      <w:tabs>
        <w:tab w:val="center" w:leader="none" w:pos="4819"/>
        <w:tab w:val="right" w:leader="none" w:pos="9638"/>
      </w:tabs>
      <w:spacing/>
      <w:ind/>
    </w:pPr>
  </w:style>
  <w:style w:type="character" w:styleId="852">
    <w:name w:val="page number"/>
    <w:basedOn w:val="847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22B8E1-F687-4C27-BC6E-AD16CD549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>Novaconsult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05.02 Comunicazione Interna</dc:title>
  <dc:creator>Francesco San Martino</dc:creator>
  <cp:keywords>ISO 9001</cp:keywords>
  <cp:lastModifiedBy>Francesco Scavello</cp:lastModifiedBy>
  <cp:revision>44</cp:revision>
  <dcterms:created xsi:type="dcterms:W3CDTF">2015-09-10T07:58:00Z</dcterms:created>
  <dcterms:modified xsi:type="dcterms:W3CDTF">2025-11-10T10:55:41Z</dcterms:modified>
</cp:coreProperties>
</file>