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SCOPO DELLA PROCEDURA</w:t>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presente procedura descrive le modalità per l’identificazione, l’emissione, l’approvazione, la distribuzione e l’archiviazione della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allo scopo di assicurare che:</w:t>
      </w:r>
      <w:r>
        <w:rPr>
          <w:rFonts w:asciiTheme="minorHAnsi" w:hAnsiTheme="minorHAnsi" w:cstheme="minorHAnsi"/>
          <w:sz w:val="22"/>
          <w:szCs w:val="22"/>
        </w:rPr>
      </w:r>
    </w:p>
    <w:p>
      <w:pPr>
        <w:pStyle w:val="1051"/>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i</w:t>
      </w:r>
      <w:r>
        <w:rPr>
          <w:rFonts w:asciiTheme="minorHAnsi" w:hAnsiTheme="minorHAnsi" w:cstheme="minorHAnsi"/>
          <w:sz w:val="22"/>
          <w:szCs w:val="22"/>
        </w:rPr>
        <w:t xml:space="preserve"> doc</w:t>
      </w:r>
      <w:r>
        <w:rPr>
          <w:rFonts w:asciiTheme="minorHAnsi" w:hAnsiTheme="minorHAnsi" w:cstheme="minorHAnsi"/>
          <w:sz w:val="22"/>
          <w:szCs w:val="22"/>
        </w:rPr>
        <w:t xml:space="preserve">umenti e i dati siano verificati da personale autorizzato ai fini della loro adeguatezza e sia disponibile una forma di controllo che indichi lo stato di revisione dei documenti in vigore per impedire l’utilizzazione di documenti non più validi o superati;</w:t>
      </w:r>
      <w:r>
        <w:rPr>
          <w:rFonts w:asciiTheme="minorHAnsi" w:hAnsiTheme="minorHAnsi" w:cstheme="minorHAnsi"/>
          <w:sz w:val="22"/>
          <w:szCs w:val="22"/>
        </w:rPr>
      </w:r>
    </w:p>
    <w:p>
      <w:pPr>
        <w:pStyle w:val="1051"/>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s</w:t>
      </w:r>
      <w:r>
        <w:rPr>
          <w:rFonts w:asciiTheme="minorHAnsi" w:hAnsiTheme="minorHAnsi" w:cstheme="minorHAnsi"/>
          <w:sz w:val="22"/>
          <w:szCs w:val="22"/>
        </w:rPr>
        <w:t xml:space="preserve">iano disponibili edizioni appropriate dei documenti necessari in tutti i luoghi in cui si svolgono attività essenziali per la corretta applicazione del Sistema Qualità;</w:t>
      </w:r>
      <w:r>
        <w:rPr>
          <w:rFonts w:asciiTheme="minorHAnsi" w:hAnsiTheme="minorHAnsi" w:cstheme="minorHAnsi"/>
          <w:sz w:val="22"/>
          <w:szCs w:val="22"/>
        </w:rPr>
      </w:r>
    </w:p>
    <w:p>
      <w:pPr>
        <w:pStyle w:val="1051"/>
        <w:numPr>
          <w:ilvl w:val="0"/>
          <w:numId w:val="16"/>
        </w:numPr>
        <w:pBdr/>
        <w:spacing w:after="200" w:line="276" w:lineRule="auto"/>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v</w:t>
      </w:r>
      <w:r>
        <w:rPr>
          <w:rFonts w:asciiTheme="minorHAnsi" w:hAnsiTheme="minorHAnsi" w:cstheme="minorHAnsi"/>
          <w:sz w:val="22"/>
          <w:szCs w:val="22"/>
        </w:rPr>
        <w:t xml:space="preserve">engano prontamente rimossi da tutti i centri di emissione e utilizzazione i documenti non validi e/o superati, o venga comunque evitato un loro uso indesiderato.</w:t>
      </w:r>
      <w:r>
        <w:rPr>
          <w:rFonts w:asciiTheme="minorHAnsi" w:hAnsiTheme="minorHAnsi" w:cstheme="minorHAnsi"/>
          <w:sz w:val="22"/>
          <w:szCs w:val="22"/>
        </w:rPr>
      </w:r>
    </w:p>
    <w:p>
      <w:pPr>
        <w:pStyle w:val="1051"/>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CAMPO DI APPLICAZIONE</w:t>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Tutta 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w:t>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DOCUMENTI DI RIFERIMENTO</w:t>
      </w:r>
      <w:r>
        <w:rPr>
          <w:rFonts w:asciiTheme="minorHAnsi" w:hAnsiTheme="minorHAnsi" w:cstheme="minorHAnsi"/>
          <w:b/>
          <w:sz w:val="22"/>
          <w:szCs w:val="22"/>
        </w:rPr>
      </w:r>
    </w:p>
    <w:p>
      <w:pPr>
        <w:pBdr/>
        <w:spacing/>
        <w:ind/>
        <w:jc w:val="both"/>
        <w:rPr>
          <w:rFonts w:asciiTheme="minorHAnsi" w:hAnsiTheme="minorHAnsi" w:cstheme="minorHAnsi"/>
          <w:i/>
          <w:sz w:val="22"/>
          <w:szCs w:val="22"/>
        </w:rPr>
      </w:pPr>
      <w:r>
        <w:rPr>
          <w:rFonts w:asciiTheme="minorHAnsi" w:hAnsiTheme="minorHAnsi" w:cstheme="minorHAnsi"/>
          <w:sz w:val="22"/>
          <w:szCs w:val="22"/>
        </w:rPr>
        <w:t xml:space="preserve">- </w:t>
      </w:r>
      <w:r>
        <w:rPr>
          <w:rFonts w:asciiTheme="minorHAnsi" w:hAnsiTheme="minorHAnsi" w:cstheme="minorHAnsi"/>
          <w:i/>
          <w:sz w:val="22"/>
          <w:szCs w:val="22"/>
        </w:rPr>
        <w:t xml:space="preserve">D 05.01 “Elenco della documentazione”</w:t>
      </w:r>
      <w:r>
        <w:rPr>
          <w:rFonts w:asciiTheme="minorHAnsi" w:hAnsiTheme="minorHAnsi" w:cstheme="minorHAnsi"/>
          <w:sz w:val="22"/>
          <w:szCs w:val="22"/>
        </w:rPr>
        <w:t xml:space="preserve">;</w:t>
      </w:r>
      <w:r>
        <w:rPr>
          <w:rFonts w:asciiTheme="minorHAnsi" w:hAnsiTheme="minorHAnsi" w:cstheme="minorHAnsi"/>
          <w:i/>
          <w:sz w:val="22"/>
          <w:szCs w:val="22"/>
        </w:rPr>
      </w:r>
    </w:p>
    <w:p>
      <w:pPr>
        <w:pBdr/>
        <w:spacing w:after="240"/>
        <w:ind/>
        <w:jc w:val="both"/>
        <w:rPr>
          <w:rFonts w:asciiTheme="minorHAnsi" w:hAnsiTheme="minorHAnsi" w:cstheme="minorHAnsi"/>
          <w:sz w:val="22"/>
          <w:szCs w:val="22"/>
        </w:rPr>
      </w:pPr>
      <w:r>
        <w:rPr>
          <w:rFonts w:asciiTheme="minorHAnsi" w:hAnsiTheme="minorHAnsi" w:cstheme="minorHAnsi"/>
          <w:sz w:val="22"/>
          <w:szCs w:val="22"/>
        </w:rPr>
        <w:t xml:space="preserve">- </w:t>
      </w:r>
      <w:r>
        <w:rPr>
          <w:rFonts w:asciiTheme="minorHAnsi" w:hAnsiTheme="minorHAnsi" w:cstheme="minorHAnsi"/>
          <w:i/>
          <w:sz w:val="22"/>
          <w:szCs w:val="22"/>
        </w:rPr>
        <w:t xml:space="preserve">M 05.01 “Lista di distribuzione della documentazione”. </w:t>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DEFINIZIONI</w:t>
      </w:r>
      <w:r>
        <w:rPr>
          <w:rFonts w:asciiTheme="minorHAnsi" w:hAnsiTheme="minorHAnsi" w:cstheme="minorHAnsi"/>
          <w:b/>
          <w:sz w:val="22"/>
          <w:szCs w:val="22"/>
        </w:rPr>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74"/>
        <w:gridCol w:w="7212"/>
      </w:tblGrid>
      <w:tr>
        <w:trPr>
          <w:trHeight w:val="739"/>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Copia controllata</w:t>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È </w:t>
            </w:r>
            <w:r>
              <w:rPr>
                <w:rFonts w:eastAsia="Calibri" w:asciiTheme="minorHAnsi" w:hAnsiTheme="minorHAnsi" w:cstheme="minorHAnsi"/>
                <w:sz w:val="22"/>
                <w:szCs w:val="22"/>
              </w:rPr>
              <w:t xml:space="preserve">una copia, distribuita all’interno o all’esterno dell’azienda soggetta ad aggiornamento in corrispondenza di ogni successiva revisione.</w:t>
            </w:r>
            <w:r>
              <w:rPr>
                <w:rFonts w:eastAsia="Calibri" w:asciiTheme="minorHAnsi" w:hAnsiTheme="minorHAnsi" w:cstheme="minorHAnsi"/>
                <w:sz w:val="22"/>
                <w:szCs w:val="22"/>
              </w:rPr>
            </w:r>
          </w:p>
        </w:tc>
      </w:tr>
      <w:tr>
        <w:trPr>
          <w:trHeight w:val="694"/>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Copia non controllata</w:t>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ascii="Calibri" w:hAnsi="Calibri" w:eastAsia="Calibri" w:cs="Calibri"/>
                <w:sz w:val="22"/>
                <w:szCs w:val="22"/>
              </w:rPr>
              <w:t xml:space="preserve">È</w:t>
            </w:r>
            <w:r>
              <w:rPr>
                <w:rFonts w:eastAsia="Calibri" w:asciiTheme="minorHAnsi" w:hAnsiTheme="minorHAnsi" w:cstheme="minorHAnsi"/>
                <w:sz w:val="22"/>
                <w:szCs w:val="22"/>
              </w:rPr>
              <w:t xml:space="preserve"> una copia distribuita all’interno o all’esterno dell’azienda senza garanzia di aggiornamento in corrispondenza di ogni successiva revisione.</w:t>
            </w:r>
            <w:r>
              <w:rPr>
                <w:rFonts w:eastAsia="Calibri" w:asciiTheme="minorHAnsi" w:hAnsiTheme="minorHAnsi" w:cstheme="minorHAnsi"/>
                <w:sz w:val="22"/>
                <w:szCs w:val="22"/>
              </w:rPr>
            </w:r>
          </w:p>
        </w:tc>
      </w:tr>
      <w:tr>
        <w:trPr>
          <w:trHeight w:val="703"/>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storico della documentazione</w:t>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in cui sono contenute per almeno due anni dalla data di emissione tutte le copie originali superate.</w:t>
            </w:r>
            <w:r>
              <w:rPr>
                <w:rFonts w:eastAsia="Calibri" w:asciiTheme="minorHAnsi" w:hAnsiTheme="minorHAnsi" w:cstheme="minorHAnsi"/>
                <w:sz w:val="22"/>
                <w:szCs w:val="22"/>
              </w:rPr>
            </w:r>
          </w:p>
        </w:tc>
      </w:tr>
      <w:tr>
        <w:trPr/>
        <w:tc>
          <w:tcPr>
            <w:shd w:val="clear" w:color="auto" w:fill="auto"/>
            <w:tcBorders/>
            <w:tcW w:w="2074" w:type="dxa"/>
            <w:vAlign w:val="center"/>
            <w:textDirection w:val="lrTb"/>
            <w:noWrap w:val="false"/>
          </w:tcPr>
          <w:p>
            <w:pPr>
              <w:pBdr/>
              <w:spacing/>
              <w:ind/>
              <w:jc w:val="center"/>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copie originali</w:t>
            </w:r>
            <w:r>
              <w:rPr>
                <w:rFonts w:eastAsia="Calibri" w:asciiTheme="minorHAnsi" w:hAnsiTheme="minorHAnsi" w:cstheme="minorHAnsi"/>
                <w:sz w:val="22"/>
                <w:szCs w:val="22"/>
              </w:rPr>
            </w:r>
          </w:p>
        </w:tc>
        <w:tc>
          <w:tcPr>
            <w:shd w:val="clear" w:color="auto" w:fill="auto"/>
            <w:tcBorders/>
            <w:tcW w:w="7212" w:type="dxa"/>
            <w:vAlign w:val="center"/>
            <w:textDirection w:val="lrTb"/>
            <w:noWrap w:val="false"/>
          </w:tcPr>
          <w:p>
            <w:pPr>
              <w:pBdr/>
              <w:spacing/>
              <w:ind/>
              <w:jc w:val="both"/>
              <w:rPr>
                <w:rFonts w:eastAsia="Calibri" w:asciiTheme="minorHAnsi" w:hAnsiTheme="minorHAnsi" w:cstheme="minorHAnsi"/>
                <w:sz w:val="22"/>
                <w:szCs w:val="22"/>
              </w:rPr>
            </w:pPr>
            <w:r>
              <w:rPr>
                <w:rFonts w:eastAsia="Calibri" w:asciiTheme="minorHAnsi" w:hAnsiTheme="minorHAnsi" w:cstheme="minorHAnsi"/>
                <w:sz w:val="22"/>
                <w:szCs w:val="22"/>
              </w:rPr>
              <w:t xml:space="preserve">Archivio in cui sono contenute tutte le copie originali nella revisione più recente. L’indice di questo archivio è contenuto in </w:t>
            </w:r>
            <w:r>
              <w:rPr>
                <w:rFonts w:eastAsia="Calibri" w:asciiTheme="minorHAnsi" w:hAnsiTheme="minorHAnsi" w:cstheme="minorHAnsi"/>
                <w:i/>
                <w:sz w:val="22"/>
                <w:szCs w:val="22"/>
              </w:rPr>
              <w:t xml:space="preserve">D.05.01 “Elenco della documentazione”.</w:t>
            </w:r>
            <w:r>
              <w:rPr>
                <w:rFonts w:eastAsia="Calibri" w:asciiTheme="minorHAnsi" w:hAnsiTheme="minorHAnsi" w:cstheme="minorHAnsi"/>
                <w:sz w:val="22"/>
                <w:szCs w:val="22"/>
              </w:rPr>
            </w:r>
          </w:p>
        </w:tc>
      </w:tr>
    </w:tbl>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IDENTIFICAZIONE DELLA DOCUMENTAZIONE DI SISTEMA</w:t>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è basata sul Manuale Qualità (MAQ) e sulle </w:t>
      </w:r>
      <w:r>
        <w:rPr>
          <w:rFonts w:asciiTheme="minorHAnsi" w:hAnsiTheme="minorHAnsi" w:cstheme="minorHAnsi"/>
          <w:sz w:val="22"/>
          <w:szCs w:val="22"/>
        </w:rPr>
        <w:t xml:space="preserve">p</w:t>
      </w:r>
      <w:r>
        <w:rPr>
          <w:rFonts w:asciiTheme="minorHAnsi" w:hAnsiTheme="minorHAnsi" w:cstheme="minorHAnsi"/>
          <w:sz w:val="22"/>
          <w:szCs w:val="22"/>
        </w:rPr>
        <w:t xml:space="preserve">rocedure</w:t>
      </w:r>
      <w:r>
        <w:rPr>
          <w:rFonts w:asciiTheme="minorHAnsi" w:hAnsiTheme="minorHAnsi" w:cstheme="minorHAnsi"/>
          <w:sz w:val="22"/>
          <w:szCs w:val="22"/>
        </w:rPr>
        <w:t xml:space="preserve"> che</w:t>
      </w:r>
      <w:r>
        <w:rPr>
          <w:rFonts w:asciiTheme="minorHAnsi" w:hAnsiTheme="minorHAnsi" w:cstheme="minorHAnsi"/>
          <w:sz w:val="22"/>
          <w:szCs w:val="22"/>
        </w:rPr>
        <w:t xml:space="preserve"> discend</w:t>
      </w:r>
      <w:r>
        <w:rPr>
          <w:rFonts w:asciiTheme="minorHAnsi" w:hAnsiTheme="minorHAnsi" w:cstheme="minorHAnsi"/>
          <w:sz w:val="22"/>
          <w:szCs w:val="22"/>
        </w:rPr>
        <w:t xml:space="preserve">ono direttamente dal MAQ. Esse riguardano le modalità operative per la gestione dei vari processi che costituiscono il Sistema Qualità definendo le varie responsabilità e interfacce organizzative. Le procedure (P XX.XX) possono richiamare delle istruzioni </w:t>
      </w:r>
      <w:r>
        <w:rPr>
          <w:rFonts w:asciiTheme="minorHAnsi" w:hAnsiTheme="minorHAnsi" w:cstheme="minorHAnsi"/>
          <w:sz w:val="22"/>
          <w:szCs w:val="22"/>
        </w:rPr>
        <w:t xml:space="preserve">lavorative</w:t>
      </w:r>
      <w:r>
        <w:rPr>
          <w:rFonts w:asciiTheme="minorHAnsi" w:hAnsiTheme="minorHAnsi" w:cstheme="minorHAnsi"/>
          <w:sz w:val="22"/>
          <w:szCs w:val="22"/>
        </w:rPr>
        <w:t xml:space="preserve"> (IL XX.XX</w:t>
      </w:r>
      <w:r>
        <w:rPr>
          <w:rFonts w:asciiTheme="minorHAnsi" w:hAnsiTheme="minorHAnsi" w:cstheme="minorHAnsi"/>
          <w:sz w:val="22"/>
          <w:szCs w:val="22"/>
        </w:rPr>
        <w:t xml:space="preserve">), che descrivono nel dettaglio una sequenza di operazioni elementari tipicamente riferite ad una limitata porzione di processo (ad esempio per eseguire una lavorazione, un collaudo, una taratura, una transazione su sistema informativo, ecc.). Procedure e </w:t>
      </w:r>
      <w:r>
        <w:rPr>
          <w:rFonts w:asciiTheme="minorHAnsi" w:hAnsiTheme="minorHAnsi" w:cstheme="minorHAnsi"/>
          <w:sz w:val="22"/>
          <w:szCs w:val="22"/>
        </w:rPr>
        <w:t xml:space="preserve">i</w:t>
      </w:r>
      <w:r>
        <w:rPr>
          <w:rFonts w:asciiTheme="minorHAnsi" w:hAnsiTheme="minorHAnsi" w:cstheme="minorHAnsi"/>
          <w:sz w:val="22"/>
          <w:szCs w:val="22"/>
        </w:rPr>
        <w:t xml:space="preserve">struzioni possono richiamare dei moduli (M XX.XX), predisposti per la raccolta di dati o per registrare che una certa attività è stata eseguita. Le procedure possono richiamare documenti di </w:t>
      </w:r>
      <w:r>
        <w:rPr>
          <w:rFonts w:asciiTheme="minorHAnsi" w:hAnsiTheme="minorHAnsi" w:cstheme="minorHAnsi"/>
          <w:sz w:val="22"/>
          <w:szCs w:val="22"/>
        </w:rPr>
        <w:t xml:space="preserve">S</w:t>
      </w:r>
      <w:r>
        <w:rPr>
          <w:rFonts w:asciiTheme="minorHAnsi" w:hAnsiTheme="minorHAnsi" w:cstheme="minorHAnsi"/>
          <w:sz w:val="22"/>
          <w:szCs w:val="22"/>
        </w:rPr>
        <w:t xml:space="preserve">istema predisposti per la consultazione (D XX.XX) (ad esempio l’indice della documentazione, le schede tecniche, ecc.).</w:t>
      </w:r>
      <w:r>
        <w:rPr>
          <w:rFonts w:asciiTheme="minorHAnsi" w:hAnsiTheme="minorHAnsi" w:cstheme="minorHAnsi"/>
          <w:sz w:val="22"/>
          <w:szCs w:val="22"/>
        </w:rPr>
      </w:r>
    </w:p>
    <w:p>
      <w:pPr>
        <w:pBdr/>
        <w:spacing w:after="240"/>
        <w:ind/>
        <w:jc w:val="both"/>
        <w:rPr>
          <w:rFonts w:asciiTheme="minorHAnsi" w:hAnsiTheme="minorHAnsi" w:cstheme="minorHAnsi"/>
          <w:sz w:val="22"/>
          <w:szCs w:val="22"/>
        </w:rPr>
      </w:pPr>
      <w:r>
        <w:rPr>
          <w:rFonts w:asciiTheme="minorHAnsi" w:hAnsiTheme="minorHAnsi" w:cstheme="minorHAnsi"/>
          <w:sz w:val="22"/>
          <w:szCs w:val="22"/>
        </w:rPr>
        <w:t xml:space="preserve">Tutti i documenti sono identificati univocamente da un codice e riportano il numero e la data di revisione, il motivo della revisione, la persona che ha emesso il documento e la persona che ha approvato il documento.</w:t>
      </w:r>
      <w:r>
        <w:rPr>
          <w:rFonts w:asciiTheme="minorHAnsi" w:hAnsiTheme="minorHAnsi" w:cstheme="minorHAnsi"/>
          <w:sz w:val="22"/>
          <w:szCs w:val="22"/>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PROCEDURA</w:t>
      </w:r>
      <w:r>
        <w:rPr>
          <w:rFonts w:asciiTheme="minorHAnsi" w:hAnsiTheme="minorHAnsi" w:cstheme="minorHAnsi"/>
          <w:b/>
          <w:sz w:val="22"/>
          <w:szCs w:val="22"/>
        </w:rPr>
      </w:r>
    </w:p>
    <w:p>
      <w:pPr>
        <w:pBdr/>
        <w:spacing/>
        <w:ind/>
        <w:jc w:val="both"/>
        <w:rPr>
          <w:rFonts w:asciiTheme="minorHAnsi" w:hAnsiTheme="minorHAnsi" w:cstheme="minorHAnsi"/>
          <w:b/>
          <w:bCs/>
          <w:sz w:val="22"/>
          <w:szCs w:val="22"/>
        </w:rPr>
      </w:pPr>
      <w:r>
        <w:rPr>
          <w:rFonts w:asciiTheme="minorHAnsi" w:hAnsiTheme="minorHAnsi" w:cstheme="minorHAnsi"/>
          <w:b/>
          <w:bCs/>
          <w:sz w:val="22"/>
          <w:szCs w:val="22"/>
        </w:rPr>
        <w:t xml:space="preserve">Emissione di nuovi documenti</w:t>
      </w:r>
      <w:r>
        <w:rPr>
          <w:rFonts w:asciiTheme="minorHAnsi" w:hAnsiTheme="minorHAnsi" w:cstheme="minorHAnsi"/>
          <w:b/>
          <w:bCs/>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w:t>
      </w:r>
      <w:r>
        <w:rPr>
          <w:rFonts w:asciiTheme="minorHAnsi" w:hAnsiTheme="minorHAnsi" w:cstheme="minorHAnsi"/>
          <w:sz w:val="22"/>
          <w:szCs w:val="22"/>
        </w:rPr>
        <w:t xml:space="preserve">Q</w:t>
      </w:r>
      <w:r>
        <w:rPr>
          <w:rFonts w:asciiTheme="minorHAnsi" w:hAnsiTheme="minorHAnsi" w:cstheme="minorHAnsi"/>
          <w:sz w:val="22"/>
          <w:szCs w:val="22"/>
        </w:rPr>
        <w:t xml:space="preserve">ualità è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dell’emissione di tutta la documentazione di </w:t>
      </w:r>
      <w:r>
        <w:rPr>
          <w:rFonts w:asciiTheme="minorHAnsi" w:hAnsiTheme="minorHAnsi" w:cstheme="minorHAnsi"/>
          <w:sz w:val="22"/>
          <w:szCs w:val="22"/>
        </w:rPr>
        <w:t xml:space="preserve">S</w:t>
      </w:r>
      <w:r>
        <w:rPr>
          <w:rFonts w:asciiTheme="minorHAnsi" w:hAnsiTheme="minorHAnsi" w:cstheme="minorHAnsi"/>
          <w:sz w:val="22"/>
          <w:szCs w:val="22"/>
        </w:rPr>
        <w:t xml:space="preserve">istema secondo le seguenti prescrizioni:</w:t>
      </w:r>
      <w:r>
        <w:rPr>
          <w:rFonts w:asciiTheme="minorHAnsi" w:hAnsiTheme="minorHAnsi" w:cstheme="minorHAnsi"/>
          <w:sz w:val="22"/>
          <w:szCs w:val="22"/>
        </w:rPr>
      </w:r>
    </w:p>
    <w:p>
      <w:pPr>
        <w:pStyle w:val="1051"/>
        <w:numPr>
          <w:ilvl w:val="0"/>
          <w:numId w:val="18"/>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t</w:t>
      </w:r>
      <w:r>
        <w:rPr>
          <w:rFonts w:asciiTheme="minorHAnsi" w:hAnsiTheme="minorHAnsi" w:cstheme="minorHAnsi"/>
          <w:sz w:val="22"/>
          <w:szCs w:val="22"/>
        </w:rPr>
        <w:t xml:space="preserve">utti di documenti sono identificati da un titolo; </w:t>
      </w:r>
      <w:r>
        <w:rPr>
          <w:rFonts w:asciiTheme="minorHAnsi" w:hAnsiTheme="minorHAnsi" w:cstheme="minorHAnsi"/>
          <w:sz w:val="22"/>
          <w:szCs w:val="22"/>
        </w:rPr>
      </w:r>
    </w:p>
    <w:p>
      <w:pPr>
        <w:pStyle w:val="1051"/>
        <w:numPr>
          <w:ilvl w:val="0"/>
          <w:numId w:val="18"/>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p</w:t>
      </w:r>
      <w:r>
        <w:rPr>
          <w:rFonts w:asciiTheme="minorHAnsi" w:hAnsiTheme="minorHAnsi" w:cstheme="minorHAnsi"/>
          <w:sz w:val="22"/>
          <w:szCs w:val="22"/>
        </w:rPr>
        <w:t xml:space="preserve">er le procedure deve essere sempre specificato lo scopo, il campo di applicazione, il motivo della revisione e i documenti di riferimento.</w:t>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La copia originale del Manuale Qualità riporta sempre le firme originali di emissione e approvazione secondo le seguenti responsabilità:</w:t>
      </w:r>
      <w:r>
        <w:rPr>
          <w:rFonts w:asciiTheme="minorHAnsi" w:hAnsiTheme="minorHAnsi" w:cstheme="minorHAnsi"/>
          <w:sz w:val="22"/>
          <w:szCs w:val="22"/>
        </w:rPr>
      </w:r>
    </w:p>
    <w:p>
      <w:pPr>
        <w:pStyle w:val="1051"/>
        <w:numPr>
          <w:ilvl w:val="0"/>
          <w:numId w:val="19"/>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e</w:t>
      </w:r>
      <w:r>
        <w:rPr>
          <w:rFonts w:asciiTheme="minorHAnsi" w:hAnsiTheme="minorHAnsi" w:cstheme="minorHAnsi"/>
          <w:sz w:val="22"/>
          <w:szCs w:val="22"/>
        </w:rPr>
        <w:t xml:space="preserve">missione (e verifica rispetto le norme e gli standard): Responsabile qualità;</w:t>
      </w:r>
      <w:r>
        <w:rPr>
          <w:rFonts w:asciiTheme="minorHAnsi" w:hAnsiTheme="minorHAnsi" w:cstheme="minorHAnsi"/>
          <w:sz w:val="22"/>
          <w:szCs w:val="22"/>
        </w:rPr>
      </w:r>
    </w:p>
    <w:p>
      <w:pPr>
        <w:pStyle w:val="1051"/>
        <w:numPr>
          <w:ilvl w:val="0"/>
          <w:numId w:val="19"/>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pprovazione (resa esecutiva): Direzione.</w:t>
      </w:r>
      <w:r>
        <w:rPr>
          <w:rFonts w:asciiTheme="minorHAnsi" w:hAnsiTheme="minorHAnsi" w:cstheme="minorHAnsi"/>
          <w:sz w:val="22"/>
          <w:szCs w:val="22"/>
        </w:rPr>
      </w:r>
    </w:p>
    <w:p>
      <w:pPr>
        <w:pStyle w:val="1051"/>
        <w:pBdr/>
        <w:spacing/>
        <w:ind w:left="720"/>
        <w:contextualSpacing w:val="true"/>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 moduli sono gestiti come allegati delle procedure, l’iter di emissione di un modulo (o di una sua modifica) è quello della procedura che lo richiama.</w:t>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L’indice generale della documentazione di sistema nell’ultima revisi</w:t>
      </w:r>
      <w:r>
        <w:rPr>
          <w:rFonts w:asciiTheme="minorHAnsi" w:hAnsiTheme="minorHAnsi" w:cstheme="minorHAnsi"/>
          <w:sz w:val="22"/>
          <w:szCs w:val="22"/>
        </w:rPr>
        <w:t xml:space="preserve">one è riportato in </w:t>
      </w:r>
      <w:r>
        <w:rPr>
          <w:rFonts w:ascii="Calibri" w:hAnsi="Calibri" w:cs="Calibri"/>
          <w:i/>
          <w:sz w:val="22"/>
          <w:szCs w:val="22"/>
        </w:rPr>
        <w:t xml:space="preserve">D 05.01 “Elenco della documentazione”</w:t>
      </w:r>
      <w:r>
        <w:rPr>
          <w:rFonts w:ascii="Calibri" w:hAnsi="Calibri" w:cs="Calibri"/>
          <w:sz w:val="22"/>
          <w:szCs w:val="22"/>
        </w:rPr>
        <w:t xml:space="preserve"> </w:t>
      </w:r>
      <w:r>
        <w:rPr>
          <w:rFonts w:asciiTheme="minorHAnsi" w:hAnsiTheme="minorHAnsi" w:cstheme="minorHAnsi"/>
          <w:sz w:val="22"/>
          <w:szCs w:val="22"/>
        </w:rPr>
        <w:t xml:space="preserve">che riporta per ogni documento di Sistema la sezione del MAQ, il capitolo della Norma di Riferimento a cui il documento si riferisce la sigla e il documento, la revisione più recente del documento, la data di emissione.</w:t>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b/>
          <w:bCs/>
          <w:sz w:val="22"/>
          <w:szCs w:val="22"/>
        </w:rPr>
      </w:pPr>
      <w:r>
        <w:rPr>
          <w:rFonts w:asciiTheme="minorHAnsi" w:hAnsiTheme="minorHAnsi" w:cstheme="minorHAnsi"/>
          <w:b/>
          <w:bCs/>
          <w:sz w:val="22"/>
          <w:szCs w:val="22"/>
        </w:rPr>
        <w:t xml:space="preserve">Distribuzione della documentazione di sistema</w:t>
      </w:r>
      <w:r>
        <w:rPr>
          <w:rFonts w:asciiTheme="minorHAnsi" w:hAnsiTheme="minorHAnsi" w:cstheme="minorHAnsi"/>
          <w:b/>
          <w:bCs/>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Respon</w:t>
      </w:r>
      <w:r>
        <w:rPr>
          <w:rFonts w:asciiTheme="minorHAnsi" w:hAnsiTheme="minorHAnsi" w:cstheme="minorHAnsi"/>
          <w:sz w:val="22"/>
          <w:szCs w:val="22"/>
        </w:rPr>
        <w:t xml:space="preserve">sabile della Qualità aggiorna </w:t>
      </w:r>
      <w:r>
        <w:rPr>
          <w:rFonts w:asciiTheme="minorHAnsi" w:hAnsiTheme="minorHAnsi" w:cstheme="minorHAnsi"/>
          <w:sz w:val="22"/>
          <w:szCs w:val="22"/>
        </w:rPr>
        <w:t xml:space="preserve">il documento </w:t>
      </w:r>
      <w:r>
        <w:rPr>
          <w:rFonts w:asciiTheme="minorHAnsi" w:hAnsiTheme="minorHAnsi" w:cstheme="minorHAnsi"/>
          <w:i/>
          <w:sz w:val="22"/>
          <w:szCs w:val="22"/>
        </w:rPr>
        <w:t xml:space="preserve">D 05.01 “Elenco della documentazione”</w:t>
      </w:r>
      <w:r>
        <w:rPr>
          <w:rFonts w:asciiTheme="minorHAnsi" w:hAnsiTheme="minorHAnsi" w:cstheme="minorHAnsi"/>
          <w:sz w:val="22"/>
          <w:szCs w:val="22"/>
        </w:rPr>
        <w:t xml:space="preserve"> e</w:t>
      </w:r>
      <w:r>
        <w:rPr>
          <w:rFonts w:asciiTheme="minorHAnsi" w:hAnsiTheme="minorHAnsi" w:cstheme="minorHAnsi"/>
          <w:sz w:val="22"/>
          <w:szCs w:val="22"/>
        </w:rPr>
        <w:t xml:space="preserve"> compila</w:t>
      </w:r>
      <w:r>
        <w:rPr>
          <w:rFonts w:asciiTheme="minorHAnsi" w:hAnsiTheme="minorHAnsi" w:cstheme="minorHAnsi"/>
          <w:sz w:val="22"/>
          <w:szCs w:val="22"/>
        </w:rPr>
        <w:t xml:space="preserve"> </w:t>
      </w:r>
      <w:r>
        <w:rPr>
          <w:rFonts w:asciiTheme="minorHAnsi" w:hAnsiTheme="minorHAnsi" w:cstheme="minorHAnsi"/>
          <w:sz w:val="22"/>
          <w:szCs w:val="22"/>
        </w:rPr>
        <w:t xml:space="preserve">il modulo </w:t>
      </w:r>
      <w:r>
        <w:rPr>
          <w:rFonts w:asciiTheme="minorHAnsi" w:hAnsiTheme="minorHAnsi" w:cstheme="minorHAnsi"/>
          <w:i/>
          <w:sz w:val="22"/>
          <w:szCs w:val="22"/>
        </w:rPr>
        <w:t xml:space="preserve">M 05.01 “Lista di distribuzione della documentazione”</w:t>
      </w:r>
      <w:r>
        <w:rPr>
          <w:rFonts w:asciiTheme="minorHAnsi" w:hAnsiTheme="minorHAnsi" w:cstheme="minorHAnsi"/>
          <w:i/>
          <w:sz w:val="22"/>
          <w:szCs w:val="22"/>
        </w:rPr>
        <w:t xml:space="preserve"> </w:t>
      </w:r>
      <w:r>
        <w:rPr>
          <w:rFonts w:asciiTheme="minorHAnsi" w:hAnsiTheme="minorHAnsi" w:cstheme="minorHAnsi"/>
          <w:sz w:val="22"/>
          <w:szCs w:val="22"/>
        </w:rPr>
        <w:t xml:space="preserve">nel caso </w:t>
      </w:r>
      <w:r>
        <w:rPr>
          <w:rFonts w:asciiTheme="minorHAnsi" w:hAnsiTheme="minorHAnsi" w:cstheme="minorHAnsi"/>
          <w:sz w:val="22"/>
          <w:szCs w:val="22"/>
        </w:rPr>
        <w:t xml:space="preserve">in cui </w:t>
      </w:r>
      <w:r>
        <w:rPr>
          <w:rFonts w:asciiTheme="minorHAnsi" w:hAnsiTheme="minorHAnsi" w:cstheme="minorHAnsi"/>
          <w:sz w:val="22"/>
          <w:szCs w:val="22"/>
        </w:rPr>
        <w:t xml:space="preserve">vengano distribuite copie controllate e consegna il documento ai destinatari registrando </w:t>
      </w:r>
      <w:r>
        <w:rPr>
          <w:rFonts w:asciiTheme="minorHAnsi" w:hAnsiTheme="minorHAnsi" w:cstheme="minorHAnsi"/>
          <w:sz w:val="22"/>
          <w:szCs w:val="22"/>
        </w:rPr>
        <w:t xml:space="preserve">in M 05.01</w:t>
      </w:r>
      <w:r>
        <w:rPr>
          <w:rFonts w:asciiTheme="minorHAnsi" w:hAnsiTheme="minorHAnsi" w:cstheme="minorHAnsi"/>
          <w:sz w:val="22"/>
          <w:szCs w:val="22"/>
        </w:rPr>
        <w:t xml:space="preserve"> “</w:t>
      </w:r>
      <w:r>
        <w:rPr>
          <w:rFonts w:asciiTheme="minorHAnsi" w:hAnsiTheme="minorHAnsi" w:cstheme="minorHAnsi"/>
          <w:i/>
          <w:iCs/>
          <w:sz w:val="22"/>
          <w:szCs w:val="22"/>
        </w:rPr>
        <w:t xml:space="preserve">Lista di distribuzione della documentazione di sistema in forma controllata”</w:t>
      </w:r>
      <w:r>
        <w:rPr>
          <w:rFonts w:asciiTheme="minorHAnsi" w:hAnsiTheme="minorHAnsi" w:cstheme="minorHAnsi"/>
          <w:sz w:val="22"/>
          <w:szCs w:val="22"/>
        </w:rPr>
        <w:t xml:space="preserve">.</w:t>
      </w:r>
      <w:r>
        <w:rPr>
          <w:rFonts w:asciiTheme="minorHAnsi" w:hAnsiTheme="minorHAnsi" w:cstheme="minorHAnsi"/>
          <w:sz w:val="22"/>
          <w:szCs w:val="22"/>
        </w:rPr>
      </w:r>
    </w:p>
    <w:p>
      <w:pPr>
        <w:pBdr/>
        <w:spacing w:after="240"/>
        <w:ind/>
        <w:jc w:val="both"/>
        <w:rPr>
          <w:rFonts w:asciiTheme="minorHAnsi" w:hAnsiTheme="minorHAnsi" w:cstheme="minorHAnsi"/>
          <w:sz w:val="22"/>
          <w:szCs w:val="22"/>
          <w:highlight w:val="none"/>
        </w:rPr>
      </w:pPr>
      <w:r>
        <w:rPr>
          <w:rFonts w:asciiTheme="minorHAnsi" w:hAnsiTheme="minorHAnsi" w:cstheme="minorHAnsi"/>
          <w:sz w:val="22"/>
          <w:szCs w:val="22"/>
        </w:rPr>
        <w:t xml:space="preserve">Gli assegnatari dei documenti provvedono a distruggere le versioni superate o a iden</w:t>
      </w:r>
      <w:r>
        <w:rPr>
          <w:rFonts w:asciiTheme="minorHAnsi" w:hAnsiTheme="minorHAnsi" w:cstheme="minorHAnsi"/>
          <w:sz w:val="22"/>
          <w:szCs w:val="22"/>
        </w:rPr>
        <w:t xml:space="preserve">tificarle chiaramente come tali</w:t>
      </w:r>
      <w:r>
        <w:rPr>
          <w:rFonts w:asciiTheme="minorHAnsi" w:hAnsiTheme="minorHAnsi" w:cstheme="minorHAnsi"/>
          <w:sz w:val="22"/>
          <w:szCs w:val="22"/>
        </w:rPr>
        <w:t xml:space="preserve"> apponendo su esse la scritta: “</w:t>
      </w:r>
      <w:r>
        <w:rPr>
          <w:rFonts w:asciiTheme="minorHAnsi" w:hAnsiTheme="minorHAnsi" w:cstheme="minorHAnsi"/>
          <w:i/>
          <w:iCs/>
          <w:sz w:val="22"/>
          <w:szCs w:val="22"/>
        </w:rPr>
        <w:t xml:space="preserve">Superato</w:t>
      </w:r>
      <w:r>
        <w:rPr>
          <w:rFonts w:asciiTheme="minorHAnsi" w:hAnsiTheme="minorHAnsi" w:cstheme="minorHAnsi"/>
          <w:sz w:val="22"/>
          <w:szCs w:val="22"/>
        </w:rPr>
        <w:t xml:space="preserve">” nel caso intendano conservarla.</w:t>
      </w:r>
      <w:r>
        <w:rPr>
          <w:rFonts w:asciiTheme="minorHAnsi" w:hAnsiTheme="minorHAnsi" w:cstheme="minorHAnsi"/>
          <w:sz w:val="22"/>
          <w:szCs w:val="22"/>
        </w:rPr>
      </w:r>
    </w:p>
    <w:p>
      <w:pPr>
        <w:pBdr>
          <w:top w:val="none" w:color="000000" w:sz="4" w:space="0"/>
          <w:left w:val="none" w:color="000000" w:sz="4" w:space="0"/>
          <w:bottom w:val="none" w:color="000000" w:sz="4" w:space="0"/>
          <w:right w:val="none" w:color="000000" w:sz="4" w:space="0"/>
        </w:pBdr>
        <w:spacing/>
        <w:ind/>
        <w:jc w:val="both"/>
        <w:rPr>
          <w:rFonts w:asciiTheme="minorHAnsi" w:hAnsiTheme="minorHAnsi" w:cstheme="minorHAnsi"/>
          <w:b/>
          <w:bCs/>
          <w:szCs w:val="22"/>
          <w14:ligatures w14:val="none"/>
        </w:rPr>
      </w:pPr>
      <w:r>
        <w:rPr>
          <w:rFonts w:asciiTheme="minorHAnsi" w:hAnsiTheme="minorHAnsi" w:cstheme="minorHAnsi"/>
          <w:b/>
          <w:bCs/>
          <w:sz w:val="22"/>
          <w:szCs w:val="22"/>
          <w:lang w:val="undefined" w:bidi="undefined"/>
        </w:rPr>
      </w:r>
      <w:r>
        <w:rPr>
          <w:rFonts w:asciiTheme="minorHAnsi" w:hAnsiTheme="minorHAnsi" w:cstheme="minorHAnsi"/>
          <w:b/>
          <w:bCs/>
          <w:sz w:val="22"/>
          <w:szCs w:val="22"/>
          <w:lang w:val="undefined"/>
        </w:rPr>
        <w:t xml:space="preserve">Notifica all’Ente di Certificazione / Prodotti a marchio</w:t>
      </w:r>
      <w:r>
        <w:rPr>
          <w:rFonts w:asciiTheme="minorHAnsi" w:hAnsiTheme="minorHAnsi" w:cstheme="minorHAnsi"/>
          <w:b/>
          <w:bCs/>
          <w:sz w:val="22"/>
          <w:szCs w:val="22"/>
          <w:lang w:val="undefined"/>
        </w:rPr>
      </w:r>
    </w:p>
    <w:p>
      <w:pPr>
        <w:pBdr>
          <w:top w:val="none" w:color="000000" w:sz="4" w:space="0"/>
          <w:left w:val="none" w:color="000000" w:sz="4" w:space="0"/>
          <w:bottom w:val="none" w:color="000000" w:sz="4" w:space="0"/>
          <w:right w:val="none" w:color="000000" w:sz="4" w:space="0"/>
        </w:pBdr>
        <w:spacing/>
        <w:ind/>
        <w:jc w:val="both"/>
        <w:rPr>
          <w:rFonts w:asciiTheme="minorHAnsi" w:hAnsiTheme="minorHAnsi" w:cstheme="minorHAnsi"/>
          <w:sz w:val="22"/>
          <w:szCs w:val="22"/>
          <w14:ligatures w14:val="none"/>
        </w:rPr>
      </w:pPr>
      <w:r>
        <w:rPr>
          <w:rFonts w:asciiTheme="minorHAnsi" w:hAnsiTheme="minorHAnsi" w:cstheme="minorHAnsi"/>
          <w:sz w:val="22"/>
          <w:szCs w:val="22"/>
          <w:lang w:val="undefined"/>
        </w:rPr>
        <w:t xml:space="preserve">Durante il ciclo di certificazione, la direzione generale deve garantire che il proprio ente di certificazione sia informato circa ogni cambiamento che possa influenzare la sua capacità di rispettare i requisiti di certificazione (es. richiami, allerte sui</w:t>
      </w:r>
      <w:r>
        <w:rPr>
          <w:rFonts w:asciiTheme="minorHAnsi" w:hAnsiTheme="minorHAnsi" w:cstheme="minorHAnsi"/>
          <w:sz w:val="22"/>
          <w:szCs w:val="22"/>
          <w:lang w:val="undefined"/>
        </w:rPr>
        <w:t xml:space="preserve"> prodotti, cambiamenti nell’organizzazione e nella Direzione, importanti modifiche ai prodotti o ai metodi di produzione, cambiamenti degli indirizzi di contatto e dei siti produttivi, nuovo indirizzo del sito produttivo, ecc.). I dettagli devono essere de</w:t>
      </w:r>
      <w:r>
        <w:rPr>
          <w:rFonts w:asciiTheme="minorHAnsi" w:hAnsiTheme="minorHAnsi" w:cstheme="minorHAnsi"/>
          <w:sz w:val="22"/>
          <w:szCs w:val="22"/>
          <w:lang w:val="undefined"/>
        </w:rPr>
        <w:t xml:space="preserve">finiti e concordati tra le parti.</w:t>
      </w:r>
      <w:r>
        <w:rPr>
          <w:rFonts w:asciiTheme="minorHAnsi" w:hAnsiTheme="minorHAnsi" w:cstheme="minorHAnsi"/>
          <w:sz w:val="22"/>
          <w:szCs w:val="22"/>
          <w:lang w:val="undefined"/>
        </w:rPr>
      </w:r>
    </w:p>
    <w:p>
      <w:pPr>
        <w:pBdr>
          <w:top w:val="none" w:color="000000" w:sz="4" w:space="0"/>
          <w:left w:val="none" w:color="000000" w:sz="4" w:space="0"/>
          <w:bottom w:val="none" w:color="000000" w:sz="4" w:space="0"/>
          <w:right w:val="none" w:color="000000" w:sz="4" w:space="0"/>
        </w:pBdr>
        <w:spacing/>
        <w:ind/>
        <w:jc w:val="both"/>
        <w:rPr>
          <w:rFonts w:asciiTheme="minorHAnsi" w:hAnsiTheme="minorHAnsi" w:cstheme="minorHAnsi"/>
          <w:sz w:val="22"/>
          <w:szCs w:val="22"/>
          <w14:ligatures w14:val="none"/>
        </w:rPr>
      </w:pPr>
      <w:r>
        <w:rPr>
          <w:rFonts w:asciiTheme="minorHAnsi" w:hAnsiTheme="minorHAnsi" w:cstheme="minorHAnsi"/>
          <w:sz w:val="22"/>
          <w:szCs w:val="22"/>
          <w:lang w:val="undefined"/>
        </w:rPr>
        <w:t xml:space="preserve">Per situazioni specifiche (ovvero in caso di richiamo del prodotto, richiamo del prodotto e/o di ritiro del prodotto per ordine ufficiale per motivi di sicurezza alimentare e /o frode alimentare o a seguito di qualsiasi visita da parte delle autorità compe</w:t>
      </w:r>
      <w:r>
        <w:rPr>
          <w:rFonts w:asciiTheme="minorHAnsi" w:hAnsiTheme="minorHAnsi" w:cstheme="minorHAnsi"/>
          <w:sz w:val="22"/>
          <w:szCs w:val="22"/>
          <w:lang w:val="undefined"/>
        </w:rPr>
        <w:t xml:space="preserve">tenti, che risultasse in una notifica e / o sanzione emessa dalle autorità), l’ente di certificazione deve essere informato entro tre (3) giorni lavorativi. In seguito, entro 21 gg l’ente deve essere avvisato riguardo lo stato del richiamo/ritiro e se tale</w:t>
      </w:r>
      <w:r>
        <w:rPr>
          <w:rFonts w:asciiTheme="minorHAnsi" w:hAnsiTheme="minorHAnsi" w:cstheme="minorHAnsi"/>
          <w:sz w:val="22"/>
          <w:szCs w:val="22"/>
          <w:lang w:val="undefined"/>
        </w:rPr>
        <w:t xml:space="preserve"> attività abbia pregiudicato la sicurezza del sito e quali azioni siano state svolte per garantirla.</w:t>
      </w:r>
      <w:r>
        <w:rPr>
          <w:rFonts w:asciiTheme="minorHAnsi" w:hAnsiTheme="minorHAnsi" w:cstheme="minorHAnsi"/>
          <w:sz w:val="22"/>
          <w:szCs w:val="22"/>
          <w:lang w:val="undefined"/>
        </w:rPr>
      </w:r>
    </w:p>
    <w:p>
      <w:pPr>
        <w:pBdr/>
        <w:shd w:val="nil"/>
        <w:spacing/>
        <w:ind/>
        <w:rPr>
          <w:rFonts w:asciiTheme="minorHAnsi" w:hAnsiTheme="minorHAnsi" w:cstheme="minorHAnsi"/>
          <w:b/>
          <w:bCs/>
          <w:sz w:val="22"/>
          <w:szCs w:val="22"/>
        </w:rPr>
      </w:pPr>
      <w:r>
        <w:rPr>
          <w:rFonts w:asciiTheme="minorHAnsi" w:hAnsiTheme="minorHAnsi" w:cstheme="minorHAnsi"/>
          <w:b/>
          <w:sz w:val="22"/>
          <w:szCs w:val="22"/>
          <w:highlight w:val="none"/>
        </w:rPr>
        <w:br w:type="page" w:clear="all"/>
      </w:r>
      <w:r>
        <w:rPr>
          <w:rFonts w:asciiTheme="minorHAnsi" w:hAnsiTheme="minorHAnsi" w:cstheme="minorHAnsi"/>
          <w:b/>
          <w:sz w:val="22"/>
          <w:szCs w:val="22"/>
          <w:highlight w:val="none"/>
        </w:rPr>
      </w:r>
      <w:r>
        <w:rPr>
          <w:rFonts w:asciiTheme="minorHAnsi" w:hAnsiTheme="minorHAnsi" w:cstheme="minorHAnsi"/>
          <w:b/>
          <w:sz w:val="22"/>
          <w:szCs w:val="22"/>
          <w:highlight w:val="none"/>
        </w:rPr>
      </w:r>
    </w:p>
    <w:p>
      <w:pPr>
        <w:numPr>
          <w:ilvl w:val="0"/>
          <w:numId w:val="23"/>
        </w:numPr>
        <w:pBdr/>
        <w:spacing w:after="240"/>
        <w:ind/>
        <w:jc w:val="both"/>
        <w:rPr>
          <w:rFonts w:asciiTheme="minorHAnsi" w:hAnsiTheme="minorHAnsi" w:cstheme="minorHAnsi"/>
          <w:b/>
          <w:sz w:val="22"/>
          <w:szCs w:val="22"/>
        </w:rPr>
      </w:pPr>
      <w:r>
        <w:rPr>
          <w:rFonts w:asciiTheme="minorHAnsi" w:hAnsiTheme="minorHAnsi" w:cstheme="minorHAnsi"/>
          <w:b/>
          <w:sz w:val="22"/>
          <w:szCs w:val="22"/>
        </w:rPr>
        <w:t xml:space="preserve">ARCHIVIAZIONE</w:t>
      </w:r>
      <w:r>
        <w:rPr>
          <w:rFonts w:asciiTheme="minorHAnsi" w:hAnsiTheme="minorHAnsi" w:cstheme="minorHAnsi"/>
          <w:b/>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Qualità al termine della distribuzione</w:t>
      </w:r>
      <w:r>
        <w:rPr>
          <w:rFonts w:asciiTheme="minorHAnsi" w:hAnsiTheme="minorHAnsi" w:cstheme="minorHAnsi"/>
          <w:sz w:val="22"/>
          <w:szCs w:val="22"/>
        </w:rPr>
        <w:t xml:space="preserve"> della documentazione</w:t>
      </w:r>
      <w:r>
        <w:rPr>
          <w:rFonts w:asciiTheme="minorHAnsi" w:hAnsiTheme="minorHAnsi" w:cstheme="minorHAnsi"/>
          <w:sz w:val="22"/>
          <w:szCs w:val="22"/>
        </w:rPr>
        <w:t xml:space="preserve">:</w:t>
      </w:r>
      <w:r>
        <w:rPr>
          <w:rFonts w:asciiTheme="minorHAnsi" w:hAnsiTheme="minorHAnsi" w:cstheme="minorHAnsi"/>
          <w:sz w:val="22"/>
          <w:szCs w:val="22"/>
        </w:rPr>
      </w:r>
    </w:p>
    <w:p>
      <w:pPr>
        <w:pStyle w:val="1051"/>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llega </w:t>
      </w:r>
      <w:r>
        <w:rPr>
          <w:rFonts w:asciiTheme="minorHAnsi" w:hAnsiTheme="minorHAnsi" w:cstheme="minorHAnsi"/>
          <w:i/>
          <w:sz w:val="22"/>
          <w:szCs w:val="22"/>
        </w:rPr>
        <w:t xml:space="preserve">M 05.01 “Lista di distribuzione della documentazione”</w:t>
      </w:r>
      <w:r>
        <w:rPr>
          <w:rFonts w:asciiTheme="minorHAnsi" w:hAnsiTheme="minorHAnsi" w:cstheme="minorHAnsi"/>
          <w:i/>
          <w:sz w:val="22"/>
          <w:szCs w:val="22"/>
        </w:rPr>
        <w:t xml:space="preserve"> </w:t>
      </w:r>
      <w:r>
        <w:rPr>
          <w:rFonts w:ascii="Calibri" w:hAnsi="Calibri" w:cs="Calibri"/>
          <w:sz w:val="22"/>
          <w:szCs w:val="22"/>
        </w:rPr>
        <w:t xml:space="preserve">alla copia originale</w:t>
      </w:r>
      <w:r>
        <w:rPr>
          <w:rFonts w:ascii="Calibri" w:hAnsi="Calibri" w:cs="Calibri"/>
          <w:sz w:val="22"/>
          <w:szCs w:val="22"/>
        </w:rPr>
        <w:t xml:space="preserve"> del documento consegnato</w:t>
      </w:r>
      <w:r>
        <w:rPr>
          <w:rFonts w:asciiTheme="minorHAnsi" w:hAnsiTheme="minorHAnsi" w:cstheme="minorHAnsi"/>
          <w:sz w:val="22"/>
          <w:szCs w:val="22"/>
        </w:rPr>
        <w:t xml:space="preserve">;</w:t>
      </w:r>
      <w:r>
        <w:rPr>
          <w:rFonts w:asciiTheme="minorHAnsi" w:hAnsiTheme="minorHAnsi" w:cstheme="minorHAnsi"/>
          <w:sz w:val="22"/>
          <w:szCs w:val="22"/>
        </w:rPr>
      </w:r>
    </w:p>
    <w:p>
      <w:pPr>
        <w:pStyle w:val="1051"/>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a</w:t>
      </w:r>
      <w:r>
        <w:rPr>
          <w:rFonts w:asciiTheme="minorHAnsi" w:hAnsiTheme="minorHAnsi" w:cstheme="minorHAnsi"/>
          <w:sz w:val="22"/>
          <w:szCs w:val="22"/>
        </w:rPr>
        <w:t xml:space="preserve">rchivia la copia originale nell’archivio “copie originali”;</w:t>
      </w:r>
      <w:r>
        <w:rPr>
          <w:rFonts w:asciiTheme="minorHAnsi" w:hAnsiTheme="minorHAnsi" w:cstheme="minorHAnsi"/>
          <w:sz w:val="22"/>
          <w:szCs w:val="22"/>
        </w:rPr>
      </w:r>
    </w:p>
    <w:p>
      <w:pPr>
        <w:pStyle w:val="1051"/>
        <w:numPr>
          <w:ilvl w:val="0"/>
          <w:numId w:val="20"/>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t</w:t>
      </w:r>
      <w:r>
        <w:rPr>
          <w:rFonts w:asciiTheme="minorHAnsi" w:hAnsiTheme="minorHAnsi" w:cstheme="minorHAnsi"/>
          <w:sz w:val="22"/>
          <w:szCs w:val="22"/>
        </w:rPr>
        <w:t xml:space="preserve">rasferisce la copia originale della revis</w:t>
      </w:r>
      <w:r>
        <w:rPr>
          <w:rFonts w:asciiTheme="minorHAnsi" w:hAnsiTheme="minorHAnsi" w:cstheme="minorHAnsi"/>
          <w:sz w:val="22"/>
          <w:szCs w:val="22"/>
        </w:rPr>
        <w:t xml:space="preserve">ione precedente nell’archivio “</w:t>
      </w:r>
      <w:r>
        <w:rPr>
          <w:rFonts w:asciiTheme="minorHAnsi" w:hAnsiTheme="minorHAnsi" w:cstheme="minorHAnsi"/>
          <w:i/>
          <w:iCs/>
          <w:sz w:val="22"/>
          <w:szCs w:val="22"/>
        </w:rPr>
        <w:t xml:space="preserve">S</w:t>
      </w:r>
      <w:r>
        <w:rPr>
          <w:rFonts w:asciiTheme="minorHAnsi" w:hAnsiTheme="minorHAnsi" w:cstheme="minorHAnsi"/>
          <w:i/>
          <w:iCs/>
          <w:sz w:val="22"/>
          <w:szCs w:val="22"/>
        </w:rPr>
        <w:t xml:space="preserve">torico della documentazione</w:t>
      </w:r>
      <w:r>
        <w:rPr>
          <w:rFonts w:asciiTheme="minorHAnsi" w:hAnsiTheme="minorHAnsi" w:cstheme="minorHAnsi"/>
          <w:sz w:val="22"/>
          <w:szCs w:val="22"/>
        </w:rPr>
        <w:t xml:space="preserve">”.</w:t>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p>
      <w:pPr>
        <w:pBdr/>
        <w:spacing/>
        <w:ind/>
        <w:jc w:val="both"/>
        <w:rPr>
          <w:rFonts w:asciiTheme="minorHAnsi" w:hAnsiTheme="minorHAnsi" w:cstheme="minorHAnsi"/>
          <w:sz w:val="22"/>
          <w:szCs w:val="22"/>
        </w:rPr>
      </w:pPr>
      <w:r>
        <w:rPr>
          <w:rFonts w:asciiTheme="minorHAnsi" w:hAnsiTheme="minorHAnsi" w:cstheme="minorHAnsi"/>
          <w:sz w:val="22"/>
          <w:szCs w:val="22"/>
        </w:rPr>
        <w:t xml:space="preserve">Il </w:t>
      </w:r>
      <w:r>
        <w:rPr>
          <w:rFonts w:asciiTheme="minorHAnsi" w:hAnsiTheme="minorHAnsi" w:cstheme="minorHAnsi"/>
          <w:sz w:val="22"/>
          <w:szCs w:val="22"/>
        </w:rPr>
        <w:t xml:space="preserve">R</w:t>
      </w:r>
      <w:r>
        <w:rPr>
          <w:rFonts w:asciiTheme="minorHAnsi" w:hAnsiTheme="minorHAnsi" w:cstheme="minorHAnsi"/>
          <w:sz w:val="22"/>
          <w:szCs w:val="22"/>
        </w:rPr>
        <w:t xml:space="preserve">esponsabile della Qualità provvede inoltre con cadenza settimanale ad eseguire copie di riserva “back-up” dei documenti elettronici composti da:</w:t>
      </w:r>
      <w:r>
        <w:rPr>
          <w:rFonts w:asciiTheme="minorHAnsi" w:hAnsiTheme="minorHAnsi" w:cstheme="minorHAnsi"/>
          <w:sz w:val="22"/>
          <w:szCs w:val="22"/>
        </w:rPr>
      </w:r>
    </w:p>
    <w:p>
      <w:pPr>
        <w:pStyle w:val="1051"/>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Manuale di assicurazione qualità;</w:t>
      </w:r>
      <w:r>
        <w:rPr>
          <w:rFonts w:asciiTheme="minorHAnsi" w:hAnsiTheme="minorHAnsi" w:cstheme="minorHAnsi"/>
          <w:sz w:val="22"/>
          <w:szCs w:val="22"/>
        </w:rPr>
      </w:r>
    </w:p>
    <w:p>
      <w:pPr>
        <w:pStyle w:val="1051"/>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Procedure operative;</w:t>
      </w:r>
      <w:r>
        <w:rPr>
          <w:rFonts w:asciiTheme="minorHAnsi" w:hAnsiTheme="minorHAnsi" w:cstheme="minorHAnsi"/>
          <w:sz w:val="22"/>
          <w:szCs w:val="22"/>
        </w:rPr>
      </w:r>
    </w:p>
    <w:p>
      <w:pPr>
        <w:pStyle w:val="1051"/>
        <w:numPr>
          <w:ilvl w:val="0"/>
          <w:numId w:val="21"/>
        </w:numPr>
        <w:pBdr/>
        <w:spacing/>
        <w:ind/>
        <w:contextualSpacing w:val="true"/>
        <w:jc w:val="both"/>
        <w:rPr>
          <w:rFonts w:asciiTheme="minorHAnsi" w:hAnsiTheme="minorHAnsi" w:cstheme="minorHAnsi"/>
          <w:sz w:val="22"/>
          <w:szCs w:val="22"/>
        </w:rPr>
      </w:pPr>
      <w:r>
        <w:rPr>
          <w:rFonts w:asciiTheme="minorHAnsi" w:hAnsiTheme="minorHAnsi" w:cstheme="minorHAnsi"/>
          <w:sz w:val="22"/>
          <w:szCs w:val="22"/>
        </w:rPr>
        <w:t xml:space="preserve">Modulistica.</w:t>
      </w:r>
      <w:r>
        <w:rPr>
          <w:rFonts w:asciiTheme="minorHAnsi" w:hAnsiTheme="minorHAnsi" w:cstheme="minorHAnsi"/>
          <w:sz w:val="22"/>
          <w:szCs w:val="22"/>
        </w:rPr>
      </w:r>
    </w:p>
    <w:p>
      <w:pPr>
        <w:pBdr/>
        <w:spacing/>
        <w:ind/>
        <w:rPr>
          <w:rFonts w:asciiTheme="minorHAnsi" w:hAnsiTheme="minorHAnsi" w:cstheme="minorHAnsi"/>
          <w:sz w:val="22"/>
          <w:szCs w:val="22"/>
        </w:rPr>
      </w:pPr>
      <w:r>
        <w:rPr>
          <w:rFonts w:asciiTheme="minorHAnsi" w:hAnsiTheme="minorHAnsi" w:cstheme="minorHAnsi"/>
          <w:sz w:val="22"/>
          <w:szCs w:val="22"/>
        </w:rPr>
      </w:r>
      <w:r>
        <w:rPr>
          <w:rFonts w:asciiTheme="minorHAnsi" w:hAnsiTheme="minorHAnsi" w:cstheme="minorHAnsi"/>
          <w:sz w:val="22"/>
          <w:szCs w:val="22"/>
        </w:rPr>
      </w:r>
    </w:p>
    <w:sectPr>
      <w:headerReference w:type="default" r:id="rId9"/>
      <w:headerReference w:type="first" r:id="rId10"/>
      <w:footerReference w:type="first" r:id="rId11"/>
      <w:footnotePr>
        <w:pos w:val="beneathText"/>
      </w:footnotePr>
      <w:endnotePr/>
      <w:type w:val="nextPage"/>
      <w:pgSz w:h="16837" w:orient="portrait" w:w="11905"/>
      <w:pgMar w:top="1673" w:right="1134" w:bottom="851" w:left="1701" w:header="567"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Verdana">
    <w:panose1 w:val="020B0604030504040204"/>
  </w:font>
  <w:font w:name="Lucida Sans Unicode">
    <w:panose1 w:val="020B0603030804020204"/>
  </w:font>
  <w:font w:name="Tahoma">
    <w:panose1 w:val="020B0604030504040204"/>
  </w:font>
  <w:font w:name="Wingdings">
    <w:panose1 w:val="05010000000000000000"/>
  </w:font>
  <w:font w:name="Courier New">
    <w:panose1 w:val="02070309020205020404"/>
  </w:font>
  <w:font w:name="Symbol">
    <w:panose1 w:val="05010000000000000000"/>
  </w:font>
  <w:font w:name="Times New Roman">
    <w:panose1 w:val="02020603050405020304"/>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20" w:type="dxa"/>
      <w:tblW w:w="9269" w:type="dxa"/>
      <w:tblCellMar>
        <w:left w:w="70" w:type="dxa"/>
        <w:right w:w="70" w:type="dxa"/>
      </w:tblCellMar>
      <w:tblBorders/>
      <w:tblLayout w:type="fixed"/>
      <w:tblLook w:val="0000" w:firstRow="0" w:lastRow="0" w:firstColumn="0" w:lastColumn="0" w:noHBand="0" w:noVBand="0"/>
    </w:tblPr>
    <w:tblGrid>
      <w:gridCol w:w="657"/>
      <w:gridCol w:w="1418"/>
      <w:gridCol w:w="4111"/>
      <w:gridCol w:w="1417"/>
      <w:gridCol w:w="1666"/>
    </w:tblGrid>
    <w:tr>
      <w:trPr/>
      <w:tc>
        <w:tcPr>
          <w:tcBorders>
            <w:top w:val="single" w:color="000000" w:sz="4" w:space="0"/>
            <w:left w:val="single" w:color="000000" w:sz="4" w:space="0"/>
            <w:bottom w:val="single" w:color="000000" w:sz="4" w:space="0"/>
          </w:tcBorders>
          <w:tcW w:w="657" w:type="dxa"/>
          <w:vAlign w:val="center"/>
          <w:textDirection w:val="lrTb"/>
          <w:noWrap w:val="false"/>
        </w:tcPr>
        <w:p>
          <w:pPr>
            <w:pStyle w:val="1046"/>
            <w:pBdr/>
            <w:spacing/>
            <w:ind/>
            <w:jc w:val="center"/>
            <w:rPr>
              <w:rFonts w:ascii="Verdana" w:hAnsi="Verdana"/>
            </w:rPr>
          </w:pPr>
          <w:r>
            <w:rPr>
              <w:rFonts w:ascii="Verdana" w:hAnsi="Verdana"/>
            </w:rPr>
            <w:t xml:space="preserve">1</w:t>
          </w:r>
          <w:r>
            <w:rPr>
              <w:rFonts w:ascii="Verdana" w:hAnsi="Verdana"/>
            </w:rPr>
            <w:t xml:space="preserve">1</w:t>
          </w:r>
          <w:r>
            <w:rPr>
              <w:rFonts w:ascii="Verdana" w:hAnsi="Verdana"/>
            </w:rPr>
          </w:r>
        </w:p>
      </w:tc>
      <w:tc>
        <w:tcPr>
          <w:tcBorders>
            <w:top w:val="single" w:color="000000" w:sz="4" w:space="0"/>
            <w:left w:val="single" w:color="000000" w:sz="4" w:space="0"/>
            <w:bottom w:val="single" w:color="000000" w:sz="4" w:space="0"/>
          </w:tcBorders>
          <w:tcW w:w="1418" w:type="dxa"/>
          <w:vAlign w:val="center"/>
          <w:textDirection w:val="lrTb"/>
          <w:noWrap w:val="false"/>
        </w:tcPr>
        <w:p>
          <w:pPr>
            <w:pStyle w:val="1046"/>
            <w:pBdr/>
            <w:spacing/>
            <w:ind/>
            <w:jc w:val="center"/>
            <w:rPr>
              <w:rFonts w:ascii="Verdana" w:hAnsi="Verdana"/>
            </w:rPr>
          </w:pPr>
          <w:r>
            <w:rPr>
              <w:rFonts w:ascii="Verdana" w:hAnsi="Verdana"/>
            </w:rPr>
            <w:t xml:space="preserve">15</w:t>
          </w:r>
          <w:r>
            <w:rPr>
              <w:rFonts w:ascii="Verdana" w:hAnsi="Verdana"/>
            </w:rPr>
            <w:t xml:space="preserve">/</w:t>
          </w:r>
          <w:r>
            <w:rPr>
              <w:rFonts w:ascii="Verdana" w:hAnsi="Verdana"/>
            </w:rPr>
            <w:t xml:space="preserve">09</w:t>
          </w:r>
          <w:r>
            <w:rPr>
              <w:rFonts w:ascii="Verdana" w:hAnsi="Verdana"/>
            </w:rPr>
            <w:t xml:space="preserve">/</w:t>
          </w:r>
          <w:r>
            <w:rPr>
              <w:rFonts w:ascii="Verdana" w:hAnsi="Verdana"/>
            </w:rPr>
            <w:t xml:space="preserve">2014</w:t>
          </w:r>
          <w:r>
            <w:rPr>
              <w:rFonts w:ascii="Verdana" w:hAnsi="Verdana"/>
            </w:rPr>
          </w:r>
        </w:p>
      </w:tc>
      <w:tc>
        <w:tcPr>
          <w:tcBorders>
            <w:top w:val="single" w:color="000000" w:sz="4" w:space="0"/>
            <w:left w:val="single" w:color="000000" w:sz="4" w:space="0"/>
            <w:bottom w:val="single" w:color="000000" w:sz="4" w:space="0"/>
          </w:tcBorders>
          <w:tcW w:w="4111" w:type="dxa"/>
          <w:vAlign w:val="center"/>
          <w:textDirection w:val="lrTb"/>
          <w:noWrap w:val="false"/>
        </w:tcPr>
        <w:p>
          <w:pPr>
            <w:pStyle w:val="1046"/>
            <w:pBdr/>
            <w:tabs>
              <w:tab w:val="left" w:leader="none" w:pos="1124"/>
              <w:tab w:val="clear" w:leader="none" w:pos="4819"/>
              <w:tab w:val="clear" w:leader="none" w:pos="9638"/>
            </w:tabs>
            <w:spacing/>
            <w:ind/>
            <w:jc w:val="center"/>
            <w:rPr>
              <w:rFonts w:ascii="Verdana" w:hAnsi="Verdana"/>
            </w:rPr>
          </w:pPr>
          <w:r>
            <w:rPr>
              <w:rFonts w:ascii="Verdana" w:hAnsi="Verdana"/>
            </w:rPr>
            <w:t xml:space="preserve">Modificata procedura per </w:t>
          </w:r>
          <w:r>
            <w:rPr>
              <w:rFonts w:ascii="Verdana" w:hAnsi="Verdana"/>
            </w:rPr>
            <w:t xml:space="preserve">campionamento prodotti biologici</w:t>
          </w:r>
          <w:r>
            <w:rPr>
              <w:rFonts w:ascii="Verdana" w:hAnsi="Verdana"/>
            </w:rPr>
          </w:r>
        </w:p>
      </w:tc>
      <w:tc>
        <w:tcPr>
          <w:tcBorders>
            <w:top w:val="single" w:color="000000" w:sz="4" w:space="0"/>
            <w:left w:val="single" w:color="000000" w:sz="4" w:space="0"/>
            <w:bottom w:val="single" w:color="000000" w:sz="4" w:space="0"/>
          </w:tcBorders>
          <w:tcW w:w="1417" w:type="dxa"/>
          <w:vAlign w:val="center"/>
          <w:textDirection w:val="lrTb"/>
          <w:noWrap w:val="false"/>
        </w:tcPr>
        <w:p>
          <w:pPr>
            <w:pStyle w:val="1046"/>
            <w:pBdr/>
            <w:spacing/>
            <w:ind/>
            <w:jc w:val="center"/>
            <w:rPr>
              <w:rFonts w:ascii="Verdana" w:hAnsi="Verdana"/>
            </w:rPr>
          </w:pPr>
          <w:r>
            <w:rPr>
              <w:rFonts w:ascii="Verdana" w:hAnsi="Verdana"/>
            </w:rPr>
          </w:r>
          <w:r>
            <w:rPr>
              <w:rFonts w:ascii="Verdana" w:hAnsi="Verdana"/>
            </w:rPr>
          </w:r>
        </w:p>
      </w:tc>
      <w:tc>
        <w:tcPr>
          <w:tcBorders>
            <w:top w:val="single" w:color="000000" w:sz="4" w:space="0"/>
            <w:left w:val="single" w:color="000000" w:sz="4" w:space="0"/>
            <w:bottom w:val="single" w:color="000000" w:sz="4" w:space="0"/>
            <w:right w:val="single" w:color="000000" w:sz="4" w:space="0"/>
          </w:tcBorders>
          <w:tcW w:w="1666" w:type="dxa"/>
          <w:vAlign w:val="center"/>
          <w:textDirection w:val="lrTb"/>
          <w:noWrap w:val="false"/>
        </w:tcPr>
        <w:p>
          <w:pPr>
            <w:pStyle w:val="1046"/>
            <w:pBdr/>
            <w:spacing/>
            <w:ind/>
            <w:jc w:val="center"/>
            <w:rPr>
              <w:rFonts w:ascii="Verdana" w:hAnsi="Verdana"/>
            </w:rPr>
          </w:pPr>
          <w:r>
            <w:rPr>
              <w:rFonts w:ascii="Verdana" w:hAnsi="Verdana"/>
            </w:rPr>
          </w:r>
          <w:r>
            <w:rPr>
              <w:rFonts w:ascii="Verdana" w:hAnsi="Verdana"/>
            </w:rPr>
          </w:r>
        </w:p>
      </w:tc>
    </w:tr>
    <w:tr>
      <w:trPr/>
      <w:tc>
        <w:tcPr>
          <w:tcBorders>
            <w:left w:val="single" w:color="000000" w:sz="4" w:space="0"/>
            <w:bottom w:val="single" w:color="000000" w:sz="4" w:space="0"/>
          </w:tcBorders>
          <w:tcW w:w="657" w:type="dxa"/>
          <w:vAlign w:val="center"/>
          <w:textDirection w:val="lrTb"/>
          <w:noWrap w:val="false"/>
        </w:tcPr>
        <w:p>
          <w:pPr>
            <w:pStyle w:val="1046"/>
            <w:pBdr/>
            <w:spacing/>
            <w:ind/>
            <w:jc w:val="center"/>
            <w:rPr>
              <w:rFonts w:ascii="Verdana" w:hAnsi="Verdana"/>
            </w:rPr>
          </w:pPr>
          <w:r>
            <w:rPr>
              <w:rFonts w:ascii="Verdana" w:hAnsi="Verdana"/>
            </w:rPr>
            <w:t xml:space="preserve">Rev.</w:t>
          </w:r>
          <w:r>
            <w:rPr>
              <w:rFonts w:ascii="Verdana" w:hAnsi="Verdana"/>
            </w:rPr>
          </w:r>
        </w:p>
      </w:tc>
      <w:tc>
        <w:tcPr>
          <w:tcBorders>
            <w:left w:val="single" w:color="000000" w:sz="4" w:space="0"/>
            <w:bottom w:val="single" w:color="000000" w:sz="4" w:space="0"/>
          </w:tcBorders>
          <w:tcW w:w="1418" w:type="dxa"/>
          <w:vAlign w:val="center"/>
          <w:textDirection w:val="lrTb"/>
          <w:noWrap w:val="false"/>
        </w:tcPr>
        <w:p>
          <w:pPr>
            <w:pStyle w:val="1046"/>
            <w:pBdr/>
            <w:spacing/>
            <w:ind/>
            <w:jc w:val="center"/>
            <w:rPr>
              <w:rFonts w:ascii="Verdana" w:hAnsi="Verdana"/>
            </w:rPr>
          </w:pPr>
          <w:r>
            <w:rPr>
              <w:rFonts w:ascii="Verdana" w:hAnsi="Verdana"/>
            </w:rPr>
            <w:t xml:space="preserve">Data</w:t>
          </w:r>
          <w:r>
            <w:rPr>
              <w:rFonts w:ascii="Verdana" w:hAnsi="Verdana"/>
            </w:rPr>
          </w:r>
        </w:p>
      </w:tc>
      <w:tc>
        <w:tcPr>
          <w:tcBorders>
            <w:left w:val="single" w:color="000000" w:sz="4" w:space="0"/>
            <w:bottom w:val="single" w:color="000000" w:sz="4" w:space="0"/>
          </w:tcBorders>
          <w:tcW w:w="4111" w:type="dxa"/>
          <w:vAlign w:val="center"/>
          <w:textDirection w:val="lrTb"/>
          <w:noWrap w:val="false"/>
        </w:tcPr>
        <w:p>
          <w:pPr>
            <w:pStyle w:val="1046"/>
            <w:pBdr/>
            <w:spacing/>
            <w:ind/>
            <w:jc w:val="center"/>
            <w:rPr>
              <w:rFonts w:ascii="Verdana" w:hAnsi="Verdana"/>
            </w:rPr>
          </w:pPr>
          <w:r>
            <w:rPr>
              <w:rFonts w:ascii="Verdana" w:hAnsi="Verdana"/>
            </w:rPr>
            <w:t xml:space="preserve">Motivo della revisione</w:t>
          </w:r>
          <w:r>
            <w:rPr>
              <w:rFonts w:ascii="Verdana" w:hAnsi="Verdana"/>
            </w:rPr>
          </w:r>
        </w:p>
      </w:tc>
      <w:tc>
        <w:tcPr>
          <w:tcBorders>
            <w:left w:val="single" w:color="000000" w:sz="4" w:space="0"/>
            <w:bottom w:val="single" w:color="000000" w:sz="4" w:space="0"/>
          </w:tcBorders>
          <w:tcW w:w="1417" w:type="dxa"/>
          <w:vAlign w:val="center"/>
          <w:textDirection w:val="lrTb"/>
          <w:noWrap w:val="false"/>
        </w:tcPr>
        <w:p>
          <w:pPr>
            <w:pStyle w:val="1046"/>
            <w:pBdr/>
            <w:spacing/>
            <w:ind/>
            <w:jc w:val="center"/>
            <w:rPr>
              <w:rFonts w:ascii="Verdana" w:hAnsi="Verdana"/>
            </w:rPr>
          </w:pPr>
          <w:r>
            <w:rPr>
              <w:rFonts w:ascii="Verdana" w:hAnsi="Verdana"/>
            </w:rPr>
            <w:t xml:space="preserve">Emesso da</w:t>
          </w:r>
          <w:r>
            <w:rPr>
              <w:rFonts w:ascii="Verdana" w:hAnsi="Verdana"/>
            </w:rPr>
          </w:r>
        </w:p>
      </w:tc>
      <w:tc>
        <w:tcPr>
          <w:tcBorders>
            <w:left w:val="single" w:color="000000" w:sz="4" w:space="0"/>
            <w:bottom w:val="single" w:color="000000" w:sz="4" w:space="0"/>
            <w:right w:val="single" w:color="000000" w:sz="4" w:space="0"/>
          </w:tcBorders>
          <w:tcW w:w="1666" w:type="dxa"/>
          <w:vAlign w:val="center"/>
          <w:textDirection w:val="lrTb"/>
          <w:noWrap w:val="false"/>
        </w:tcPr>
        <w:p>
          <w:pPr>
            <w:pStyle w:val="1046"/>
            <w:pBdr/>
            <w:spacing/>
            <w:ind/>
            <w:jc w:val="center"/>
            <w:rPr>
              <w:rFonts w:ascii="Verdana" w:hAnsi="Verdana"/>
            </w:rPr>
          </w:pPr>
          <w:r>
            <w:rPr>
              <w:rFonts w:ascii="Verdana" w:hAnsi="Verdana"/>
            </w:rPr>
            <w:t xml:space="preserve">Approvato da</w:t>
          </w:r>
          <w:r>
            <w:rPr>
              <w:rFonts w:ascii="Verdana" w:hAnsi="Verdana"/>
            </w:rPr>
          </w:r>
        </w:p>
      </w:tc>
    </w:tr>
  </w:tbl>
  <w:p>
    <w:pPr>
      <w:pStyle w:val="1046"/>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10315" w:type="dxa"/>
      <w:tblCellMar>
        <w:left w:w="70" w:type="dxa"/>
        <w:right w:w="70" w:type="dxa"/>
      </w:tblCellMar>
      <w:tblBorders/>
      <w:tblLayout w:type="fixed"/>
      <w:tblLook w:val="0000" w:firstRow="0" w:lastRow="0" w:firstColumn="0" w:lastColumn="0" w:noHBand="0" w:noVBand="0"/>
    </w:tblPr>
    <w:tblGrid>
      <w:gridCol w:w="2268"/>
      <w:gridCol w:w="5495"/>
      <w:gridCol w:w="2552"/>
    </w:tblGrid>
    <w:tr>
      <w:trPr>
        <w:jc w:val="center"/>
        <w:trHeight w:val="838"/>
      </w:trPr>
      <w:tc>
        <w:tcPr>
          <w:tcBorders>
            <w:top w:val="single" w:color="000000" w:sz="4" w:space="0"/>
            <w:left w:val="single" w:color="000000" w:sz="4" w:space="0"/>
            <w:bottom w:val="single" w:color="000000" w:sz="4" w:space="0"/>
          </w:tcBorders>
          <w:tcW w:w="2268" w:type="dxa"/>
          <w:vAlign w:val="center"/>
          <w:textDirection w:val="lrTb"/>
          <w:noWrap w:val="false"/>
        </w:tcPr>
        <w:p>
          <w:pPr>
            <w:pStyle w:val="1045"/>
            <w:pBdr/>
            <w:spacing/>
            <w:ind/>
            <w:jc w:val="center"/>
            <w:rPr>
              <w:rFonts w:asciiTheme="minorHAnsi" w:hAnsiTheme="minorHAnsi" w:cstheme="minorHAnsi"/>
              <w:bCs/>
              <w:sz w:val="24"/>
              <w:szCs w:val="24"/>
              <w:lang w:val="de-DE"/>
            </w:rPr>
          </w:pPr>
          <w:r>
            <w:rPr>
              <w:rFonts w:asciiTheme="minorHAnsi" w:hAnsiTheme="minorHAnsi" w:cstheme="minorHAnsi"/>
              <w:bCs/>
              <w:sz w:val="28"/>
              <w:szCs w:val="28"/>
              <w:lang w:val="de-DE"/>
            </w:rPr>
            <w:t xml:space="preserve">Agrumi-Gel </w:t>
          </w:r>
          <w:r>
            <w:rPr>
              <w:rFonts w:asciiTheme="minorHAnsi" w:hAnsiTheme="minorHAnsi" w:cstheme="minorHAnsi"/>
              <w:bCs/>
              <w:sz w:val="28"/>
              <w:szCs w:val="28"/>
              <w:lang w:val="de-DE"/>
            </w:rPr>
            <w:t xml:space="preserve">s.r.l</w:t>
          </w:r>
          <w:r>
            <w:rPr>
              <w:rFonts w:asciiTheme="minorHAnsi" w:hAnsiTheme="minorHAnsi" w:cstheme="minorHAnsi"/>
              <w:bCs/>
              <w:sz w:val="28"/>
              <w:szCs w:val="28"/>
              <w:lang w:val="de-DE"/>
            </w:rPr>
            <w:t xml:space="preserve">.</w:t>
          </w:r>
          <w:r>
            <w:rPr>
              <w:rFonts w:asciiTheme="minorHAnsi" w:hAnsiTheme="minorHAnsi" w:cstheme="minorHAnsi"/>
              <w:bCs/>
              <w:sz w:val="24"/>
              <w:szCs w:val="24"/>
              <w:lang w:val="de-DE"/>
            </w:rPr>
          </w:r>
        </w:p>
      </w:tc>
      <w:tc>
        <w:tcPr>
          <w:tcBorders>
            <w:top w:val="single" w:color="000000" w:sz="4" w:space="0"/>
            <w:left w:val="single" w:color="000000" w:sz="4" w:space="0"/>
            <w:bottom w:val="single" w:color="000000" w:sz="4" w:space="0"/>
          </w:tcBorders>
          <w:tcW w:w="5495" w:type="dxa"/>
          <w:vAlign w:val="center"/>
          <w:textDirection w:val="lrTb"/>
          <w:noWrap w:val="false"/>
        </w:tcPr>
        <w:p>
          <w:pPr>
            <w:pStyle w:val="1045"/>
            <w:pBdr/>
            <w:spacing/>
            <w:ind/>
            <w:jc w:val="center"/>
            <w:rPr>
              <w:rFonts w:asciiTheme="minorHAnsi" w:hAnsiTheme="minorHAnsi" w:cstheme="minorHAnsi"/>
              <w:b/>
              <w:bCs/>
              <w:sz w:val="36"/>
              <w:szCs w:val="36"/>
            </w:rPr>
          </w:pPr>
          <w:r>
            <w:rPr>
              <w:rFonts w:asciiTheme="minorHAnsi" w:hAnsiTheme="minorHAnsi" w:cstheme="minorHAnsi"/>
              <w:b/>
              <w:bCs/>
              <w:sz w:val="36"/>
              <w:szCs w:val="36"/>
            </w:rPr>
            <w:t xml:space="preserve">CONTROLLO DEI DOCUMENTI </w:t>
          </w:r>
          <w:r>
            <w:rPr>
              <w:rFonts w:asciiTheme="minorHAnsi" w:hAnsiTheme="minorHAnsi" w:cstheme="minorHAnsi"/>
              <w:b/>
              <w:bCs/>
              <w:sz w:val="36"/>
              <w:szCs w:val="36"/>
            </w:rPr>
          </w:r>
        </w:p>
        <w:p>
          <w:pPr>
            <w:pStyle w:val="1045"/>
            <w:pBdr/>
            <w:spacing/>
            <w:ind/>
            <w:jc w:val="center"/>
            <w:rPr>
              <w:rFonts w:asciiTheme="minorHAnsi" w:hAnsiTheme="minorHAnsi" w:cstheme="minorHAnsi"/>
              <w:b/>
              <w:bCs/>
              <w:sz w:val="28"/>
              <w:szCs w:val="28"/>
            </w:rPr>
          </w:pPr>
          <w:r>
            <w:rPr>
              <w:rFonts w:asciiTheme="minorHAnsi" w:hAnsiTheme="minorHAnsi" w:cstheme="minorHAnsi"/>
              <w:b/>
              <w:bCs/>
              <w:sz w:val="36"/>
              <w:szCs w:val="36"/>
            </w:rPr>
            <w:t xml:space="preserve">E DEI DATI</w:t>
          </w:r>
          <w:r>
            <w:rPr>
              <w:rFonts w:asciiTheme="minorHAnsi" w:hAnsiTheme="minorHAnsi" w:cstheme="minorHAnsi"/>
              <w:b/>
              <w:bCs/>
              <w:sz w:val="28"/>
              <w:szCs w:val="28"/>
            </w:rPr>
          </w:r>
        </w:p>
      </w:tc>
      <w:tc>
        <w:tcPr>
          <w:tcBorders>
            <w:top w:val="single" w:color="000000" w:sz="4" w:space="0"/>
            <w:left w:val="single" w:color="000000" w:sz="4" w:space="0"/>
            <w:bottom w:val="single" w:color="000000" w:sz="4" w:space="0"/>
            <w:right w:val="single" w:color="000000" w:sz="4" w:space="0"/>
          </w:tcBorders>
          <w:tcW w:w="2552" w:type="dxa"/>
          <w:vAlign w:val="center"/>
          <w:textDirection w:val="lrTb"/>
          <w:noWrap w:val="false"/>
        </w:tcPr>
        <w:p>
          <w:pPr>
            <w:pBdr/>
            <w:spacing w:after="60"/>
            <w:ind w:right="-143"/>
            <w:rPr>
              <w:rFonts w:asciiTheme="minorHAnsi" w:hAnsiTheme="minorHAnsi" w:cstheme="minorHAnsi"/>
              <w:b/>
              <w:sz w:val="18"/>
              <w:szCs w:val="18"/>
            </w:rPr>
          </w:pPr>
          <w:r>
            <w:rPr>
              <w:rFonts w:asciiTheme="minorHAnsi" w:hAnsiTheme="minorHAnsi" w:cstheme="minorHAnsi"/>
              <w:sz w:val="18"/>
            </w:rPr>
            <w:t xml:space="preserve">Cod. </w:t>
          </w:r>
          <w:r>
            <w:rPr>
              <w:rFonts w:asciiTheme="minorHAnsi" w:hAnsiTheme="minorHAnsi" w:cstheme="minorHAnsi"/>
              <w:b/>
              <w:bCs/>
              <w:sz w:val="18"/>
            </w:rPr>
            <w:t xml:space="preserve">P 05.01</w:t>
          </w:r>
          <w:r>
            <w:rPr>
              <w:rFonts w:asciiTheme="minorHAnsi" w:hAnsiTheme="minorHAnsi" w:cstheme="minorHAnsi"/>
              <w:color w:val="ff0000"/>
              <w:spacing w:val="-4"/>
              <w:sz w:val="18"/>
              <w:szCs w:val="18"/>
            </w:rPr>
            <w:t xml:space="preserve"> </w:t>
          </w:r>
          <w:r>
            <w:rPr>
              <w:rFonts w:asciiTheme="minorHAnsi" w:hAnsiTheme="minorHAnsi" w:cstheme="minorHAnsi"/>
              <w:b/>
              <w:sz w:val="18"/>
              <w:szCs w:val="18"/>
            </w:rPr>
          </w:r>
        </w:p>
        <w:p>
          <w:pPr>
            <w:pBdr/>
            <w:spacing w:after="60"/>
            <w:ind w:right="-143"/>
            <w:rPr>
              <w:rFonts w:asciiTheme="minorHAnsi" w:hAnsiTheme="minorHAnsi" w:cstheme="minorHAnsi"/>
              <w:b/>
              <w:sz w:val="18"/>
            </w:rPr>
          </w:pPr>
          <w:r>
            <w:rPr>
              <w:rFonts w:asciiTheme="minorHAnsi" w:hAnsiTheme="minorHAnsi" w:cstheme="minorHAnsi"/>
              <w:sz w:val="18"/>
            </w:rPr>
            <w:t xml:space="preserve">Rev. </w:t>
          </w:r>
          <w:r>
            <w:rPr>
              <w:rFonts w:asciiTheme="minorHAnsi" w:hAnsiTheme="minorHAnsi" w:cstheme="minorHAnsi"/>
              <w:sz w:val="18"/>
              <w:szCs w:val="18"/>
            </w:rPr>
            <w:t xml:space="preserve">05</w:t>
          </w:r>
          <w:r>
            <w:rPr>
              <w:rFonts w:asciiTheme="minorHAnsi" w:hAnsiTheme="minorHAnsi" w:cstheme="minorHAnsi"/>
              <w:b/>
              <w:sz w:val="18"/>
            </w:rPr>
          </w:r>
        </w:p>
        <w:p>
          <w:pPr>
            <w:pBdr/>
            <w:spacing w:after="60"/>
            <w:ind w:right="-143"/>
            <w:rPr>
              <w:rFonts w:asciiTheme="minorHAnsi" w:hAnsiTheme="minorHAnsi" w:cstheme="minorHAnsi"/>
              <w:color w:val="ff0000"/>
              <w:sz w:val="18"/>
              <w:szCs w:val="18"/>
            </w:rPr>
          </w:pPr>
          <w:r>
            <w:rPr>
              <w:rFonts w:asciiTheme="minorHAnsi" w:hAnsiTheme="minorHAnsi" w:cstheme="minorHAnsi"/>
              <w:sz w:val="18"/>
            </w:rPr>
            <w:t xml:space="preserve">Data 15-09-2025</w:t>
          </w:r>
          <w:r>
            <w:rPr>
              <w:rFonts w:asciiTheme="minorHAnsi" w:hAnsiTheme="minorHAnsi" w:cstheme="minorHAnsi"/>
              <w:color w:val="ff0000"/>
              <w:sz w:val="18"/>
              <w:szCs w:val="18"/>
            </w:rPr>
          </w:r>
        </w:p>
        <w:p>
          <w:pPr>
            <w:pBdr/>
            <w:spacing w:after="60"/>
            <w:ind w:right="-143"/>
            <w:rPr>
              <w:rFonts w:asciiTheme="minorHAnsi" w:hAnsiTheme="minorHAnsi" w:cstheme="minorHAnsi"/>
              <w:sz w:val="18"/>
            </w:rPr>
          </w:pPr>
          <w:r>
            <w:rPr>
              <w:rFonts w:asciiTheme="minorHAnsi" w:hAnsiTheme="minorHAnsi" w:cstheme="minorHAnsi"/>
              <w:sz w:val="18"/>
            </w:rPr>
            <w:t xml:space="preserve">Emesso da: Francesco Scavello</w:t>
          </w:r>
          <w:r>
            <w:rPr>
              <w:rFonts w:asciiTheme="minorHAnsi" w:hAnsiTheme="minorHAnsi" w:cstheme="minorHAnsi"/>
              <w:sz w:val="18"/>
            </w:rPr>
          </w:r>
        </w:p>
        <w:p>
          <w:pPr>
            <w:pBdr/>
            <w:spacing w:after="60"/>
            <w:ind w:right="-143"/>
            <w:rPr>
              <w:rFonts w:asciiTheme="minorHAnsi" w:hAnsiTheme="minorHAnsi" w:cstheme="minorHAnsi"/>
              <w:sz w:val="18"/>
            </w:rPr>
          </w:pPr>
          <w:r>
            <w:rPr>
              <w:rFonts w:asciiTheme="minorHAnsi" w:hAnsiTheme="minorHAnsi" w:cstheme="minorHAnsi"/>
              <w:sz w:val="18"/>
            </w:rPr>
            <w:t xml:space="preserve">Approvato da: Francesco Marullo</w:t>
          </w:r>
          <w:r>
            <w:rPr>
              <w:rFonts w:asciiTheme="minorHAnsi" w:hAnsiTheme="minorHAnsi" w:cstheme="minorHAnsi"/>
              <w:sz w:val="18"/>
            </w:rPr>
          </w:r>
        </w:p>
        <w:p>
          <w:pPr>
            <w:pBdr/>
            <w:spacing w:after="60"/>
            <w:ind w:right="-143"/>
            <w:rPr>
              <w:rFonts w:asciiTheme="minorHAnsi" w:hAnsiTheme="minorHAnsi" w:cstheme="minorHAnsi"/>
              <w:sz w:val="18"/>
            </w:rPr>
          </w:pPr>
          <w:r>
            <w:rPr>
              <w:rFonts w:asciiTheme="minorHAnsi" w:hAnsiTheme="minorHAnsi" w:cstheme="minorHAnsi"/>
              <w:sz w:val="18"/>
            </w:rPr>
            <w:t xml:space="preserve">Motivo revisione: Aggiornamento notifica ente </w:t>
          </w:r>
          <w:r>
            <w:rPr>
              <w:rFonts w:asciiTheme="minorHAnsi" w:hAnsiTheme="minorHAnsi" w:cstheme="minorHAnsi"/>
              <w:sz w:val="18"/>
            </w:rPr>
          </w:r>
        </w:p>
        <w:p>
          <w:pPr>
            <w:pStyle w:val="1045"/>
            <w:pBdr/>
            <w:spacing/>
            <w:ind/>
            <w:rPr>
              <w:rFonts w:asciiTheme="minorHAnsi" w:hAnsiTheme="minorHAnsi" w:cstheme="minorHAnsi"/>
              <w:bCs/>
              <w:sz w:val="24"/>
              <w:szCs w:val="24"/>
            </w:rPr>
          </w:pPr>
          <w:r>
            <w:rPr>
              <w:rFonts w:asciiTheme="minorHAnsi" w:hAnsiTheme="minorHAnsi" w:cstheme="minorHAnsi"/>
              <w:sz w:val="18"/>
            </w:rPr>
            <w:t xml:space="preserve">Pag. </w:t>
          </w:r>
          <w:r>
            <w:rPr>
              <w:rStyle w:val="1038"/>
              <w:rFonts w:asciiTheme="minorHAnsi" w:hAnsiTheme="minorHAnsi" w:cstheme="minorHAnsi"/>
              <w:b/>
              <w:sz w:val="18"/>
            </w:rPr>
            <w:fldChar w:fldCharType="begin"/>
          </w:r>
          <w:r>
            <w:rPr>
              <w:rStyle w:val="1038"/>
              <w:rFonts w:asciiTheme="minorHAnsi" w:hAnsiTheme="minorHAnsi" w:cstheme="minorHAnsi"/>
              <w:b/>
              <w:sz w:val="18"/>
            </w:rPr>
            <w:instrText xml:space="preserve"> PAGE </w:instrText>
          </w:r>
          <w:r>
            <w:rPr>
              <w:rStyle w:val="1038"/>
              <w:rFonts w:asciiTheme="minorHAnsi" w:hAnsiTheme="minorHAnsi" w:cstheme="minorHAnsi"/>
              <w:b/>
              <w:sz w:val="18"/>
            </w:rPr>
            <w:fldChar w:fldCharType="separate"/>
          </w:r>
          <w:r>
            <w:rPr>
              <w:rStyle w:val="1038"/>
              <w:rFonts w:asciiTheme="minorHAnsi" w:hAnsiTheme="minorHAnsi" w:cstheme="minorHAnsi"/>
              <w:b/>
              <w:sz w:val="18"/>
            </w:rPr>
            <w:t xml:space="preserve">1</w:t>
          </w:r>
          <w:r>
            <w:rPr>
              <w:rStyle w:val="1038"/>
              <w:rFonts w:asciiTheme="minorHAnsi" w:hAnsiTheme="minorHAnsi" w:cstheme="minorHAnsi"/>
              <w:b/>
              <w:sz w:val="18"/>
            </w:rPr>
            <w:fldChar w:fldCharType="end"/>
          </w:r>
          <w:r>
            <w:rPr>
              <w:rStyle w:val="1038"/>
              <w:rFonts w:asciiTheme="minorHAnsi" w:hAnsiTheme="minorHAnsi" w:cstheme="minorHAnsi"/>
              <w:b/>
              <w:sz w:val="18"/>
            </w:rPr>
            <w:t xml:space="preserve"> di </w:t>
          </w:r>
          <w:r>
            <w:rPr>
              <w:rStyle w:val="1038"/>
              <w:rFonts w:asciiTheme="minorHAnsi" w:hAnsiTheme="minorHAnsi" w:cstheme="minorHAnsi"/>
              <w:b/>
              <w:sz w:val="18"/>
            </w:rPr>
            <w:fldChar w:fldCharType="begin"/>
          </w:r>
          <w:r>
            <w:rPr>
              <w:rStyle w:val="1038"/>
              <w:rFonts w:asciiTheme="minorHAnsi" w:hAnsiTheme="minorHAnsi" w:cstheme="minorHAnsi"/>
              <w:b/>
              <w:sz w:val="18"/>
            </w:rPr>
            <w:instrText xml:space="preserve"> NUMPAGES   \* MERGEFORMAT </w:instrText>
          </w:r>
          <w:r>
            <w:rPr>
              <w:rStyle w:val="1038"/>
              <w:rFonts w:asciiTheme="minorHAnsi" w:hAnsiTheme="minorHAnsi" w:cstheme="minorHAnsi"/>
              <w:b/>
              <w:sz w:val="18"/>
            </w:rPr>
            <w:fldChar w:fldCharType="separate"/>
          </w:r>
          <w:r>
            <w:rPr>
              <w:rStyle w:val="1038"/>
              <w:rFonts w:asciiTheme="minorHAnsi" w:hAnsiTheme="minorHAnsi" w:cstheme="minorHAnsi"/>
              <w:b/>
              <w:sz w:val="18"/>
            </w:rPr>
            <w:t xml:space="preserve">2</w:t>
          </w:r>
          <w:r>
            <w:rPr>
              <w:rStyle w:val="1038"/>
              <w:rFonts w:asciiTheme="minorHAnsi" w:hAnsiTheme="minorHAnsi" w:cstheme="minorHAnsi"/>
              <w:b/>
              <w:sz w:val="18"/>
            </w:rPr>
            <w:fldChar w:fldCharType="end"/>
          </w:r>
          <w:r>
            <w:rPr>
              <w:rFonts w:asciiTheme="minorHAnsi" w:hAnsiTheme="minorHAnsi" w:cstheme="minorHAnsi"/>
              <w:bCs/>
              <w:sz w:val="24"/>
              <w:szCs w:val="24"/>
            </w:rPr>
          </w:r>
        </w:p>
      </w:tc>
    </w:tr>
  </w:tbl>
  <w:p>
    <w:pPr>
      <w:pStyle w:val="1045"/>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20" w:type="dxa"/>
      <w:tblW w:w="0" w:type="auto"/>
      <w:tblCellMar>
        <w:left w:w="70" w:type="dxa"/>
        <w:right w:w="70" w:type="dxa"/>
      </w:tblCellMar>
      <w:tblBorders/>
      <w:tblLayout w:type="fixed"/>
      <w:tblLook w:val="0000" w:firstRow="0" w:lastRow="0" w:firstColumn="0" w:lastColumn="0" w:noHBand="0" w:noVBand="0"/>
    </w:tblPr>
    <w:tblGrid>
      <w:gridCol w:w="1896"/>
      <w:gridCol w:w="5545"/>
      <w:gridCol w:w="1741"/>
    </w:tblGrid>
    <w:tr>
      <w:trPr>
        <w:trHeight w:val="838"/>
      </w:trPr>
      <w:tc>
        <w:tcPr>
          <w:tcBorders>
            <w:top w:val="single" w:color="000000" w:sz="4" w:space="0"/>
            <w:left w:val="single" w:color="000000" w:sz="4" w:space="0"/>
            <w:bottom w:val="single" w:color="000000" w:sz="4" w:space="0"/>
          </w:tcBorders>
          <w:tcW w:w="1896" w:type="dxa"/>
          <w:vAlign w:val="center"/>
          <w:textDirection w:val="lrTb"/>
          <w:noWrap w:val="false"/>
        </w:tcPr>
        <w:p>
          <w:pPr>
            <w:pStyle w:val="1045"/>
            <w:pBdr/>
            <w:spacing/>
            <w:ind/>
            <w:jc w:val="center"/>
            <w:rPr>
              <w:rFonts w:ascii="Verdana" w:hAnsi="Verdana"/>
              <w:bCs/>
              <w:sz w:val="24"/>
              <w:szCs w:val="24"/>
              <w:lang w:val="de-DE"/>
            </w:rPr>
          </w:pPr>
          <w:r>
            <w:rPr>
              <w:rFonts w:ascii="Verdana" w:hAnsi="Verdana"/>
              <w:bCs/>
              <w:sz w:val="24"/>
              <w:szCs w:val="24"/>
              <w:lang w:val="de-DE"/>
            </w:rPr>
            <w:t xml:space="preserve">A</w:t>
          </w:r>
          <w:r>
            <w:rPr>
              <w:rFonts w:ascii="Verdana" w:hAnsi="Verdana"/>
              <w:bCs/>
              <w:sz w:val="24"/>
              <w:szCs w:val="24"/>
              <w:lang w:val="de-DE"/>
            </w:rPr>
            <w:t xml:space="preserve">grumi-Gel </w:t>
          </w:r>
          <w:r>
            <w:rPr>
              <w:rFonts w:ascii="Verdana" w:hAnsi="Verdana"/>
              <w:bCs/>
              <w:sz w:val="24"/>
              <w:szCs w:val="24"/>
              <w:lang w:val="de-DE"/>
            </w:rPr>
            <w:t xml:space="preserve">s.r.l</w:t>
          </w:r>
          <w:r>
            <w:rPr>
              <w:rFonts w:ascii="Verdana" w:hAnsi="Verdana"/>
              <w:bCs/>
              <w:sz w:val="24"/>
              <w:szCs w:val="24"/>
              <w:lang w:val="de-DE"/>
            </w:rPr>
            <w:t xml:space="preserve">.</w:t>
          </w:r>
          <w:r>
            <w:rPr>
              <w:rFonts w:ascii="Verdana" w:hAnsi="Verdana"/>
              <w:bCs/>
              <w:sz w:val="24"/>
              <w:szCs w:val="24"/>
              <w:lang w:val="de-DE"/>
            </w:rPr>
          </w:r>
        </w:p>
      </w:tc>
      <w:tc>
        <w:tcPr>
          <w:tcBorders>
            <w:top w:val="single" w:color="000000" w:sz="4" w:space="0"/>
            <w:left w:val="single" w:color="000000" w:sz="4" w:space="0"/>
            <w:bottom w:val="single" w:color="000000" w:sz="4" w:space="0"/>
          </w:tcBorders>
          <w:tcW w:w="5545" w:type="dxa"/>
          <w:vAlign w:val="center"/>
          <w:textDirection w:val="lrTb"/>
          <w:noWrap w:val="false"/>
        </w:tcPr>
        <w:p>
          <w:pPr>
            <w:pStyle w:val="1045"/>
            <w:pBdr/>
            <w:spacing/>
            <w:ind/>
            <w:jc w:val="center"/>
            <w:rPr>
              <w:rFonts w:ascii="Verdana" w:hAnsi="Verdana"/>
              <w:b/>
              <w:bCs/>
              <w:sz w:val="28"/>
              <w:szCs w:val="28"/>
            </w:rPr>
          </w:pPr>
          <w:r>
            <w:rPr>
              <w:rFonts w:ascii="Verdana" w:hAnsi="Verdana"/>
              <w:b/>
              <w:bCs/>
              <w:sz w:val="28"/>
              <w:szCs w:val="28"/>
            </w:rPr>
            <w:t xml:space="preserve">CONTROLLO DEL PROCESSO DI TRASFORMAZIONE AGRUMI</w:t>
          </w:r>
          <w:r>
            <w:rPr>
              <w:rFonts w:ascii="Verdana" w:hAnsi="Verdana"/>
              <w:b/>
              <w:bCs/>
              <w:sz w:val="28"/>
              <w:szCs w:val="28"/>
            </w:rPr>
          </w:r>
        </w:p>
      </w:tc>
      <w:tc>
        <w:tcPr>
          <w:tcBorders>
            <w:top w:val="single" w:color="000000" w:sz="4" w:space="0"/>
            <w:left w:val="single" w:color="000000" w:sz="4" w:space="0"/>
            <w:bottom w:val="single" w:color="000000" w:sz="4" w:space="0"/>
            <w:right w:val="single" w:color="000000" w:sz="4" w:space="0"/>
          </w:tcBorders>
          <w:tcW w:w="1741" w:type="dxa"/>
          <w:vAlign w:val="center"/>
          <w:textDirection w:val="lrTb"/>
          <w:noWrap w:val="false"/>
        </w:tcPr>
        <w:p>
          <w:pPr>
            <w:pStyle w:val="1045"/>
            <w:pBdr/>
            <w:spacing/>
            <w:ind/>
            <w:jc w:val="center"/>
            <w:rPr>
              <w:rFonts w:ascii="Verdana" w:hAnsi="Verdana"/>
              <w:bCs/>
              <w:sz w:val="24"/>
              <w:szCs w:val="24"/>
            </w:rPr>
          </w:pPr>
          <w:r>
            <w:rPr>
              <w:rFonts w:ascii="Verdana" w:hAnsi="Verdana"/>
              <w:bCs/>
              <w:sz w:val="24"/>
              <w:szCs w:val="24"/>
            </w:rPr>
            <w:t xml:space="preserve">P</w:t>
          </w:r>
          <w:r>
            <w:rPr>
              <w:rFonts w:ascii="Verdana" w:hAnsi="Verdana"/>
              <w:bCs/>
              <w:sz w:val="24"/>
              <w:szCs w:val="24"/>
            </w:rPr>
            <w:t xml:space="preserve"> </w:t>
          </w:r>
          <w:r>
            <w:rPr>
              <w:rFonts w:ascii="Verdana" w:hAnsi="Verdana"/>
              <w:bCs/>
              <w:sz w:val="24"/>
              <w:szCs w:val="24"/>
            </w:rPr>
            <w:t xml:space="preserve">09.01</w:t>
          </w:r>
          <w:r>
            <w:rPr>
              <w:rFonts w:ascii="Verdana" w:hAnsi="Verdana"/>
              <w:bCs/>
              <w:sz w:val="24"/>
              <w:szCs w:val="24"/>
            </w:rPr>
          </w:r>
        </w:p>
        <w:p>
          <w:pPr>
            <w:pStyle w:val="1045"/>
            <w:pBdr/>
            <w:spacing/>
            <w:ind/>
            <w:jc w:val="center"/>
            <w:rPr>
              <w:rFonts w:ascii="Verdana" w:hAnsi="Verdana"/>
              <w:bCs/>
              <w:sz w:val="24"/>
              <w:szCs w:val="24"/>
            </w:rPr>
          </w:pPr>
          <w:r>
            <w:rPr>
              <w:rFonts w:ascii="Verdana" w:hAnsi="Verdana"/>
              <w:bCs/>
              <w:sz w:val="24"/>
              <w:szCs w:val="24"/>
            </w:rPr>
            <w:t xml:space="preserve">Pag. </w:t>
          </w:r>
          <w:r>
            <w:rPr>
              <w:rFonts w:ascii="Verdana" w:hAnsi="Verdana"/>
              <w:bCs/>
              <w:sz w:val="24"/>
              <w:szCs w:val="24"/>
            </w:rPr>
            <w:fldChar w:fldCharType="begin"/>
          </w:r>
          <w:r>
            <w:rPr>
              <w:rFonts w:ascii="Verdana" w:hAnsi="Verdana"/>
              <w:bCs/>
              <w:sz w:val="24"/>
              <w:szCs w:val="24"/>
            </w:rPr>
            <w:instrText xml:space="preserve"> PAGE </w:instrText>
          </w:r>
          <w:r>
            <w:rPr>
              <w:rFonts w:ascii="Verdana" w:hAnsi="Verdana"/>
              <w:bCs/>
              <w:sz w:val="24"/>
              <w:szCs w:val="24"/>
            </w:rPr>
            <w:fldChar w:fldCharType="separate"/>
          </w:r>
          <w:r>
            <w:rPr>
              <w:rFonts w:ascii="Verdana" w:hAnsi="Verdana"/>
              <w:bCs/>
              <w:sz w:val="24"/>
              <w:szCs w:val="24"/>
            </w:rPr>
            <w:t xml:space="preserve">1</w:t>
          </w:r>
          <w:r>
            <w:rPr>
              <w:rFonts w:ascii="Verdana" w:hAnsi="Verdana"/>
              <w:bCs/>
              <w:sz w:val="24"/>
              <w:szCs w:val="24"/>
            </w:rPr>
            <w:fldChar w:fldCharType="end"/>
          </w:r>
          <w:r>
            <w:rPr>
              <w:rFonts w:ascii="Verdana" w:hAnsi="Verdana"/>
              <w:bCs/>
              <w:sz w:val="24"/>
              <w:szCs w:val="24"/>
            </w:rPr>
            <w:t xml:space="preserve">/6</w:t>
          </w:r>
          <w:r>
            <w:rPr>
              <w:rFonts w:ascii="Verdana" w:hAnsi="Verdana"/>
              <w:bCs/>
              <w:sz w:val="24"/>
              <w:szCs w:val="24"/>
            </w:rPr>
          </w:r>
        </w:p>
      </w:tc>
    </w:tr>
  </w:tbl>
  <w:p>
    <w:pPr>
      <w:pStyle w:val="1045"/>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decimal"/>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
      <w:numFmt w:val="bullet"/>
      <w:pPr>
        <w:pBdr/>
        <w:tabs>
          <w:tab w:val="num" w:leader="none" w:pos="720"/>
        </w:tabs>
        <w:spacing/>
        <w:ind w:hanging="360" w:left="720"/>
      </w:pPr>
      <w:rPr>
        <w:rFonts w:ascii="Times New Roman" w:hAnsi="Times New Roman" w:cs="Times New Roman"/>
      </w:rPr>
      <w:start w:val="1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tabs>
          <w:tab w:val="num" w:leader="none" w:pos="771"/>
        </w:tabs>
        <w:spacing/>
        <w:ind w:hanging="360" w:left="771"/>
      </w:pPr>
      <w:rPr>
        <w:rFonts w:ascii="Symbol" w:hAnsi="Symbol" w:cs="Times New Roman"/>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360"/>
        </w:tabs>
        <w:spacing/>
        <w:ind w:hanging="360" w:left="36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5">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Times New Roman" w:hAnsi="Times New Roman" w:eastAsia="Times New Roman" w:cs="Times New Roman"/>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3">
    <w:lvl w:ilvl="0">
      <w:isLgl w:val="false"/>
      <w:lvlJc w:val="left"/>
      <w:lvlText w:val="%1."/>
      <w:numFmt w:val="decimal"/>
      <w:pPr>
        <w:pBdr/>
        <w:spacing/>
        <w:ind w:hanging="360" w:left="1080"/>
      </w:pPr>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4">
    <w:lvl w:ilvl="0">
      <w:isLgl w:val="false"/>
      <w:lvlJc w:val="left"/>
      <w:lvlText w:val="%1)"/>
      <w:numFmt w:val="upperLetter"/>
      <w:pPr>
        <w:pBdr/>
        <w:spacing/>
        <w:ind w:hanging="375" w:left="659"/>
      </w:pPr>
      <w:rPr>
        <w:rFonts w:hint="default"/>
      </w:rPr>
      <w:start w:val="1"/>
      <w:suff w:val="tab"/>
    </w:lvl>
    <w:lvl w:ilvl="1">
      <w:isLgl w:val="false"/>
      <w:lvlJc w:val="left"/>
      <w:lvlText w:val="%2."/>
      <w:numFmt w:val="lowerLetter"/>
      <w:pPr>
        <w:pBdr/>
        <w:spacing/>
        <w:ind w:hanging="360" w:left="1364"/>
      </w:pPr>
      <w:rPr/>
      <w:start w:val="1"/>
      <w:suff w:val="tab"/>
    </w:lvl>
    <w:lvl w:ilvl="2">
      <w:isLgl w:val="false"/>
      <w:lvlJc w:val="right"/>
      <w:lvlText w:val="%3."/>
      <w:numFmt w:val="lowerRoman"/>
      <w:pPr>
        <w:pBdr/>
        <w:spacing/>
        <w:ind w:hanging="180" w:left="2084"/>
      </w:pPr>
      <w:rPr/>
      <w:start w:val="1"/>
      <w:suff w:val="tab"/>
    </w:lvl>
    <w:lvl w:ilvl="3">
      <w:isLgl w:val="false"/>
      <w:lvlJc w:val="left"/>
      <w:lvlText w:val="%4."/>
      <w:numFmt w:val="decimal"/>
      <w:pPr>
        <w:pBdr/>
        <w:spacing/>
        <w:ind w:hanging="360" w:left="2804"/>
      </w:pPr>
      <w:rPr/>
      <w:start w:val="1"/>
      <w:suff w:val="tab"/>
    </w:lvl>
    <w:lvl w:ilvl="4">
      <w:isLgl w:val="false"/>
      <w:lvlJc w:val="left"/>
      <w:lvlText w:val="%5."/>
      <w:numFmt w:val="lowerLetter"/>
      <w:pPr>
        <w:pBdr/>
        <w:spacing/>
        <w:ind w:hanging="360" w:left="3524"/>
      </w:pPr>
      <w:rPr/>
      <w:start w:val="1"/>
      <w:suff w:val="tab"/>
    </w:lvl>
    <w:lvl w:ilvl="5">
      <w:isLgl w:val="false"/>
      <w:lvlJc w:val="right"/>
      <w:lvlText w:val="%6."/>
      <w:numFmt w:val="lowerRoman"/>
      <w:pPr>
        <w:pBdr/>
        <w:spacing/>
        <w:ind w:hanging="180" w:left="4244"/>
      </w:pPr>
      <w:rPr/>
      <w:start w:val="1"/>
      <w:suff w:val="tab"/>
    </w:lvl>
    <w:lvl w:ilvl="6">
      <w:isLgl w:val="false"/>
      <w:lvlJc w:val="left"/>
      <w:lvlText w:val="%7."/>
      <w:numFmt w:val="decimal"/>
      <w:pPr>
        <w:pBdr/>
        <w:spacing/>
        <w:ind w:hanging="360" w:left="4964"/>
      </w:pPr>
      <w:rPr/>
      <w:start w:val="1"/>
      <w:suff w:val="tab"/>
    </w:lvl>
    <w:lvl w:ilvl="7">
      <w:isLgl w:val="false"/>
      <w:lvlJc w:val="left"/>
      <w:lvlText w:val="%8."/>
      <w:numFmt w:val="lowerLetter"/>
      <w:pPr>
        <w:pBdr/>
        <w:spacing/>
        <w:ind w:hanging="360" w:left="5684"/>
      </w:pPr>
      <w:rPr/>
      <w:start w:val="1"/>
      <w:suff w:val="tab"/>
    </w:lvl>
    <w:lvl w:ilvl="8">
      <w:isLgl w:val="false"/>
      <w:lvlJc w:val="right"/>
      <w:lvlText w:val="%9."/>
      <w:numFmt w:val="lowerRoman"/>
      <w:pPr>
        <w:pBdr/>
        <w:spacing/>
        <w:ind w:hanging="180" w:left="6404"/>
      </w:pPr>
      <w:rPr/>
      <w:start w:val="1"/>
      <w:suff w:val="tab"/>
    </w:lvl>
  </w:abstractNum>
  <w:abstractNum w:abstractNumId="15">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lvl w:ilvl="0">
      <w:isLgl w:val="false"/>
      <w:lvlJc w:val="left"/>
      <w:lvlText w:val=""/>
      <w:numFmt w:val="bullet"/>
      <w:pPr>
        <w:pBdr/>
        <w:spacing/>
        <w:ind w:hanging="360" w:left="765"/>
      </w:pPr>
      <w:rPr>
        <w:rFonts w:hint="default" w:ascii="Symbol" w:hAnsi="Symbol"/>
      </w:rPr>
      <w:start w:val="1"/>
      <w:suff w:val="tab"/>
    </w:lvl>
    <w:lvl w:ilvl="1">
      <w:isLgl w:val="false"/>
      <w:lvlJc w:val="left"/>
      <w:lvlText w:val="o"/>
      <w:numFmt w:val="bullet"/>
      <w:pPr>
        <w:pBdr/>
        <w:spacing/>
        <w:ind w:hanging="360" w:left="1485"/>
      </w:pPr>
      <w:rPr>
        <w:rFonts w:hint="default" w:ascii="Courier New" w:hAnsi="Courier New" w:cs="Courier New"/>
      </w:rPr>
      <w:start w:val="1"/>
      <w:suff w:val="tab"/>
    </w:lvl>
    <w:lvl w:ilvl="2">
      <w:isLgl w:val="false"/>
      <w:lvlJc w:val="left"/>
      <w:lvlText w:val=""/>
      <w:numFmt w:val="bullet"/>
      <w:pPr>
        <w:pBdr/>
        <w:spacing/>
        <w:ind w:hanging="360" w:left="2205"/>
      </w:pPr>
      <w:rPr>
        <w:rFonts w:hint="default" w:ascii="Wingdings" w:hAnsi="Wingdings"/>
      </w:rPr>
      <w:start w:val="1"/>
      <w:suff w:val="tab"/>
    </w:lvl>
    <w:lvl w:ilvl="3">
      <w:isLgl w:val="false"/>
      <w:lvlJc w:val="left"/>
      <w:lvlText w:val=""/>
      <w:numFmt w:val="bullet"/>
      <w:pPr>
        <w:pBdr/>
        <w:spacing/>
        <w:ind w:hanging="360" w:left="2925"/>
      </w:pPr>
      <w:rPr>
        <w:rFonts w:hint="default" w:ascii="Symbol" w:hAnsi="Symbol"/>
      </w:rPr>
      <w:start w:val="1"/>
      <w:suff w:val="tab"/>
    </w:lvl>
    <w:lvl w:ilvl="4">
      <w:isLgl w:val="false"/>
      <w:lvlJc w:val="left"/>
      <w:lvlText w:val="o"/>
      <w:numFmt w:val="bullet"/>
      <w:pPr>
        <w:pBdr/>
        <w:spacing/>
        <w:ind w:hanging="360" w:left="3645"/>
      </w:pPr>
      <w:rPr>
        <w:rFonts w:hint="default" w:ascii="Courier New" w:hAnsi="Courier New" w:cs="Courier New"/>
      </w:rPr>
      <w:start w:val="1"/>
      <w:suff w:val="tab"/>
    </w:lvl>
    <w:lvl w:ilvl="5">
      <w:isLgl w:val="false"/>
      <w:lvlJc w:val="left"/>
      <w:lvlText w:val=""/>
      <w:numFmt w:val="bullet"/>
      <w:pPr>
        <w:pBdr/>
        <w:spacing/>
        <w:ind w:hanging="360" w:left="4365"/>
      </w:pPr>
      <w:rPr>
        <w:rFonts w:hint="default" w:ascii="Wingdings" w:hAnsi="Wingdings"/>
      </w:rPr>
      <w:start w:val="1"/>
      <w:suff w:val="tab"/>
    </w:lvl>
    <w:lvl w:ilvl="6">
      <w:isLgl w:val="false"/>
      <w:lvlJc w:val="left"/>
      <w:lvlText w:val=""/>
      <w:numFmt w:val="bullet"/>
      <w:pPr>
        <w:pBdr/>
        <w:spacing/>
        <w:ind w:hanging="360" w:left="5085"/>
      </w:pPr>
      <w:rPr>
        <w:rFonts w:hint="default" w:ascii="Symbol" w:hAnsi="Symbol"/>
      </w:rPr>
      <w:start w:val="1"/>
      <w:suff w:val="tab"/>
    </w:lvl>
    <w:lvl w:ilvl="7">
      <w:isLgl w:val="false"/>
      <w:lvlJc w:val="left"/>
      <w:lvlText w:val="o"/>
      <w:numFmt w:val="bullet"/>
      <w:pPr>
        <w:pBdr/>
        <w:spacing/>
        <w:ind w:hanging="360" w:left="5805"/>
      </w:pPr>
      <w:rPr>
        <w:rFonts w:hint="default" w:ascii="Courier New" w:hAnsi="Courier New" w:cs="Courier New"/>
      </w:rPr>
      <w:start w:val="1"/>
      <w:suff w:val="tab"/>
    </w:lvl>
    <w:lvl w:ilvl="8">
      <w:isLgl w:val="false"/>
      <w:lvlJc w:val="left"/>
      <w:lvlText w:val=""/>
      <w:numFmt w:val="bullet"/>
      <w:pPr>
        <w:pBdr/>
        <w:spacing/>
        <w:ind w:hanging="360" w:left="6525"/>
      </w:pPr>
      <w:rPr>
        <w:rFonts w:hint="default" w:ascii="Wingdings" w:hAnsi="Wingdings"/>
      </w:rPr>
      <w:start w:val="1"/>
      <w:suff w:val="tab"/>
    </w:lvl>
  </w:abstractNum>
  <w:abstractNum w:abstractNumId="1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9">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0"/>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2">
    <w:lvl w:ilvl="0">
      <w:isLgl w:val="false"/>
      <w:lvlJc w:val="left"/>
      <w:lvlText w:val="%1"/>
      <w:numFmt w:val="decimal"/>
      <w:pPr>
        <w:pBdr/>
        <w:spacing/>
        <w:ind w:hanging="432" w:left="432"/>
      </w:pPr>
      <w:rPr/>
      <w:start w:val="1"/>
      <w:suff w:val="tab"/>
    </w:lvl>
    <w:lvl w:ilvl="1">
      <w:isLgl w:val="false"/>
      <w:lvlJc w:val="left"/>
      <w:lvlText w:val="%1.%2"/>
      <w:numFmt w:val="decimal"/>
      <w:pPr>
        <w:pBdr/>
        <w:spacing/>
        <w:ind w:hanging="576" w:left="576"/>
      </w:pPr>
      <w:rPr/>
      <w:start w:val="1"/>
      <w:suff w:val="tab"/>
    </w:lvl>
    <w:lvl w:ilvl="2">
      <w:isLgl w:val="false"/>
      <w:lvlJc w:val="left"/>
      <w:lvlText w:val="%1.%2.%3"/>
      <w:numFmt w:val="decimal"/>
      <w:pPr>
        <w:pBdr/>
        <w:spacing/>
        <w:ind w:hanging="720" w:left="720"/>
      </w:pPr>
      <w:rPr/>
      <w:start w:val="1"/>
      <w:suff w:val="tab"/>
    </w:lvl>
    <w:lvl w:ilvl="3">
      <w:isLgl w:val="false"/>
      <w:lvlJc w:val="left"/>
      <w:lvlText w:val="%1.%2.%3.%4"/>
      <w:numFmt w:val="decimal"/>
      <w:pPr>
        <w:pBdr/>
        <w:spacing/>
        <w:ind w:hanging="864" w:left="864"/>
      </w:pPr>
      <w:rPr/>
      <w:start w:val="1"/>
      <w:suff w:val="tab"/>
    </w:lvl>
    <w:lvl w:ilvl="4">
      <w:isLgl w:val="false"/>
      <w:lvlJc w:val="left"/>
      <w:lvlText w:val="%1.%2.%3.%4.%5"/>
      <w:numFmt w:val="decimal"/>
      <w:pPr>
        <w:pBdr/>
        <w:spacing/>
        <w:ind w:hanging="1008" w:left="1008"/>
      </w:pPr>
      <w:rPr/>
      <w:start w:val="1"/>
      <w:suff w:val="tab"/>
    </w:lvl>
    <w:lvl w:ilvl="5">
      <w:isLgl w:val="false"/>
      <w:lvlJc w:val="left"/>
      <w:lvlText w:val="%1.%2.%3.%4.%5.%6"/>
      <w:numFmt w:val="decimal"/>
      <w:pPr>
        <w:pBdr/>
        <w:spacing/>
        <w:ind w:hanging="1152" w:left="1152"/>
      </w:pPr>
      <w:rPr/>
      <w:start w:val="1"/>
      <w:suff w:val="tab"/>
    </w:lvl>
    <w:lvl w:ilvl="6">
      <w:isLgl w:val="false"/>
      <w:lvlJc w:val="left"/>
      <w:lvlText w:val="%1.%2.%3.%4.%5.%6.%7"/>
      <w:numFmt w:val="decimal"/>
      <w:pPr>
        <w:pBdr/>
        <w:spacing/>
        <w:ind w:hanging="1296" w:left="1296"/>
      </w:pPr>
      <w:rPr/>
      <w:start w:val="1"/>
      <w:suff w:val="tab"/>
    </w:lvl>
    <w:lvl w:ilvl="7">
      <w:isLgl w:val="false"/>
      <w:lvlJc w:val="left"/>
      <w:lvlText w:val="%1.%2.%3.%4.%5.%6.%7.%8"/>
      <w:numFmt w:val="decimal"/>
      <w:pPr>
        <w:pBdr/>
        <w:spacing/>
        <w:ind w:hanging="1440" w:left="1440"/>
      </w:pPr>
      <w:rPr/>
      <w:start w:val="1"/>
      <w:suff w:val="tab"/>
    </w:lvl>
    <w:lvl w:ilvl="8">
      <w:isLgl w:val="false"/>
      <w:lvlJc w:val="left"/>
      <w:lvlText w:val="%1.%2.%3.%4.%5.%6.%7.%8.%9"/>
      <w:numFmt w:val="decimal"/>
      <w:pPr>
        <w:pBdr/>
        <w:spacing/>
        <w:ind w:hanging="1584" w:left="1584"/>
      </w:pPr>
      <w:rPr/>
      <w:start w:val="1"/>
      <w:suff w:val="tab"/>
    </w:lvl>
  </w:abstractNum>
  <w:num w:numId="1">
    <w:abstractNumId w:val="1"/>
  </w:num>
  <w:num w:numId="2">
    <w:abstractNumId w:val="2"/>
  </w:num>
  <w:num w:numId="3">
    <w:abstractNumId w:val="3"/>
  </w:num>
  <w:num w:numId="4">
    <w:abstractNumId w:val="4"/>
  </w:num>
  <w:num w:numId="5">
    <w:abstractNumId w:val="11"/>
  </w:num>
  <w:num w:numId="6">
    <w:abstractNumId w:val="10"/>
  </w:num>
  <w:num w:numId="7">
    <w:abstractNumId w:val="14"/>
  </w:num>
  <w:num w:numId="8">
    <w:abstractNumId w:val="12"/>
  </w:num>
  <w:num w:numId="9">
    <w:abstractNumId w:val="13"/>
  </w:num>
  <w:num w:numId="10">
    <w:abstractNumId w:val="0"/>
    <w:lvlOverride w:ilvl="0">
      <w:lvl w:ilvl="0">
        <w:isLgl w:val="false"/>
        <w:legacy w:legacy="true" w:legacyIndent="283" w:legacySpace="0"/>
        <w:lvlJc w:val="left"/>
        <w:lvlText w:val=""/>
        <w:numFmt w:val="bullet"/>
        <w:pPr>
          <w:pBdr/>
          <w:spacing/>
          <w:ind w:hanging="283" w:left="283"/>
        </w:pPr>
        <w:rPr>
          <w:rFonts w:hint="default" w:ascii="Symbol" w:hAnsi="Symbol"/>
        </w:rPr>
        <w:start w:val="1"/>
        <w:suff w:val="tab"/>
      </w:lvl>
    </w:lvlOverride>
  </w:num>
  <w:num w:numId="11">
    <w:abstractNumId w:val="2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7"/>
  </w:num>
  <w:num w:numId="14">
    <w:abstractNumId w:val="8"/>
  </w:num>
  <w:num w:numId="15">
    <w:abstractNumId w:val="20"/>
  </w:num>
  <w:num w:numId="16">
    <w:abstractNumId w:val="5"/>
  </w:num>
  <w:num w:numId="17">
    <w:abstractNumId w:val="9"/>
  </w:num>
  <w:num w:numId="18">
    <w:abstractNumId w:val="18"/>
  </w:num>
  <w:num w:numId="19">
    <w:abstractNumId w:val="21"/>
  </w:num>
  <w:num w:numId="20">
    <w:abstractNumId w:val="17"/>
  </w:num>
  <w:num w:numId="21">
    <w:abstractNumId w:val="16"/>
  </w:num>
  <w:num w:numId="22">
    <w:abstractNumId w:val="19"/>
  </w:num>
  <w:num w:numId="23">
    <w:abstractNumId w:val="15"/>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283"/>
  <w:characterSpacingControl w:val="doNotCompress"/>
  <w:footnotePr>
    <w:pos w:val="beneathText"/>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it-IT" w:eastAsia="it-IT"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10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101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101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10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10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101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101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10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10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10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10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10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10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10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10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10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10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10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10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10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101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101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101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101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101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101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101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101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101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101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101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101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101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101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101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101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101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10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101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10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101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101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101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101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101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101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101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101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101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101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101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101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101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101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101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101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101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10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101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101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101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101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101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101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101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101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101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101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101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101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101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101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101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101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101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101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101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101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101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101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101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101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101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101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101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101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101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101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101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101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101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101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101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101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101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101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101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101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101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101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101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101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101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101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101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101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101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
    <w:name w:val="Heading 7"/>
    <w:basedOn w:val="1008"/>
    <w:next w:val="1008"/>
    <w:link w:val="15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5">
    <w:name w:val="Heading 8"/>
    <w:basedOn w:val="1008"/>
    <w:next w:val="1008"/>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1008"/>
    <w:next w:val="1008"/>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9">
    <w:name w:val="Heading 1 Char"/>
    <w:basedOn w:val="1015"/>
    <w:link w:val="1009"/>
    <w:uiPriority w:val="9"/>
    <w:pPr>
      <w:pBdr/>
      <w:spacing/>
      <w:ind/>
    </w:pPr>
    <w:rPr>
      <w:rFonts w:ascii="Arial" w:hAnsi="Arial" w:eastAsia="Arial" w:cs="Arial"/>
      <w:color w:val="0f4761" w:themeColor="accent1" w:themeShade="BF"/>
      <w:sz w:val="40"/>
      <w:szCs w:val="40"/>
    </w:rPr>
  </w:style>
  <w:style w:type="character" w:styleId="150">
    <w:name w:val="Heading 2 Char"/>
    <w:basedOn w:val="1015"/>
    <w:link w:val="1010"/>
    <w:uiPriority w:val="9"/>
    <w:pPr>
      <w:pBdr/>
      <w:spacing/>
      <w:ind/>
    </w:pPr>
    <w:rPr>
      <w:rFonts w:ascii="Arial" w:hAnsi="Arial" w:eastAsia="Arial" w:cs="Arial"/>
      <w:color w:val="0f4761" w:themeColor="accent1" w:themeShade="BF"/>
      <w:sz w:val="32"/>
      <w:szCs w:val="32"/>
    </w:rPr>
  </w:style>
  <w:style w:type="character" w:styleId="151">
    <w:name w:val="Heading 3 Char"/>
    <w:basedOn w:val="1015"/>
    <w:link w:val="1011"/>
    <w:uiPriority w:val="9"/>
    <w:pPr>
      <w:pBdr/>
      <w:spacing/>
      <w:ind/>
    </w:pPr>
    <w:rPr>
      <w:rFonts w:ascii="Arial" w:hAnsi="Arial" w:eastAsia="Arial" w:cs="Arial"/>
      <w:color w:val="0f4761" w:themeColor="accent1" w:themeShade="BF"/>
      <w:sz w:val="28"/>
      <w:szCs w:val="28"/>
    </w:rPr>
  </w:style>
  <w:style w:type="character" w:styleId="152">
    <w:name w:val="Heading 4 Char"/>
    <w:basedOn w:val="1015"/>
    <w:link w:val="1012"/>
    <w:uiPriority w:val="9"/>
    <w:pPr>
      <w:pBdr/>
      <w:spacing/>
      <w:ind/>
    </w:pPr>
    <w:rPr>
      <w:rFonts w:ascii="Arial" w:hAnsi="Arial" w:eastAsia="Arial" w:cs="Arial"/>
      <w:i/>
      <w:iCs/>
      <w:color w:val="0f4761" w:themeColor="accent1" w:themeShade="BF"/>
    </w:rPr>
  </w:style>
  <w:style w:type="character" w:styleId="153">
    <w:name w:val="Heading 5 Char"/>
    <w:basedOn w:val="1015"/>
    <w:link w:val="1013"/>
    <w:uiPriority w:val="9"/>
    <w:pPr>
      <w:pBdr/>
      <w:spacing/>
      <w:ind/>
    </w:pPr>
    <w:rPr>
      <w:rFonts w:ascii="Arial" w:hAnsi="Arial" w:eastAsia="Arial" w:cs="Arial"/>
      <w:color w:val="0f4761" w:themeColor="accent1" w:themeShade="BF"/>
    </w:rPr>
  </w:style>
  <w:style w:type="character" w:styleId="154">
    <w:name w:val="Heading 6 Char"/>
    <w:basedOn w:val="1015"/>
    <w:link w:val="1014"/>
    <w:uiPriority w:val="9"/>
    <w:pPr>
      <w:pBdr/>
      <w:spacing/>
      <w:ind/>
    </w:pPr>
    <w:rPr>
      <w:rFonts w:ascii="Arial" w:hAnsi="Arial" w:eastAsia="Arial" w:cs="Arial"/>
      <w:i/>
      <w:iCs/>
      <w:color w:val="595959" w:themeColor="text1" w:themeTint="A6"/>
    </w:rPr>
  </w:style>
  <w:style w:type="character" w:styleId="155">
    <w:name w:val="Heading 7 Char"/>
    <w:basedOn w:val="1015"/>
    <w:link w:val="144"/>
    <w:uiPriority w:val="9"/>
    <w:pPr>
      <w:pBdr/>
      <w:spacing/>
      <w:ind/>
    </w:pPr>
    <w:rPr>
      <w:rFonts w:ascii="Arial" w:hAnsi="Arial" w:eastAsia="Arial" w:cs="Arial"/>
      <w:color w:val="595959" w:themeColor="text1" w:themeTint="A6"/>
    </w:rPr>
  </w:style>
  <w:style w:type="character" w:styleId="156">
    <w:name w:val="Heading 8 Char"/>
    <w:basedOn w:val="1015"/>
    <w:link w:val="145"/>
    <w:uiPriority w:val="9"/>
    <w:pPr>
      <w:pBdr/>
      <w:spacing/>
      <w:ind/>
    </w:pPr>
    <w:rPr>
      <w:rFonts w:ascii="Arial" w:hAnsi="Arial" w:eastAsia="Arial" w:cs="Arial"/>
      <w:i/>
      <w:iCs/>
      <w:color w:val="272727" w:themeColor="text1" w:themeTint="D8"/>
    </w:rPr>
  </w:style>
  <w:style w:type="character" w:styleId="157">
    <w:name w:val="Heading 9 Char"/>
    <w:basedOn w:val="1015"/>
    <w:link w:val="146"/>
    <w:uiPriority w:val="9"/>
    <w:pPr>
      <w:pBdr/>
      <w:spacing/>
      <w:ind/>
    </w:pPr>
    <w:rPr>
      <w:rFonts w:ascii="Arial" w:hAnsi="Arial" w:eastAsia="Arial" w:cs="Arial"/>
      <w:i/>
      <w:iCs/>
      <w:color w:val="272727" w:themeColor="text1" w:themeTint="D8"/>
    </w:rPr>
  </w:style>
  <w:style w:type="paragraph" w:styleId="158">
    <w:name w:val="Title"/>
    <w:basedOn w:val="1008"/>
    <w:next w:val="1008"/>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015"/>
    <w:link w:val="158"/>
    <w:uiPriority w:val="10"/>
    <w:pPr>
      <w:pBdr/>
      <w:spacing/>
      <w:ind/>
    </w:pPr>
    <w:rPr>
      <w:rFonts w:ascii="Arial" w:hAnsi="Arial" w:eastAsia="Arial" w:cs="Arial"/>
      <w:spacing w:val="-10"/>
      <w:sz w:val="56"/>
      <w:szCs w:val="56"/>
    </w:rPr>
  </w:style>
  <w:style w:type="paragraph" w:styleId="160">
    <w:name w:val="Subtitle"/>
    <w:basedOn w:val="1008"/>
    <w:next w:val="1008"/>
    <w:link w:val="161"/>
    <w:uiPriority w:val="11"/>
    <w:qFormat/>
    <w:pPr>
      <w:numPr>
        <w:ilvl w:val="1"/>
      </w:numPr>
      <w:pBdr/>
      <w:spacing/>
      <w:ind/>
    </w:pPr>
    <w:rPr>
      <w:color w:val="595959" w:themeColor="text1" w:themeTint="A6"/>
      <w:spacing w:val="15"/>
      <w:sz w:val="28"/>
      <w:szCs w:val="28"/>
    </w:rPr>
  </w:style>
  <w:style w:type="character" w:styleId="161">
    <w:name w:val="Subtitle Char"/>
    <w:basedOn w:val="1015"/>
    <w:link w:val="160"/>
    <w:uiPriority w:val="11"/>
    <w:pPr>
      <w:pBdr/>
      <w:spacing/>
      <w:ind/>
    </w:pPr>
    <w:rPr>
      <w:color w:val="595959" w:themeColor="text1" w:themeTint="A6"/>
      <w:spacing w:val="15"/>
      <w:sz w:val="28"/>
      <w:szCs w:val="28"/>
    </w:rPr>
  </w:style>
  <w:style w:type="paragraph" w:styleId="162">
    <w:name w:val="Quote"/>
    <w:basedOn w:val="1008"/>
    <w:next w:val="1008"/>
    <w:link w:val="163"/>
    <w:uiPriority w:val="29"/>
    <w:qFormat/>
    <w:pPr>
      <w:pBdr/>
      <w:spacing w:before="160"/>
      <w:ind/>
      <w:jc w:val="center"/>
    </w:pPr>
    <w:rPr>
      <w:i/>
      <w:iCs/>
      <w:color w:val="404040" w:themeColor="text1" w:themeTint="BF"/>
    </w:rPr>
  </w:style>
  <w:style w:type="character" w:styleId="163">
    <w:name w:val="Quote Char"/>
    <w:basedOn w:val="1015"/>
    <w:link w:val="162"/>
    <w:uiPriority w:val="29"/>
    <w:pPr>
      <w:pBdr/>
      <w:spacing/>
      <w:ind/>
    </w:pPr>
    <w:rPr>
      <w:i/>
      <w:iCs/>
      <w:color w:val="404040" w:themeColor="text1" w:themeTint="BF"/>
    </w:rPr>
  </w:style>
  <w:style w:type="character" w:styleId="165">
    <w:name w:val="Intense Emphasis"/>
    <w:basedOn w:val="1015"/>
    <w:uiPriority w:val="21"/>
    <w:qFormat/>
    <w:pPr>
      <w:pBdr/>
      <w:spacing/>
      <w:ind/>
    </w:pPr>
    <w:rPr>
      <w:i/>
      <w:iCs/>
      <w:color w:val="0f4761" w:themeColor="accent1" w:themeShade="BF"/>
    </w:rPr>
  </w:style>
  <w:style w:type="paragraph" w:styleId="166">
    <w:name w:val="Intense Quote"/>
    <w:basedOn w:val="1008"/>
    <w:next w:val="1008"/>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1015"/>
    <w:link w:val="166"/>
    <w:uiPriority w:val="30"/>
    <w:pPr>
      <w:pBdr/>
      <w:spacing/>
      <w:ind/>
    </w:pPr>
    <w:rPr>
      <w:i/>
      <w:iCs/>
      <w:color w:val="0f4761" w:themeColor="accent1" w:themeShade="BF"/>
    </w:rPr>
  </w:style>
  <w:style w:type="character" w:styleId="168">
    <w:name w:val="Intense Reference"/>
    <w:basedOn w:val="1015"/>
    <w:uiPriority w:val="32"/>
    <w:qFormat/>
    <w:pPr>
      <w:pBdr/>
      <w:spacing/>
      <w:ind/>
    </w:pPr>
    <w:rPr>
      <w:b/>
      <w:bCs/>
      <w:smallCaps/>
      <w:color w:val="0f4761" w:themeColor="accent1" w:themeShade="BF"/>
      <w:spacing w:val="5"/>
    </w:rPr>
  </w:style>
  <w:style w:type="paragraph" w:styleId="169">
    <w:name w:val="No Spacing"/>
    <w:basedOn w:val="1008"/>
    <w:uiPriority w:val="1"/>
    <w:qFormat/>
    <w:pPr>
      <w:pBdr/>
      <w:spacing w:after="0" w:line="240" w:lineRule="auto"/>
      <w:ind/>
    </w:pPr>
  </w:style>
  <w:style w:type="character" w:styleId="170">
    <w:name w:val="Subtle Emphasis"/>
    <w:basedOn w:val="1015"/>
    <w:uiPriority w:val="19"/>
    <w:qFormat/>
    <w:pPr>
      <w:pBdr/>
      <w:spacing/>
      <w:ind/>
    </w:pPr>
    <w:rPr>
      <w:i/>
      <w:iCs/>
      <w:color w:val="404040" w:themeColor="text1" w:themeTint="BF"/>
    </w:rPr>
  </w:style>
  <w:style w:type="character" w:styleId="171">
    <w:name w:val="Emphasis"/>
    <w:basedOn w:val="1015"/>
    <w:uiPriority w:val="20"/>
    <w:qFormat/>
    <w:pPr>
      <w:pBdr/>
      <w:spacing/>
      <w:ind/>
    </w:pPr>
    <w:rPr>
      <w:i/>
      <w:iCs/>
    </w:rPr>
  </w:style>
  <w:style w:type="character" w:styleId="172">
    <w:name w:val="Strong"/>
    <w:basedOn w:val="1015"/>
    <w:uiPriority w:val="22"/>
    <w:qFormat/>
    <w:pPr>
      <w:pBdr/>
      <w:spacing/>
      <w:ind/>
    </w:pPr>
    <w:rPr>
      <w:b/>
      <w:bCs/>
    </w:rPr>
  </w:style>
  <w:style w:type="character" w:styleId="173">
    <w:name w:val="Subtle Reference"/>
    <w:basedOn w:val="1015"/>
    <w:uiPriority w:val="31"/>
    <w:qFormat/>
    <w:pPr>
      <w:pBdr/>
      <w:spacing/>
      <w:ind/>
    </w:pPr>
    <w:rPr>
      <w:smallCaps/>
      <w:color w:val="5a5a5a" w:themeColor="text1" w:themeTint="A5"/>
    </w:rPr>
  </w:style>
  <w:style w:type="character" w:styleId="174">
    <w:name w:val="Book Title"/>
    <w:basedOn w:val="1015"/>
    <w:uiPriority w:val="33"/>
    <w:qFormat/>
    <w:pPr>
      <w:pBdr/>
      <w:spacing/>
      <w:ind/>
    </w:pPr>
    <w:rPr>
      <w:b/>
      <w:bCs/>
      <w:i/>
      <w:iCs/>
      <w:spacing w:val="5"/>
    </w:rPr>
  </w:style>
  <w:style w:type="character" w:styleId="176">
    <w:name w:val="Header Char"/>
    <w:basedOn w:val="1015"/>
    <w:link w:val="1045"/>
    <w:uiPriority w:val="99"/>
    <w:pPr>
      <w:pBdr/>
      <w:spacing/>
      <w:ind/>
    </w:pPr>
  </w:style>
  <w:style w:type="character" w:styleId="178">
    <w:name w:val="Footer Char"/>
    <w:basedOn w:val="1015"/>
    <w:link w:val="1046"/>
    <w:uiPriority w:val="99"/>
    <w:pPr>
      <w:pBdr/>
      <w:spacing/>
      <w:ind/>
    </w:pPr>
  </w:style>
  <w:style w:type="paragraph" w:styleId="179">
    <w:name w:val="Caption"/>
    <w:basedOn w:val="1008"/>
    <w:next w:val="1008"/>
    <w:uiPriority w:val="35"/>
    <w:unhideWhenUsed/>
    <w:qFormat/>
    <w:pPr>
      <w:pBdr/>
      <w:spacing w:after="200" w:line="240" w:lineRule="auto"/>
      <w:ind/>
    </w:pPr>
    <w:rPr>
      <w:i/>
      <w:iCs/>
      <w:color w:val="0e2841" w:themeColor="text2"/>
      <w:sz w:val="18"/>
      <w:szCs w:val="18"/>
    </w:rPr>
  </w:style>
  <w:style w:type="paragraph" w:styleId="180">
    <w:name w:val="footnote text"/>
    <w:basedOn w:val="1008"/>
    <w:link w:val="181"/>
    <w:uiPriority w:val="99"/>
    <w:semiHidden/>
    <w:unhideWhenUsed/>
    <w:pPr>
      <w:pBdr/>
      <w:spacing w:after="0" w:line="240" w:lineRule="auto"/>
      <w:ind/>
    </w:pPr>
    <w:rPr>
      <w:sz w:val="20"/>
      <w:szCs w:val="20"/>
    </w:rPr>
  </w:style>
  <w:style w:type="character" w:styleId="181">
    <w:name w:val="Footnote Text Char"/>
    <w:basedOn w:val="1015"/>
    <w:link w:val="180"/>
    <w:uiPriority w:val="99"/>
    <w:semiHidden/>
    <w:pPr>
      <w:pBdr/>
      <w:spacing/>
      <w:ind/>
    </w:pPr>
    <w:rPr>
      <w:sz w:val="20"/>
      <w:szCs w:val="20"/>
    </w:rPr>
  </w:style>
  <w:style w:type="character" w:styleId="182">
    <w:name w:val="footnote reference"/>
    <w:basedOn w:val="1015"/>
    <w:uiPriority w:val="99"/>
    <w:semiHidden/>
    <w:unhideWhenUsed/>
    <w:pPr>
      <w:pBdr/>
      <w:spacing/>
      <w:ind/>
    </w:pPr>
    <w:rPr>
      <w:vertAlign w:val="superscript"/>
    </w:rPr>
  </w:style>
  <w:style w:type="paragraph" w:styleId="183">
    <w:name w:val="endnote text"/>
    <w:basedOn w:val="1008"/>
    <w:link w:val="184"/>
    <w:uiPriority w:val="99"/>
    <w:semiHidden/>
    <w:unhideWhenUsed/>
    <w:pPr>
      <w:pBdr/>
      <w:spacing w:after="0" w:line="240" w:lineRule="auto"/>
      <w:ind/>
    </w:pPr>
    <w:rPr>
      <w:sz w:val="20"/>
      <w:szCs w:val="20"/>
    </w:rPr>
  </w:style>
  <w:style w:type="character" w:styleId="184">
    <w:name w:val="Endnote Text Char"/>
    <w:basedOn w:val="1015"/>
    <w:link w:val="183"/>
    <w:uiPriority w:val="99"/>
    <w:semiHidden/>
    <w:pPr>
      <w:pBdr/>
      <w:spacing/>
      <w:ind/>
    </w:pPr>
    <w:rPr>
      <w:sz w:val="20"/>
      <w:szCs w:val="20"/>
    </w:rPr>
  </w:style>
  <w:style w:type="character" w:styleId="185">
    <w:name w:val="endnote reference"/>
    <w:basedOn w:val="1015"/>
    <w:uiPriority w:val="99"/>
    <w:semiHidden/>
    <w:unhideWhenUsed/>
    <w:pPr>
      <w:pBdr/>
      <w:spacing/>
      <w:ind/>
    </w:pPr>
    <w:rPr>
      <w:vertAlign w:val="superscript"/>
    </w:rPr>
  </w:style>
  <w:style w:type="character" w:styleId="186">
    <w:name w:val="Hyperlink"/>
    <w:basedOn w:val="1015"/>
    <w:uiPriority w:val="99"/>
    <w:unhideWhenUsed/>
    <w:pPr>
      <w:pBdr/>
      <w:spacing/>
      <w:ind/>
    </w:pPr>
    <w:rPr>
      <w:color w:val="0563c1" w:themeColor="hyperlink"/>
      <w:u w:val="single"/>
    </w:rPr>
  </w:style>
  <w:style w:type="character" w:styleId="187">
    <w:name w:val="FollowedHyperlink"/>
    <w:basedOn w:val="1015"/>
    <w:uiPriority w:val="99"/>
    <w:semiHidden/>
    <w:unhideWhenUsed/>
    <w:pPr>
      <w:pBdr/>
      <w:spacing/>
      <w:ind/>
    </w:pPr>
    <w:rPr>
      <w:color w:val="954f72" w:themeColor="followedHyperlink"/>
      <w:u w:val="single"/>
    </w:rPr>
  </w:style>
  <w:style w:type="paragraph" w:styleId="188">
    <w:name w:val="toc 1"/>
    <w:basedOn w:val="1008"/>
    <w:next w:val="1008"/>
    <w:uiPriority w:val="39"/>
    <w:unhideWhenUsed/>
    <w:pPr>
      <w:pBdr/>
      <w:spacing w:after="100"/>
      <w:ind/>
    </w:pPr>
  </w:style>
  <w:style w:type="paragraph" w:styleId="189">
    <w:name w:val="toc 2"/>
    <w:basedOn w:val="1008"/>
    <w:next w:val="1008"/>
    <w:uiPriority w:val="39"/>
    <w:unhideWhenUsed/>
    <w:pPr>
      <w:pBdr/>
      <w:spacing w:after="100"/>
      <w:ind w:left="220"/>
    </w:pPr>
  </w:style>
  <w:style w:type="paragraph" w:styleId="190">
    <w:name w:val="toc 3"/>
    <w:basedOn w:val="1008"/>
    <w:next w:val="1008"/>
    <w:uiPriority w:val="39"/>
    <w:unhideWhenUsed/>
    <w:pPr>
      <w:pBdr/>
      <w:spacing w:after="100"/>
      <w:ind w:left="440"/>
    </w:pPr>
  </w:style>
  <w:style w:type="paragraph" w:styleId="191">
    <w:name w:val="toc 4"/>
    <w:basedOn w:val="1008"/>
    <w:next w:val="1008"/>
    <w:uiPriority w:val="39"/>
    <w:unhideWhenUsed/>
    <w:pPr>
      <w:pBdr/>
      <w:spacing w:after="100"/>
      <w:ind w:left="660"/>
    </w:pPr>
  </w:style>
  <w:style w:type="paragraph" w:styleId="192">
    <w:name w:val="toc 5"/>
    <w:basedOn w:val="1008"/>
    <w:next w:val="1008"/>
    <w:uiPriority w:val="39"/>
    <w:unhideWhenUsed/>
    <w:pPr>
      <w:pBdr/>
      <w:spacing w:after="100"/>
      <w:ind w:left="880"/>
    </w:pPr>
  </w:style>
  <w:style w:type="paragraph" w:styleId="193">
    <w:name w:val="toc 6"/>
    <w:basedOn w:val="1008"/>
    <w:next w:val="1008"/>
    <w:uiPriority w:val="39"/>
    <w:unhideWhenUsed/>
    <w:pPr>
      <w:pBdr/>
      <w:spacing w:after="100"/>
      <w:ind w:left="1100"/>
    </w:pPr>
  </w:style>
  <w:style w:type="paragraph" w:styleId="194">
    <w:name w:val="toc 7"/>
    <w:basedOn w:val="1008"/>
    <w:next w:val="1008"/>
    <w:uiPriority w:val="39"/>
    <w:unhideWhenUsed/>
    <w:pPr>
      <w:pBdr/>
      <w:spacing w:after="100"/>
      <w:ind w:left="1320"/>
    </w:pPr>
  </w:style>
  <w:style w:type="paragraph" w:styleId="195">
    <w:name w:val="toc 8"/>
    <w:basedOn w:val="1008"/>
    <w:next w:val="1008"/>
    <w:uiPriority w:val="39"/>
    <w:unhideWhenUsed/>
    <w:pPr>
      <w:pBdr/>
      <w:spacing w:after="100"/>
      <w:ind w:left="1540"/>
    </w:pPr>
  </w:style>
  <w:style w:type="paragraph" w:styleId="196">
    <w:name w:val="toc 9"/>
    <w:basedOn w:val="1008"/>
    <w:next w:val="1008"/>
    <w:uiPriority w:val="39"/>
    <w:unhideWhenUsed/>
    <w:pPr>
      <w:pBdr/>
      <w:spacing w:after="100"/>
      <w:ind w:left="1760"/>
    </w:pPr>
  </w:style>
  <w:style w:type="character" w:styleId="197">
    <w:name w:val="Placeholder Text"/>
    <w:basedOn w:val="1015"/>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1008"/>
    <w:next w:val="1008"/>
    <w:uiPriority w:val="99"/>
    <w:unhideWhenUsed/>
    <w:pPr>
      <w:pBdr/>
      <w:spacing w:after="0" w:afterAutospacing="0"/>
      <w:ind/>
    </w:pPr>
  </w:style>
  <w:style w:type="paragraph" w:styleId="1008" w:default="1">
    <w:name w:val="Normal"/>
    <w:qFormat/>
    <w:pPr>
      <w:pBdr/>
      <w:spacing/>
      <w:ind/>
    </w:pPr>
    <w:rPr>
      <w:lang w:eastAsia="ar-SA"/>
    </w:rPr>
  </w:style>
  <w:style w:type="paragraph" w:styleId="1009">
    <w:name w:val="Heading 1"/>
    <w:basedOn w:val="1008"/>
    <w:next w:val="1008"/>
    <w:qFormat/>
    <w:pPr>
      <w:keepNext w:val="true"/>
      <w:widowControl w:val="false"/>
      <w:pBdr/>
      <w:spacing/>
      <w:ind/>
      <w:outlineLvl w:val="0"/>
    </w:pPr>
    <w:rPr>
      <w:b/>
      <w:bCs/>
    </w:rPr>
  </w:style>
  <w:style w:type="paragraph" w:styleId="1010">
    <w:name w:val="Heading 2"/>
    <w:basedOn w:val="1008"/>
    <w:next w:val="1008"/>
    <w:qFormat/>
    <w:pPr>
      <w:keepNext w:val="true"/>
      <w:widowControl w:val="false"/>
      <w:pBdr/>
      <w:spacing/>
      <w:ind/>
      <w:jc w:val="center"/>
      <w:outlineLvl w:val="1"/>
    </w:pPr>
    <w:rPr>
      <w:b/>
      <w:bCs/>
      <w:sz w:val="24"/>
      <w:szCs w:val="24"/>
    </w:rPr>
  </w:style>
  <w:style w:type="paragraph" w:styleId="1011">
    <w:name w:val="Heading 3"/>
    <w:basedOn w:val="1008"/>
    <w:next w:val="1008"/>
    <w:qFormat/>
    <w:pPr>
      <w:keepNext w:val="true"/>
      <w:pBdr/>
      <w:spacing/>
      <w:ind/>
      <w:jc w:val="both"/>
      <w:outlineLvl w:val="2"/>
    </w:pPr>
    <w:rPr>
      <w:b/>
      <w:bCs/>
    </w:rPr>
  </w:style>
  <w:style w:type="paragraph" w:styleId="1012">
    <w:name w:val="Heading 4"/>
    <w:basedOn w:val="1008"/>
    <w:next w:val="1008"/>
    <w:qFormat/>
    <w:pPr>
      <w:keepNext w:val="true"/>
      <w:pBdr/>
      <w:spacing/>
      <w:ind/>
      <w:jc w:val="both"/>
      <w:outlineLvl w:val="3"/>
    </w:pPr>
    <w:rPr>
      <w:b/>
      <w:bCs/>
      <w:sz w:val="24"/>
      <w:szCs w:val="24"/>
    </w:rPr>
  </w:style>
  <w:style w:type="paragraph" w:styleId="1013">
    <w:name w:val="Heading 5"/>
    <w:basedOn w:val="1008"/>
    <w:next w:val="1008"/>
    <w:qFormat/>
    <w:pPr>
      <w:keepNext w:val="true"/>
      <w:pBdr/>
      <w:spacing/>
      <w:ind/>
      <w:jc w:val="both"/>
      <w:outlineLvl w:val="4"/>
    </w:pPr>
    <w:rPr>
      <w:i/>
      <w:iCs/>
    </w:rPr>
  </w:style>
  <w:style w:type="paragraph" w:styleId="1014">
    <w:name w:val="Heading 6"/>
    <w:basedOn w:val="1008"/>
    <w:next w:val="1008"/>
    <w:qFormat/>
    <w:pPr>
      <w:keepNext w:val="true"/>
      <w:suppressLineNumbers w:val="true"/>
      <w:pBdr/>
      <w:spacing/>
      <w:ind/>
      <w:jc w:val="center"/>
      <w:outlineLvl w:val="5"/>
    </w:pPr>
    <w:rPr>
      <w:b/>
      <w:bCs/>
    </w:rPr>
  </w:style>
  <w:style w:type="character" w:styleId="1015" w:default="1">
    <w:name w:val="Default Paragraph Font"/>
    <w:uiPriority w:val="1"/>
    <w:semiHidden/>
    <w:unhideWhenUsed/>
    <w:pPr>
      <w:pBdr/>
      <w:spacing/>
      <w:ind/>
    </w:pPr>
  </w:style>
  <w:style w:type="table" w:styleId="101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17" w:default="1">
    <w:name w:val="No List"/>
    <w:uiPriority w:val="99"/>
    <w:semiHidden/>
    <w:unhideWhenUsed/>
    <w:pPr>
      <w:pBdr/>
      <w:spacing/>
      <w:ind/>
    </w:pPr>
  </w:style>
  <w:style w:type="character" w:styleId="1018" w:customStyle="1">
    <w:name w:val="WW8Num1z0"/>
    <w:pPr>
      <w:pBdr/>
      <w:spacing/>
      <w:ind/>
    </w:pPr>
    <w:rPr>
      <w:rFonts w:ascii="Times New Roman" w:hAnsi="Times New Roman" w:cs="Times New Roman"/>
    </w:rPr>
  </w:style>
  <w:style w:type="character" w:styleId="1019" w:customStyle="1">
    <w:name w:val="WW8Num2z0"/>
    <w:pPr>
      <w:pBdr/>
      <w:spacing/>
      <w:ind/>
    </w:pPr>
    <w:rPr>
      <w:rFonts w:ascii="Symbol" w:hAnsi="Symbol" w:cs="Times New Roman"/>
    </w:rPr>
  </w:style>
  <w:style w:type="character" w:styleId="1020" w:customStyle="1">
    <w:name w:val="Absatz-Standardschriftart"/>
    <w:pPr>
      <w:pBdr/>
      <w:spacing/>
      <w:ind/>
    </w:pPr>
  </w:style>
  <w:style w:type="character" w:styleId="1021" w:customStyle="1">
    <w:name w:val="WW-Absatz-Standardschriftart"/>
    <w:pPr>
      <w:pBdr/>
      <w:spacing/>
      <w:ind/>
    </w:pPr>
  </w:style>
  <w:style w:type="character" w:styleId="1022" w:customStyle="1">
    <w:name w:val="Car. predefinito paragrafo1"/>
    <w:pPr>
      <w:pBdr/>
      <w:spacing/>
      <w:ind/>
    </w:pPr>
  </w:style>
  <w:style w:type="character" w:styleId="1023" w:customStyle="1">
    <w:name w:val="WW8Num2z1"/>
    <w:pPr>
      <w:pBdr/>
      <w:spacing/>
      <w:ind/>
    </w:pPr>
    <w:rPr>
      <w:rFonts w:ascii="Courier New" w:hAnsi="Courier New" w:cs="Courier New"/>
    </w:rPr>
  </w:style>
  <w:style w:type="character" w:styleId="1024" w:customStyle="1">
    <w:name w:val="WW8Num2z2"/>
    <w:pPr>
      <w:pBdr/>
      <w:spacing/>
      <w:ind/>
    </w:pPr>
    <w:rPr>
      <w:rFonts w:ascii="Wingdings" w:hAnsi="Wingdings" w:cs="Times New Roman"/>
    </w:rPr>
  </w:style>
  <w:style w:type="character" w:styleId="1025" w:customStyle="1">
    <w:name w:val="WW8Num4z0"/>
    <w:pPr>
      <w:pBdr/>
      <w:spacing/>
      <w:ind/>
    </w:pPr>
    <w:rPr>
      <w:rFonts w:ascii="Symbol" w:hAnsi="Symbol" w:cs="Times New Roman"/>
    </w:rPr>
  </w:style>
  <w:style w:type="character" w:styleId="1026" w:customStyle="1">
    <w:name w:val="WW8Num6z0"/>
    <w:pPr>
      <w:pBdr/>
      <w:spacing/>
      <w:ind/>
    </w:pPr>
    <w:rPr>
      <w:rFonts w:ascii="Times New Roman" w:hAnsi="Times New Roman" w:eastAsia="Times New Roman" w:cs="Times New Roman"/>
    </w:rPr>
  </w:style>
  <w:style w:type="character" w:styleId="1027" w:customStyle="1">
    <w:name w:val="WW8Num6z1"/>
    <w:pPr>
      <w:pBdr/>
      <w:spacing/>
      <w:ind/>
    </w:pPr>
    <w:rPr>
      <w:rFonts w:ascii="Courier New" w:hAnsi="Courier New"/>
    </w:rPr>
  </w:style>
  <w:style w:type="character" w:styleId="1028" w:customStyle="1">
    <w:name w:val="WW8Num6z2"/>
    <w:pPr>
      <w:pBdr/>
      <w:spacing/>
      <w:ind/>
    </w:pPr>
    <w:rPr>
      <w:rFonts w:ascii="Wingdings" w:hAnsi="Wingdings"/>
    </w:rPr>
  </w:style>
  <w:style w:type="character" w:styleId="1029" w:customStyle="1">
    <w:name w:val="WW8Num6z3"/>
    <w:pPr>
      <w:pBdr/>
      <w:spacing/>
      <w:ind/>
    </w:pPr>
    <w:rPr>
      <w:rFonts w:ascii="Symbol" w:hAnsi="Symbol"/>
    </w:rPr>
  </w:style>
  <w:style w:type="character" w:styleId="1030" w:customStyle="1">
    <w:name w:val="WW8Num7z0"/>
    <w:pPr>
      <w:pBdr/>
      <w:spacing/>
      <w:ind/>
    </w:pPr>
    <w:rPr>
      <w:rFonts w:ascii="Symbol" w:hAnsi="Symbol" w:cs="Times New Roman"/>
    </w:rPr>
  </w:style>
  <w:style w:type="character" w:styleId="1031" w:customStyle="1">
    <w:name w:val="WW8Num8z0"/>
    <w:pPr>
      <w:pBdr/>
      <w:spacing/>
      <w:ind/>
    </w:pPr>
    <w:rPr>
      <w:rFonts w:ascii="Symbol" w:hAnsi="Symbol" w:cs="Times New Roman"/>
    </w:rPr>
  </w:style>
  <w:style w:type="character" w:styleId="1032" w:customStyle="1">
    <w:name w:val="WW8Num8z1"/>
    <w:pPr>
      <w:pBdr/>
      <w:spacing/>
      <w:ind/>
    </w:pPr>
    <w:rPr>
      <w:rFonts w:ascii="Courier New" w:hAnsi="Courier New" w:cs="Courier New"/>
    </w:rPr>
  </w:style>
  <w:style w:type="character" w:styleId="1033" w:customStyle="1">
    <w:name w:val="WW8Num8z2"/>
    <w:pPr>
      <w:pBdr/>
      <w:spacing/>
      <w:ind/>
    </w:pPr>
    <w:rPr>
      <w:rFonts w:ascii="Wingdings" w:hAnsi="Wingdings" w:cs="Times New Roman"/>
    </w:rPr>
  </w:style>
  <w:style w:type="character" w:styleId="1034" w:customStyle="1">
    <w:name w:val="WW8Num11z0"/>
    <w:pPr>
      <w:pBdr/>
      <w:spacing/>
      <w:ind/>
    </w:pPr>
    <w:rPr>
      <w:rFonts w:ascii="Symbol" w:hAnsi="Symbol" w:cs="Times New Roman"/>
    </w:rPr>
  </w:style>
  <w:style w:type="character" w:styleId="1035" w:customStyle="1">
    <w:name w:val="WW8Num12z0"/>
    <w:pPr>
      <w:pBdr/>
      <w:spacing/>
      <w:ind/>
    </w:pPr>
    <w:rPr>
      <w:rFonts w:ascii="Symbol" w:hAnsi="Symbol" w:cs="Times New Roman"/>
    </w:rPr>
  </w:style>
  <w:style w:type="character" w:styleId="1036" w:customStyle="1">
    <w:name w:val="WW8NumSt1z0"/>
    <w:pPr>
      <w:pBdr/>
      <w:spacing/>
      <w:ind/>
    </w:pPr>
    <w:rPr>
      <w:rFonts w:ascii="Symbol" w:hAnsi="Symbol" w:cs="Times New Roman"/>
    </w:rPr>
  </w:style>
  <w:style w:type="character" w:styleId="1037" w:customStyle="1">
    <w:name w:val="Carattere predefinito paragrafo"/>
    <w:pPr>
      <w:pBdr/>
      <w:spacing/>
      <w:ind/>
    </w:pPr>
  </w:style>
  <w:style w:type="character" w:styleId="1038">
    <w:name w:val="page number"/>
    <w:basedOn w:val="1037"/>
    <w:pPr>
      <w:pBdr/>
      <w:spacing/>
      <w:ind/>
    </w:pPr>
  </w:style>
  <w:style w:type="paragraph" w:styleId="1039">
    <w:name w:val="Body Text"/>
    <w:basedOn w:val="1008"/>
    <w:pPr>
      <w:pBdr/>
      <w:spacing/>
      <w:ind/>
      <w:jc w:val="both"/>
    </w:pPr>
  </w:style>
  <w:style w:type="paragraph" w:styleId="1040">
    <w:name w:val="List"/>
    <w:basedOn w:val="1039"/>
    <w:pPr>
      <w:pBdr/>
      <w:spacing/>
      <w:ind/>
    </w:pPr>
    <w:rPr>
      <w:rFonts w:cs="Tahoma"/>
    </w:rPr>
  </w:style>
  <w:style w:type="paragraph" w:styleId="1041" w:customStyle="1">
    <w:name w:val="Dicitura"/>
    <w:basedOn w:val="1008"/>
    <w:pPr>
      <w:suppressLineNumbers w:val="true"/>
      <w:pBdr/>
      <w:spacing w:after="120" w:before="120"/>
      <w:ind/>
    </w:pPr>
    <w:rPr>
      <w:rFonts w:cs="Tahoma"/>
      <w:i/>
      <w:iCs/>
    </w:rPr>
  </w:style>
  <w:style w:type="paragraph" w:styleId="1042" w:customStyle="1">
    <w:name w:val="Indice"/>
    <w:basedOn w:val="1008"/>
    <w:pPr>
      <w:suppressLineNumbers w:val="true"/>
      <w:pBdr/>
      <w:spacing/>
      <w:ind/>
    </w:pPr>
    <w:rPr>
      <w:rFonts w:cs="Tahoma"/>
    </w:rPr>
  </w:style>
  <w:style w:type="paragraph" w:styleId="1043" w:customStyle="1">
    <w:name w:val="Intestazione2"/>
    <w:basedOn w:val="1008"/>
    <w:next w:val="1039"/>
    <w:pPr>
      <w:keepNext w:val="true"/>
      <w:pBdr/>
      <w:spacing w:after="120" w:before="240"/>
      <w:ind/>
    </w:pPr>
    <w:rPr>
      <w:rFonts w:ascii="Arial" w:hAnsi="Arial" w:eastAsia="Lucida Sans Unicode" w:cs="Tahoma"/>
      <w:sz w:val="28"/>
      <w:szCs w:val="28"/>
    </w:rPr>
  </w:style>
  <w:style w:type="paragraph" w:styleId="1044" w:customStyle="1">
    <w:name w:val="Intestazione1"/>
    <w:basedOn w:val="1008"/>
    <w:next w:val="1039"/>
    <w:pPr>
      <w:keepNext w:val="true"/>
      <w:pBdr/>
      <w:spacing w:after="120" w:before="240"/>
      <w:ind/>
    </w:pPr>
    <w:rPr>
      <w:rFonts w:ascii="Arial" w:hAnsi="Arial" w:eastAsia="Lucida Sans Unicode" w:cs="Tahoma"/>
      <w:sz w:val="28"/>
      <w:szCs w:val="28"/>
    </w:rPr>
  </w:style>
  <w:style w:type="paragraph" w:styleId="1045">
    <w:name w:val="Header"/>
    <w:basedOn w:val="1008"/>
    <w:pPr>
      <w:pBdr/>
      <w:tabs>
        <w:tab w:val="center" w:leader="none" w:pos="4819"/>
        <w:tab w:val="right" w:leader="none" w:pos="9638"/>
      </w:tabs>
      <w:spacing/>
      <w:ind/>
    </w:pPr>
  </w:style>
  <w:style w:type="paragraph" w:styleId="1046">
    <w:name w:val="Footer"/>
    <w:basedOn w:val="1008"/>
    <w:pPr>
      <w:pBdr/>
      <w:tabs>
        <w:tab w:val="center" w:leader="none" w:pos="4819"/>
        <w:tab w:val="right" w:leader="none" w:pos="9638"/>
      </w:tabs>
      <w:spacing/>
      <w:ind/>
    </w:pPr>
  </w:style>
  <w:style w:type="paragraph" w:styleId="1047" w:customStyle="1">
    <w:name w:val="Didascalia1"/>
    <w:basedOn w:val="1008"/>
    <w:next w:val="1008"/>
    <w:pPr>
      <w:pBdr/>
      <w:spacing/>
      <w:ind/>
    </w:pPr>
    <w:rPr>
      <w:b/>
      <w:bCs/>
    </w:rPr>
  </w:style>
  <w:style w:type="paragraph" w:styleId="1048">
    <w:name w:val="Body Text Indent"/>
    <w:basedOn w:val="1008"/>
    <w:pPr>
      <w:pBdr/>
      <w:spacing/>
      <w:ind/>
      <w:jc w:val="both"/>
    </w:pPr>
    <w:rPr>
      <w:i/>
      <w:iCs/>
    </w:rPr>
  </w:style>
  <w:style w:type="paragraph" w:styleId="1049" w:customStyle="1">
    <w:name w:val="Contenuto tabella"/>
    <w:basedOn w:val="1008"/>
    <w:pPr>
      <w:suppressLineNumbers w:val="true"/>
      <w:pBdr/>
      <w:spacing/>
      <w:ind/>
    </w:pPr>
  </w:style>
  <w:style w:type="paragraph" w:styleId="1050" w:customStyle="1">
    <w:name w:val="Intestazione tabella"/>
    <w:basedOn w:val="1049"/>
    <w:pPr>
      <w:pBdr/>
      <w:spacing/>
      <w:ind/>
      <w:jc w:val="center"/>
    </w:pPr>
    <w:rPr>
      <w:b/>
      <w:bCs/>
      <w:i/>
      <w:iCs/>
    </w:rPr>
  </w:style>
  <w:style w:type="paragraph" w:styleId="1051">
    <w:name w:val="List Paragraph"/>
    <w:basedOn w:val="1008"/>
    <w:uiPriority w:val="34"/>
    <w:qFormat/>
    <w:pPr>
      <w:pBdr/>
      <w:spacing/>
      <w:ind w:left="708"/>
    </w:pPr>
  </w:style>
  <w:style w:type="paragraph" w:styleId="1052">
    <w:name w:val="Balloon Text"/>
    <w:basedOn w:val="1008"/>
    <w:link w:val="1053"/>
    <w:pPr>
      <w:pBdr/>
      <w:spacing/>
      <w:ind/>
    </w:pPr>
    <w:rPr>
      <w:rFonts w:ascii="Tahoma" w:hAnsi="Tahoma" w:cs="Tahoma"/>
      <w:sz w:val="16"/>
      <w:szCs w:val="16"/>
    </w:rPr>
  </w:style>
  <w:style w:type="character" w:styleId="1053" w:customStyle="1">
    <w:name w:val="Testo fumetto Carattere"/>
    <w:link w:val="1052"/>
    <w:pPr>
      <w:pBdr/>
      <w:spacing/>
      <w:ind/>
    </w:pPr>
    <w:rPr>
      <w:rFonts w:ascii="Tahoma" w:hAnsi="Tahoma" w:cs="Tahoma"/>
      <w:sz w:val="16"/>
      <w:szCs w:val="16"/>
      <w:lang w:eastAsia="ar-SA"/>
    </w:rPr>
  </w:style>
  <w:style w:type="table" w:styleId="1054">
    <w:name w:val="Table Grid"/>
    <w:basedOn w:val="1016"/>
    <w:uiPriority w:val="59"/>
    <w:pPr>
      <w:pBdr/>
      <w:spacing/>
      <w:ind/>
    </w:pPr>
    <w:rPr>
      <w:rFonts w:ascii="Calibri" w:hAnsi="Calibri" w:eastAsia="Calibr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51DE38-DAE8-439C-8DE1-424FD8FE3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Agrumigel</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Massimo Parisi</cp:lastModifiedBy>
  <cp:revision>11</cp:revision>
  <dcterms:created xsi:type="dcterms:W3CDTF">2015-06-22T08:48:00Z</dcterms:created>
  <dcterms:modified xsi:type="dcterms:W3CDTF">2025-11-19T21:26:43Z</dcterms:modified>
  <cp:category>Ufficio Qualità</cp:category>
  <cp:contentStatus>Rev. 2</cp:contentStatus>
</cp:coreProperties>
</file>