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numPr>
          <w:ilvl w:val="0"/>
          <w:numId w:val="8"/>
        </w:numPr>
        <w:pBdr/>
        <w:spacing w:line="276" w:lineRule="auto"/>
        <w:ind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SCOPO</w:t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Style w:val="849"/>
        <w:pBdr/>
        <w:spacing w:line="276" w:lineRule="auto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Scopo della presente procedura è descrivere le modalità</w:t>
      </w:r>
      <w:r>
        <w:rPr>
          <w:rFonts w:ascii="Calibri" w:hAnsi="Calibri" w:cs="Calibri"/>
          <w:sz w:val="22"/>
          <w:szCs w:val="22"/>
        </w:rPr>
        <w:t xml:space="preserve"> di gestione efficace dei MOCA, fondamentale per garantire</w:t>
      </w:r>
      <w:r>
        <w:rPr>
          <w:rFonts w:ascii="Calibri" w:hAnsi="Calibri" w:cs="Calibri"/>
          <w:sz w:val="22"/>
          <w:szCs w:val="22"/>
        </w:rPr>
        <w:t xml:space="preserve"> la sicurezza e la qualità dei prodotti alimentari.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CAMPO DI APPLICAZIONE</w:t>
      </w:r>
      <w:r>
        <w:rPr>
          <w:rFonts w:ascii="Calibri" w:hAnsi="Calibri" w:cs="Calibri"/>
          <w:b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s</w:t>
      </w:r>
      <w:r>
        <w:rPr>
          <w:rFonts w:ascii="Calibri" w:hAnsi="Calibri" w:cs="Calibri"/>
          <w:sz w:val="22"/>
          <w:szCs w:val="22"/>
        </w:rPr>
        <w:t xml:space="preserve">eguente procedura si applica a tutti gli imballaggi primari (quelli direttamente a contatto con il prodotto)</w:t>
      </w:r>
      <w:r>
        <w:rPr>
          <w:rFonts w:ascii="Calibri" w:hAnsi="Calibri" w:cs="Calibri"/>
          <w:sz w:val="22"/>
          <w:szCs w:val="22"/>
        </w:rPr>
        <w:t xml:space="preserve">: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10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851" w:right="851" w:bottom="851" w:left="851" w:header="720" w:footer="720" w:gutter="0"/>
          <w:cols w:num="1" w:sep="0" w:space="720" w:equalWidth="1"/>
        </w:sect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10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Sacchi in polietilene;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10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Sacchi asettici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10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Secchielli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10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Bidoncini (Jerry </w:t>
      </w:r>
      <w:r>
        <w:rPr>
          <w:rFonts w:ascii="Calibri" w:hAnsi="Calibri" w:cs="Calibri"/>
          <w:sz w:val="22"/>
          <w:szCs w:val="22"/>
        </w:rPr>
        <w:t xml:space="preserve">cans</w:t>
      </w:r>
      <w:r>
        <w:rPr>
          <w:rFonts w:ascii="Calibri" w:hAnsi="Calibri" w:cs="Calibri"/>
          <w:sz w:val="22"/>
          <w:szCs w:val="22"/>
        </w:rPr>
        <w:t xml:space="preserve">)</w:t>
      </w:r>
      <w:r>
        <w:rPr>
          <w:rFonts w:ascii="Calibri" w:hAnsi="Calibri" w:cs="Calibri"/>
          <w:sz w:val="22"/>
          <w:szCs w:val="22"/>
        </w:rPr>
      </w:r>
    </w:p>
    <w:p>
      <w:pPr>
        <w:pStyle w:val="843"/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  <w:sectPr>
          <w:footnotePr/>
          <w:endnotePr/>
          <w:type w:val="continuous"/>
          <w:pgSz w:h="16840" w:orient="portrait" w:w="11907"/>
          <w:pgMar w:top="851" w:right="851" w:bottom="851" w:left="851" w:header="720" w:footer="720" w:gutter="0"/>
          <w:cols w:num="2" w:sep="0" w:space="720" w:equalWidth="1"/>
        </w:sect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843"/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RIFERIMENTI NORMATIVI</w:t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materiali e gli oggetti destinati ad entrare a contatto con gli alimenti sono disciplinati dalle seguenti normative europee: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9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Regolamento (CE) n. 1935/2004</w:t>
      </w:r>
      <w:r>
        <w:rPr>
          <w:rFonts w:ascii="Calibri" w:hAnsi="Calibri" w:cs="Calibri"/>
          <w:sz w:val="22"/>
          <w:szCs w:val="22"/>
        </w:rPr>
        <w:t xml:space="preserve">: stabilisce i requisiti generali per i MOCA, garantendo che non trasferiscono sostanze agli alimenti in quantità pericolose per la salute umana, non alterino la composizione degli alimenti né ne deteriorino le caratteristiche organolettiche.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9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Regolamento (CE) n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</w:rPr>
        <w:t xml:space="preserve">2023/2006</w:t>
      </w:r>
      <w:r>
        <w:rPr>
          <w:rFonts w:ascii="Calibri" w:hAnsi="Calibri" w:cs="Calibri"/>
          <w:sz w:val="22"/>
          <w:szCs w:val="22"/>
        </w:rPr>
        <w:t xml:space="preserve">: definisce le Buone Pratiche di Fabbricazione (GMP) per i MOCA, assicurando che la produzione sia controllata e documentata per garantire la conformità.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9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Regolamento (UE) n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</w:rPr>
        <w:t xml:space="preserve">2024/3190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 xml:space="preserve">relativo all’utilizzo del Bisfenolo A (BPA) e di altri bisfenoli e derivati di bisfenoli con classificazione armonizzata per speci</w:t>
      </w:r>
      <w:r>
        <w:rPr>
          <w:rFonts w:ascii="Calibri" w:hAnsi="Calibri" w:cs="Calibri"/>
          <w:sz w:val="22"/>
          <w:szCs w:val="22"/>
        </w:rPr>
        <w:t xml:space="preserve">fiche proprietà pericolose in determinati materiali e oggetti destinati a venire a contatto con i prodotti alimentari, che modifica il reg. (UE) n. 10/2011 e che abroga il reg. (UE) 2018/213. Per i materiali plastici destinati al contatto con gli alimenti.</w:t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9"/>
        </w:num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Regolamento (UE) n</w:t>
      </w:r>
      <w:r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351/2025</w:t>
      </w:r>
      <w:r>
        <w:rPr>
          <w:rFonts w:ascii="Calibri" w:hAnsi="Calibri" w:cs="Calibri"/>
          <w:b/>
          <w:bCs/>
          <w:sz w:val="22"/>
          <w:szCs w:val="22"/>
        </w:rPr>
        <w:t xml:space="preserve"> (*)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 xml:space="preserve">riguardante i materiali e gli oggetti di materia plastica destinati a venire a contatto con i prodotti alimentari,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materiali e agli oggetti di </w:t>
      </w:r>
      <w:r>
        <w:rPr>
          <w:rFonts w:ascii="Calibri" w:hAnsi="Calibri" w:cs="Calibri"/>
          <w:sz w:val="22"/>
          <w:szCs w:val="22"/>
        </w:rPr>
        <w:t xml:space="preserve">materia plastica riciclata destinati a venire a contatto con i prodotti alimentari e che abroga il regolamento (CE) n. 282/2008, e del regolamento (CE) n. 2023/2006 sulle buone pratiche di fabbricazione dei materiali e degli oggetti destinati a venire a co</w:t>
      </w:r>
      <w:r>
        <w:rPr>
          <w:rFonts w:ascii="Calibri" w:hAnsi="Calibri" w:cs="Calibri"/>
          <w:sz w:val="22"/>
          <w:szCs w:val="22"/>
        </w:rPr>
        <w:t xml:space="preserve">ntatto con i prodotti alimentari per quanto riguarda la materia plastica riciclata e altre questioni relative al controllo della qualità e alla fabbricazione di materiali e oggetti di materia plastica destinati a venire a contatto con i prodotti alimentari</w:t>
      </w:r>
      <w:r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tbl>
      <w:tblPr>
        <w:tblInd w:w="284" w:type="dxa"/>
        <w:tblW w:w="0" w:type="auto"/>
        <w:tblBorders/>
        <w:tblLook w:val="04A0" w:firstRow="1" w:lastRow="0" w:firstColumn="1" w:lastColumn="0" w:noHBand="0" w:noVBand="1"/>
        <w:tblStyle w:val="851"/>
      </w:tblPr>
      <w:tblGrid>
        <w:gridCol w:w="1013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345" w:type="dxa"/>
            <w:textDirection w:val="lrTb"/>
            <w:noWrap w:val="false"/>
          </w:tcPr>
          <w:p>
            <w:pPr>
              <w:pBdr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(*) entrato in vigore il 16/03/2025 con periodo di transizione fino al 16/09/2026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FLUSSO OPERATIVO</w:t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fornitori di MOCA seguono un iter di qualifica che prevede la compilazione di un questionario di valutazione</w:t>
      </w:r>
      <w:r>
        <w:rPr>
          <w:rFonts w:ascii="Calibri" w:hAnsi="Calibri" w:cs="Calibri"/>
          <w:sz w:val="22"/>
          <w:szCs w:val="22"/>
        </w:rPr>
        <w:t xml:space="preserve">, che </w:t>
      </w:r>
      <w:r>
        <w:rPr>
          <w:rFonts w:ascii="Calibri" w:hAnsi="Calibri" w:cs="Calibri"/>
          <w:sz w:val="22"/>
          <w:szCs w:val="22"/>
        </w:rPr>
        <w:t xml:space="preserve">raccoglie informazioni essenziali per la qualifica de</w:t>
      </w:r>
      <w:r>
        <w:rPr>
          <w:rFonts w:ascii="Calibri" w:hAnsi="Calibri" w:cs="Calibri"/>
          <w:sz w:val="22"/>
          <w:szCs w:val="22"/>
        </w:rPr>
        <w:t xml:space="preserve">i</w:t>
      </w:r>
      <w:r>
        <w:rPr>
          <w:rFonts w:ascii="Calibri" w:hAnsi="Calibri" w:cs="Calibri"/>
          <w:sz w:val="22"/>
          <w:szCs w:val="22"/>
        </w:rPr>
        <w:t xml:space="preserve"> fornitor</w:t>
      </w:r>
      <w:r>
        <w:rPr>
          <w:rFonts w:ascii="Calibri" w:hAnsi="Calibri" w:cs="Calibri"/>
          <w:sz w:val="22"/>
          <w:szCs w:val="22"/>
        </w:rPr>
        <w:t xml:space="preserve">i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Prima di procedere all’acquisto dei suddetti imballaggi primari, l’ufficio Acquisti provvede a richiedere le relative schede tecniche e i risultati dei</w:t>
      </w:r>
      <w:r>
        <w:rPr>
          <w:rFonts w:ascii="Calibri" w:hAnsi="Calibri" w:cs="Calibri"/>
          <w:sz w:val="22"/>
          <w:szCs w:val="22"/>
        </w:rPr>
        <w:t xml:space="preserve"> test di cessione effettuati dal fornitore per verificare l’adeguatezza del materiale al contenimento del succo ai sensi del D.M. 21 marzo 1973 e successive modifiche e aggiornamenti. Le schede tecniche e le dichiarazioni di conformità vengono inserite in </w:t>
      </w:r>
      <w:r>
        <w:rPr>
          <w:rFonts w:ascii="Calibri" w:hAnsi="Calibri" w:cs="Calibri"/>
          <w:i/>
          <w:iCs/>
          <w:sz w:val="22"/>
          <w:szCs w:val="22"/>
        </w:rPr>
        <w:t xml:space="preserve">D O5.05 </w:t>
      </w:r>
      <w:r>
        <w:rPr>
          <w:rFonts w:ascii="Calibri" w:hAnsi="Calibri" w:cs="Calibri"/>
          <w:sz w:val="22"/>
          <w:szCs w:val="22"/>
        </w:rPr>
        <w:t xml:space="preserve">“</w:t>
      </w:r>
      <w:r>
        <w:rPr>
          <w:rFonts w:ascii="Calibri" w:hAnsi="Calibri" w:cs="Calibri"/>
          <w:i/>
          <w:iCs/>
          <w:sz w:val="22"/>
          <w:szCs w:val="22"/>
        </w:rPr>
        <w:t xml:space="preserve">Elenco documentazione imballi</w:t>
      </w:r>
      <w:r>
        <w:rPr>
          <w:rFonts w:ascii="Calibri" w:hAnsi="Calibri" w:cs="Calibri"/>
          <w:sz w:val="22"/>
          <w:szCs w:val="22"/>
        </w:rPr>
        <w:t xml:space="preserve">”. Tutti gli imballaggi destinati a venire a contatto con il succo sono codificati al loro ingresso in azienda nel Sistema Informatico</w:t>
      </w:r>
      <w:r>
        <w:rPr>
          <w:rFonts w:ascii="Calibri" w:hAnsi="Calibri" w:cs="Calibri"/>
          <w:sz w:val="22"/>
          <w:szCs w:val="22"/>
        </w:rPr>
        <w:t xml:space="preserve"> e nel modulo </w:t>
      </w:r>
      <w:r>
        <w:rPr>
          <w:rFonts w:ascii="Calibri" w:hAnsi="Calibri" w:cs="Calibri"/>
          <w:i/>
          <w:iCs/>
          <w:sz w:val="22"/>
          <w:szCs w:val="22"/>
        </w:rPr>
        <w:t xml:space="preserve">M 05.02 </w:t>
      </w:r>
      <w:r>
        <w:rPr>
          <w:rFonts w:ascii="Calibri" w:hAnsi="Calibri" w:cs="Calibri"/>
          <w:sz w:val="22"/>
          <w:szCs w:val="22"/>
        </w:rPr>
        <w:t xml:space="preserve">“</w:t>
      </w:r>
      <w:r>
        <w:rPr>
          <w:rFonts w:ascii="Calibri" w:hAnsi="Calibri" w:cs="Calibri"/>
          <w:i/>
          <w:iCs/>
          <w:sz w:val="22"/>
          <w:szCs w:val="22"/>
        </w:rPr>
        <w:t xml:space="preserve">Database magazzino imballi</w:t>
      </w:r>
      <w:r>
        <w:rPr>
          <w:rFonts w:ascii="Calibri" w:hAnsi="Calibri" w:cs="Calibri"/>
          <w:sz w:val="22"/>
          <w:szCs w:val="22"/>
        </w:rPr>
        <w:t xml:space="preserve">”</w:t>
      </w:r>
      <w:r>
        <w:rPr>
          <w:rFonts w:ascii="Calibri" w:hAnsi="Calibri" w:cs="Calibri"/>
          <w:sz w:val="22"/>
          <w:szCs w:val="22"/>
        </w:rPr>
        <w:t xml:space="preserve"> con il relativo lotto per poter essere inseriti nel sistema di tracciabilità del prodotto.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Ogni qualvolta vengano preparati gli imballi destinati al prodotto finito, l’addetto al laboratorio è tenuto a compilare una comunicazione interna </w:t>
      </w:r>
      <w:r>
        <w:rPr>
          <w:rFonts w:ascii="Calibri" w:hAnsi="Calibri" w:cs="Calibri"/>
          <w:i/>
          <w:iCs/>
          <w:sz w:val="22"/>
          <w:szCs w:val="22"/>
        </w:rPr>
        <w:t xml:space="preserve">M 01.03 </w:t>
      </w:r>
      <w:r>
        <w:rPr>
          <w:rFonts w:ascii="Calibri" w:hAnsi="Calibri" w:cs="Calibri"/>
          <w:sz w:val="22"/>
          <w:szCs w:val="22"/>
        </w:rPr>
        <w:t xml:space="preserve">“</w:t>
      </w:r>
      <w:r>
        <w:rPr>
          <w:rFonts w:ascii="Calibri" w:hAnsi="Calibri" w:cs="Calibri"/>
          <w:i/>
          <w:iCs/>
          <w:sz w:val="22"/>
          <w:szCs w:val="22"/>
        </w:rPr>
        <w:t xml:space="preserve">Comunicazione interna</w:t>
      </w:r>
      <w:r>
        <w:rPr>
          <w:rFonts w:ascii="Calibri" w:hAnsi="Calibri" w:cs="Calibri"/>
          <w:sz w:val="22"/>
          <w:szCs w:val="22"/>
        </w:rPr>
        <w:t xml:space="preserve">” in cui viene indicata la tipologia di imballo da preparare. In caso di non co</w:t>
      </w:r>
      <w:r>
        <w:rPr>
          <w:rFonts w:ascii="Calibri" w:hAnsi="Calibri" w:cs="Calibri"/>
          <w:sz w:val="22"/>
          <w:szCs w:val="22"/>
        </w:rPr>
        <w:t xml:space="preserve">nformità riscontrate durante la preparazione, l’addetto incaricato deve obbligatoriamente compilare la tabella presente nella comunicazione, riportando la tipologia di imballo, il lotto di riferimento e la descrizione dettagliata dell’anomalia riscontrata.</w:t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AZIONI DA INTRAPRENDERE IN CASO DI NON CONFORMITÀ</w:t>
      </w:r>
      <w:r>
        <w:rPr>
          <w:rFonts w:ascii="Calibri" w:hAnsi="Calibri" w:cs="Calibri"/>
          <w:b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In caso di non conformità</w:t>
      </w:r>
      <w:r>
        <w:rPr>
          <w:rFonts w:ascii="Calibri" w:hAnsi="Calibri" w:cs="Calibri"/>
          <w:bCs/>
          <w:sz w:val="22"/>
          <w:szCs w:val="22"/>
        </w:rPr>
        <w:t xml:space="preserve"> dei MOCA, l’operatore incaricato ne informa direttamente l’ufficio qualità, che effettua una valutazione e apre un rapporto di non conformità (M 13.01) da inviare al fornitore del materiale interessato. Se la non conformità viene rilevata prima</w:t>
      </w:r>
      <w:r>
        <w:rPr>
          <w:rFonts w:ascii="Calibri" w:hAnsi="Calibri" w:cs="Calibri"/>
          <w:bCs/>
          <w:sz w:val="22"/>
          <w:szCs w:val="22"/>
        </w:rPr>
        <w:t xml:space="preserve"> dell’utilizzo, il MOCA viene allontanato dal processo produttivo ed eliminato. Se viene individuata in fasi successive, i lotti coinvolti vengono segregati per una successiva lavorazione o, nei casi più gravi, si procede alla distruzione dei lotti stessi.</w:t>
      </w:r>
      <w:r>
        <w:rPr>
          <w:rFonts w:ascii="Calibri" w:hAnsi="Calibri" w:cs="Calibri"/>
          <w:bCs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</w:r>
      <w:r>
        <w:rPr>
          <w:rFonts w:ascii="Calibri" w:hAnsi="Calibri" w:cs="Calibri"/>
          <w:bCs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ARCHIVIAZIONE</w:t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Style w:val="849"/>
        <w:pBdr/>
        <w:spacing w:line="276" w:lineRule="auto"/>
        <w:ind/>
        <w:rPr>
          <w:rFonts w:ascii="Verdana" w:hAnsi="Verdana"/>
          <w:sz w:val="20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M 0</w:t>
      </w:r>
      <w:r>
        <w:rPr>
          <w:rFonts w:ascii="Calibri" w:hAnsi="Calibri" w:cs="Calibri"/>
          <w:i/>
          <w:iCs/>
          <w:sz w:val="22"/>
          <w:szCs w:val="22"/>
        </w:rPr>
        <w:t xml:space="preserve">5</w:t>
      </w:r>
      <w:r>
        <w:rPr>
          <w:rFonts w:ascii="Calibri" w:hAnsi="Calibri" w:cs="Calibri"/>
          <w:i/>
          <w:iCs/>
          <w:sz w:val="22"/>
          <w:szCs w:val="22"/>
        </w:rPr>
        <w:t xml:space="preserve">.0</w:t>
      </w:r>
      <w:r>
        <w:rPr>
          <w:rFonts w:ascii="Calibri" w:hAnsi="Calibri" w:cs="Calibri"/>
          <w:i/>
          <w:iCs/>
          <w:sz w:val="22"/>
          <w:szCs w:val="22"/>
        </w:rPr>
        <w:t xml:space="preserve">2 </w:t>
      </w:r>
      <w:r>
        <w:rPr>
          <w:rFonts w:ascii="Calibri" w:hAnsi="Calibri" w:cs="Calibri"/>
          <w:sz w:val="22"/>
          <w:szCs w:val="22"/>
        </w:rPr>
        <w:t xml:space="preserve">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D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05</w:t>
      </w:r>
      <w:r>
        <w:rPr>
          <w:rFonts w:ascii="Calibri" w:hAnsi="Calibri" w:cs="Calibri"/>
          <w:i/>
          <w:iCs/>
          <w:sz w:val="22"/>
          <w:szCs w:val="22"/>
        </w:rPr>
        <w:t xml:space="preserve">.0</w:t>
      </w:r>
      <w:r>
        <w:rPr>
          <w:rFonts w:ascii="Calibri" w:hAnsi="Calibri" w:cs="Calibri"/>
          <w:i/>
          <w:iCs/>
          <w:sz w:val="22"/>
          <w:szCs w:val="22"/>
        </w:rPr>
        <w:t xml:space="preserve">5 </w:t>
      </w:r>
      <w:r>
        <w:rPr>
          <w:rFonts w:ascii="Calibri" w:hAnsi="Calibri" w:cs="Calibri"/>
          <w:sz w:val="22"/>
          <w:szCs w:val="22"/>
        </w:rPr>
        <w:t xml:space="preserve">sono periodicamente aggiornati e conservati in formato digitale sul Sistema Informatico aziendale</w:t>
      </w:r>
      <w:r>
        <w:rPr>
          <w:rFonts w:ascii="Calibri" w:hAnsi="Calibri" w:cs="Calibri"/>
          <w:sz w:val="22"/>
          <w:szCs w:val="22"/>
        </w:rPr>
        <w:t xml:space="preserve"> per almeno 4 anni.</w:t>
      </w:r>
      <w:r>
        <w:rPr>
          <w:rFonts w:ascii="Verdana" w:hAnsi="Verdana"/>
          <w:sz w:val="20"/>
        </w:rPr>
      </w:r>
    </w:p>
    <w:sectPr>
      <w:footnotePr/>
      <w:endnotePr/>
      <w:type w:val="continuous"/>
      <w:pgSz w:h="16840" w:orient="portrait" w:w="11907"/>
      <w:pgMar w:top="851" w:right="851" w:bottom="851" w:left="85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51"/>
    </w:tblPr>
    <w:tblGrid>
      <w:gridCol w:w="2233"/>
      <w:gridCol w:w="5386"/>
      <w:gridCol w:w="2802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233" w:type="dxa"/>
          <w:vAlign w:val="center"/>
          <w:textDirection w:val="lrTb"/>
          <w:noWrap w:val="false"/>
        </w:tcPr>
        <w:p>
          <w:pPr>
            <w:pStyle w:val="847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386" w:type="dxa"/>
          <w:vAlign w:val="center"/>
          <w:textDirection w:val="lrTb"/>
          <w:noWrap w:val="false"/>
        </w:tcPr>
        <w:p>
          <w:pPr>
            <w:pStyle w:val="847"/>
            <w:pBdr/>
            <w:spacing w:after="0"/>
            <w:ind/>
            <w:jc w:val="center"/>
            <w:rPr>
              <w:rFonts w:ascii="Verdana" w:hAnsi="Verdana" w:cs="Verdana"/>
              <w:b/>
              <w:bCs/>
              <w:sz w:val="24"/>
              <w:szCs w:val="24"/>
            </w:rPr>
          </w:pPr>
          <w:r>
            <w:rPr>
              <w:rFonts w:ascii="Verdana" w:hAnsi="Verdana" w:eastAsia="Verdana" w:cs="Verdana"/>
              <w:b/>
              <w:bCs/>
              <w:sz w:val="24"/>
              <w:szCs w:val="24"/>
            </w:rPr>
            <w:t xml:space="preserve">GESTIONE M.O.C.A.</w:t>
          </w:r>
          <w:r>
            <w:rPr>
              <w:rFonts w:ascii="Verdana" w:hAnsi="Verdana" w:eastAsia="Verdana" w:cs="Verdana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802" w:type="dxa"/>
          <w:vAlign w:val="center"/>
          <w:textDirection w:val="lrTb"/>
          <w:noWrap w:val="false"/>
        </w:tcPr>
        <w:p>
          <w:pPr>
            <w:pStyle w:val="847"/>
            <w:pBdr/>
            <w:spacing w:after="0"/>
            <w:ind w:left="0"/>
            <w:jc w:val="left"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05.02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47"/>
            <w:pBdr/>
            <w:spacing w:after="0"/>
            <w:ind w:left="0"/>
            <w:jc w:val="left"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04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/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47"/>
            <w:pBdr/>
            <w:spacing w:after="0"/>
            <w:ind w:left="0"/>
            <w:jc w:val="left"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</w:tc>
    </w:tr>
  </w:tbl>
  <w:p>
    <w:pPr>
      <w:pStyle w:val="84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  <w:pBdr/>
      <w:spacing/>
      <w:ind/>
      <w:rPr/>
    </w:pPr>
    <w:r>
      <w:t xml:space="preserve">Speci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835"/>
    <w:next w:val="835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35"/>
    <w:next w:val="8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35"/>
    <w:next w:val="835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35"/>
    <w:next w:val="8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35"/>
    <w:next w:val="835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35"/>
    <w:next w:val="835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39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39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39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39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39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3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3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3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35"/>
    <w:next w:val="835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39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35"/>
    <w:next w:val="83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39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35"/>
    <w:next w:val="83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3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35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35"/>
    <w:next w:val="83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3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3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39"/>
    <w:link w:val="847"/>
    <w:uiPriority w:val="99"/>
    <w:pPr>
      <w:pBdr/>
      <w:spacing/>
      <w:ind/>
    </w:pPr>
  </w:style>
  <w:style w:type="character" w:styleId="178">
    <w:name w:val="Footer Char"/>
    <w:basedOn w:val="839"/>
    <w:link w:val="848"/>
    <w:uiPriority w:val="99"/>
    <w:pPr>
      <w:pBdr/>
      <w:spacing/>
      <w:ind/>
    </w:pPr>
  </w:style>
  <w:style w:type="paragraph" w:styleId="179">
    <w:name w:val="Caption"/>
    <w:basedOn w:val="835"/>
    <w:next w:val="8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3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3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3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3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35"/>
    <w:next w:val="835"/>
    <w:uiPriority w:val="39"/>
    <w:unhideWhenUsed/>
    <w:pPr>
      <w:pBdr/>
      <w:spacing w:after="100"/>
      <w:ind/>
    </w:pPr>
  </w:style>
  <w:style w:type="paragraph" w:styleId="189">
    <w:name w:val="toc 2"/>
    <w:basedOn w:val="835"/>
    <w:next w:val="835"/>
    <w:uiPriority w:val="39"/>
    <w:unhideWhenUsed/>
    <w:pPr>
      <w:pBdr/>
      <w:spacing w:after="100"/>
      <w:ind w:left="220"/>
    </w:pPr>
  </w:style>
  <w:style w:type="paragraph" w:styleId="190">
    <w:name w:val="toc 3"/>
    <w:basedOn w:val="835"/>
    <w:next w:val="835"/>
    <w:uiPriority w:val="39"/>
    <w:unhideWhenUsed/>
    <w:pPr>
      <w:pBdr/>
      <w:spacing w:after="100"/>
      <w:ind w:left="440"/>
    </w:pPr>
  </w:style>
  <w:style w:type="paragraph" w:styleId="191">
    <w:name w:val="toc 4"/>
    <w:basedOn w:val="835"/>
    <w:next w:val="835"/>
    <w:uiPriority w:val="39"/>
    <w:unhideWhenUsed/>
    <w:pPr>
      <w:pBdr/>
      <w:spacing w:after="100"/>
      <w:ind w:left="660"/>
    </w:pPr>
  </w:style>
  <w:style w:type="paragraph" w:styleId="192">
    <w:name w:val="toc 5"/>
    <w:basedOn w:val="835"/>
    <w:next w:val="835"/>
    <w:uiPriority w:val="39"/>
    <w:unhideWhenUsed/>
    <w:pPr>
      <w:pBdr/>
      <w:spacing w:after="100"/>
      <w:ind w:left="880"/>
    </w:pPr>
  </w:style>
  <w:style w:type="paragraph" w:styleId="193">
    <w:name w:val="toc 6"/>
    <w:basedOn w:val="835"/>
    <w:next w:val="835"/>
    <w:uiPriority w:val="39"/>
    <w:unhideWhenUsed/>
    <w:pPr>
      <w:pBdr/>
      <w:spacing w:after="100"/>
      <w:ind w:left="1100"/>
    </w:pPr>
  </w:style>
  <w:style w:type="paragraph" w:styleId="194">
    <w:name w:val="toc 7"/>
    <w:basedOn w:val="835"/>
    <w:next w:val="835"/>
    <w:uiPriority w:val="39"/>
    <w:unhideWhenUsed/>
    <w:pPr>
      <w:pBdr/>
      <w:spacing w:after="100"/>
      <w:ind w:left="1320"/>
    </w:pPr>
  </w:style>
  <w:style w:type="paragraph" w:styleId="195">
    <w:name w:val="toc 8"/>
    <w:basedOn w:val="835"/>
    <w:next w:val="835"/>
    <w:uiPriority w:val="39"/>
    <w:unhideWhenUsed/>
    <w:pPr>
      <w:pBdr/>
      <w:spacing w:after="100"/>
      <w:ind w:left="1540"/>
    </w:pPr>
  </w:style>
  <w:style w:type="paragraph" w:styleId="196">
    <w:name w:val="toc 9"/>
    <w:basedOn w:val="835"/>
    <w:next w:val="83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35"/>
    <w:next w:val="835"/>
    <w:uiPriority w:val="99"/>
    <w:unhideWhenUsed/>
    <w:pPr>
      <w:pBdr/>
      <w:spacing w:after="0" w:afterAutospacing="0"/>
      <w:ind/>
    </w:pPr>
  </w:style>
  <w:style w:type="paragraph" w:styleId="835" w:default="1">
    <w:name w:val="Normal"/>
    <w:qFormat/>
    <w:pPr>
      <w:pBdr/>
      <w:spacing w:after="120"/>
      <w:ind w:left="284"/>
    </w:pPr>
  </w:style>
  <w:style w:type="paragraph" w:styleId="836">
    <w:name w:val="Heading 1"/>
    <w:basedOn w:val="835"/>
    <w:next w:val="835"/>
    <w:qFormat/>
    <w:pPr>
      <w:keepNext w:val="true"/>
      <w:pBdr/>
      <w:spacing/>
      <w:ind/>
      <w:jc w:val="both"/>
      <w:outlineLvl w:val="0"/>
    </w:pPr>
    <w:rPr>
      <w:b/>
      <w:sz w:val="28"/>
    </w:rPr>
  </w:style>
  <w:style w:type="paragraph" w:styleId="837">
    <w:name w:val="Heading 2"/>
    <w:basedOn w:val="835"/>
    <w:next w:val="835"/>
    <w:qFormat/>
    <w:pPr>
      <w:keepNext w:val="true"/>
      <w:pBdr/>
      <w:spacing/>
      <w:ind w:left="0"/>
      <w:jc w:val="both"/>
      <w:outlineLvl w:val="1"/>
    </w:pPr>
    <w:rPr>
      <w:b/>
      <w:sz w:val="24"/>
    </w:rPr>
  </w:style>
  <w:style w:type="paragraph" w:styleId="838">
    <w:name w:val="Heading 3"/>
    <w:basedOn w:val="835"/>
    <w:next w:val="835"/>
    <w:qFormat/>
    <w:pPr>
      <w:keepNext w:val="true"/>
      <w:pBdr/>
      <w:spacing/>
      <w:ind w:left="0"/>
      <w:jc w:val="both"/>
      <w:outlineLvl w:val="2"/>
    </w:pPr>
    <w:rPr>
      <w:b/>
      <w:bCs/>
      <w:i/>
      <w:iCs/>
      <w:sz w:val="24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table" w:styleId="8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paragraph" w:styleId="842" w:customStyle="1">
    <w:name w:val="Titolo A"/>
    <w:basedOn w:val="835"/>
    <w:pPr>
      <w:pBdr/>
      <w:spacing/>
      <w:ind/>
      <w:jc w:val="center"/>
    </w:pPr>
    <w:rPr>
      <w:b/>
      <w:sz w:val="28"/>
    </w:rPr>
  </w:style>
  <w:style w:type="paragraph" w:styleId="843" w:customStyle="1">
    <w:name w:val="Titolo C"/>
    <w:basedOn w:val="835"/>
    <w:pPr>
      <w:pBdr/>
      <w:spacing/>
      <w:ind/>
    </w:pPr>
    <w:rPr>
      <w:b/>
    </w:rPr>
  </w:style>
  <w:style w:type="paragraph" w:styleId="844" w:customStyle="1">
    <w:name w:val="Titolo B"/>
    <w:basedOn w:val="835"/>
    <w:pPr>
      <w:pBdr/>
      <w:spacing/>
      <w:ind/>
    </w:pPr>
    <w:rPr>
      <w:b/>
      <w:sz w:val="24"/>
    </w:rPr>
  </w:style>
  <w:style w:type="paragraph" w:styleId="845" w:customStyle="1">
    <w:name w:val="puntato"/>
    <w:basedOn w:val="835"/>
    <w:pPr>
      <w:pBdr/>
      <w:spacing/>
      <w:ind/>
    </w:pPr>
  </w:style>
  <w:style w:type="paragraph" w:styleId="846" w:customStyle="1">
    <w:name w:val="rientro"/>
    <w:basedOn w:val="835"/>
    <w:pPr>
      <w:pBdr/>
      <w:spacing/>
      <w:ind w:right="567" w:left="567"/>
    </w:pPr>
  </w:style>
  <w:style w:type="paragraph" w:styleId="847">
    <w:name w:val="Header"/>
    <w:basedOn w:val="83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48">
    <w:name w:val="Footer"/>
    <w:basedOn w:val="83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49">
    <w:name w:val="Body Text"/>
    <w:basedOn w:val="835"/>
    <w:pPr>
      <w:pBdr/>
      <w:spacing/>
      <w:ind w:left="0"/>
      <w:jc w:val="both"/>
    </w:pPr>
    <w:rPr>
      <w:sz w:val="24"/>
    </w:rPr>
  </w:style>
  <w:style w:type="character" w:styleId="850">
    <w:name w:val="page number"/>
    <w:basedOn w:val="839"/>
    <w:semiHidden/>
    <w:unhideWhenUsed/>
    <w:pPr>
      <w:pBdr/>
      <w:spacing/>
      <w:ind/>
    </w:pPr>
  </w:style>
  <w:style w:type="table" w:styleId="851">
    <w:name w:val="Table Grid"/>
    <w:basedOn w:val="84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P06.02</dc:title>
  <dc:subject>Emissione Ordini di Acquisto</dc:subject>
  <dc:creator>Francesco San Martino</dc:creator>
  <cp:keywords>ISO 9001</cp:keywords>
  <cp:lastModifiedBy>Francesco Scavello</cp:lastModifiedBy>
  <cp:revision>22</cp:revision>
  <dcterms:created xsi:type="dcterms:W3CDTF">2015-06-22T14:10:00Z</dcterms:created>
  <dcterms:modified xsi:type="dcterms:W3CDTF">2025-11-10T11:39:20Z</dcterms:modified>
</cp:coreProperties>
</file>