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34"/>
        <w:numPr>
          <w:ilvl w:val="0"/>
          <w:numId w:val="2"/>
        </w:numPr>
        <w:pBdr/>
        <w:spacing/>
        <w:ind/>
        <w:jc w:val="both"/>
        <w:rPr>
          <w:b/>
          <w:bCs/>
        </w:rPr>
      </w:pPr>
      <w:r>
        <w:rPr>
          <w:b/>
          <w:bCs/>
        </w:rPr>
        <w:t xml:space="preserve">APPROVIGIONAMENTO E CONTROLLI AL RICEVIMENTO DELLE MATERIE PRIME E DEI MATERIALI DI CONFEZIONAMENTO, STOCCAGGIO E CONSERVAZIONE</w:t>
      </w:r>
      <w:r>
        <w:rPr>
          <w:b/>
          <w:bCs/>
        </w:rPr>
      </w:r>
    </w:p>
    <w:p>
      <w:pPr>
        <w:pBdr/>
        <w:spacing/>
        <w:ind/>
        <w:jc w:val="both"/>
        <w:rPr/>
      </w:pPr>
      <w:r>
        <w:t xml:space="preserve">Lo scopo della presente procedura è quello di descrivere le varie fasi che costituiscono il processo di lavorazione che parte dalla qualifica dei fornitori fino ad arrivare al ricevimento ed allo stoccaggio delle mer</w:t>
      </w:r>
      <w:r>
        <w:t xml:space="preserve">ci. L’approvvigionamento delle materie prime si effettua secondo la procedura del sistema di Gestione della Sicurezza Alimentare che descrive anche la procedura di qualifica dei fornitori. Di seguito vengono descritte le fasi principali di dette procedure:</w:t>
      </w:r>
      <w:r/>
    </w:p>
    <w:p>
      <w:pPr>
        <w:pStyle w:val="834"/>
        <w:numPr>
          <w:ilvl w:val="0"/>
          <w:numId w:val="1"/>
        </w:numPr>
        <w:pBdr/>
        <w:spacing/>
        <w:ind/>
        <w:jc w:val="both"/>
        <w:rPr/>
      </w:pPr>
      <w:r>
        <w:t xml:space="preserve">Le materie prime ed i materiali di confezionamento devono provenire da aziende regolarmente autorizzate dal punto di vista igienico sanitario per lo specifico settore produttivo;</w:t>
      </w:r>
      <w:r/>
    </w:p>
    <w:p>
      <w:pPr>
        <w:pStyle w:val="834"/>
        <w:numPr>
          <w:ilvl w:val="0"/>
          <w:numId w:val="1"/>
        </w:numPr>
        <w:pBdr/>
        <w:spacing/>
        <w:ind/>
        <w:jc w:val="both"/>
        <w:rPr/>
      </w:pPr>
      <w:r>
        <w:t xml:space="preserve">Le materie prime ed i materiali di imballaggio devono essere trasportati e consegnati nel rispetto dei parametri fissati da norme di legge e/o definite procedure aziendali;</w:t>
      </w:r>
      <w:r/>
    </w:p>
    <w:p>
      <w:pPr>
        <w:pStyle w:val="834"/>
        <w:numPr>
          <w:ilvl w:val="0"/>
          <w:numId w:val="1"/>
        </w:numPr>
        <w:pBdr/>
        <w:spacing/>
        <w:ind/>
        <w:jc w:val="both"/>
        <w:rPr/>
      </w:pPr>
      <w:r>
        <w:t xml:space="preserve">Le materie prime devono essere conformi ai requisiti normativi sp</w:t>
      </w:r>
      <w:r>
        <w:t xml:space="preserve">ecifici e corrispondere alle caratteristiche merceologiche tipiche del prodotto specificate nel capitolo di fornitura; i materiali di confezionamento devono essere conformi ai requisiti normativi specifici per questi materiali e ai capitolati di fornitura;</w:t>
      </w:r>
      <w:r/>
    </w:p>
    <w:p>
      <w:pPr>
        <w:pStyle w:val="834"/>
        <w:numPr>
          <w:ilvl w:val="0"/>
          <w:numId w:val="1"/>
        </w:numPr>
        <w:pBdr/>
        <w:spacing/>
        <w:ind/>
        <w:jc w:val="both"/>
        <w:rPr/>
      </w:pPr>
      <w:r>
        <w:t xml:space="preserve">Le materie prime ed i materiali di confezionamento devono essere in regola con le norme di etichettatura e tracciabilità;</w:t>
      </w:r>
      <w:r/>
    </w:p>
    <w:p>
      <w:pPr>
        <w:pStyle w:val="834"/>
        <w:numPr>
          <w:ilvl w:val="0"/>
          <w:numId w:val="1"/>
        </w:numPr>
        <w:pBdr/>
        <w:spacing/>
        <w:ind/>
        <w:jc w:val="both"/>
        <w:rPr/>
      </w:pPr>
      <w:r>
        <w:t xml:space="preserve">Le materie prime ed i materiali di confezionamento non devono presentare segni di alterazioni che possano compromettere la salubrità del prodotto. </w:t>
      </w:r>
      <w:r/>
    </w:p>
    <w:p>
      <w:pPr>
        <w:pStyle w:val="834"/>
        <w:numPr>
          <w:ilvl w:val="0"/>
          <w:numId w:val="1"/>
        </w:numPr>
        <w:pBdr/>
        <w:spacing/>
        <w:ind/>
        <w:jc w:val="both"/>
        <w:rPr/>
      </w:pPr>
      <w:r>
        <w:t xml:space="preserve">Le materie prime ed i materiali di confezionamento non devono risultare contaminati da parassiti, microrganismi patogeni oppure contenere sostanze estranee. </w:t>
      </w:r>
      <w:r/>
    </w:p>
    <w:p>
      <w:pPr>
        <w:pStyle w:val="834"/>
        <w:numPr>
          <w:ilvl w:val="0"/>
          <w:numId w:val="1"/>
        </w:numPr>
        <w:pBdr/>
        <w:spacing/>
        <w:ind/>
        <w:jc w:val="both"/>
        <w:rPr/>
      </w:pPr>
      <w:r>
        <w:t xml:space="preserve">Tutte le materie prima e i materiali di confezionamento vengono acquistati da fornitori qualificati inseriti nell’apposito elenco fornitori </w:t>
      </w:r>
      <w:r>
        <w:rPr>
          <w:i/>
          <w:iCs/>
        </w:rPr>
        <w:t xml:space="preserve">D 06.01 Lista fornitori materie prime e imballaggi valutati</w:t>
      </w:r>
      <w:r>
        <w:t xml:space="preserve">. </w:t>
      </w:r>
      <w:r/>
    </w:p>
    <w:p>
      <w:pPr>
        <w:pBdr/>
        <w:spacing/>
        <w:ind/>
        <w:jc w:val="both"/>
        <w:rPr/>
      </w:pPr>
      <w:r/>
      <w:r/>
    </w:p>
    <w:p>
      <w:pPr>
        <w:pStyle w:val="834"/>
        <w:numPr>
          <w:ilvl w:val="1"/>
          <w:numId w:val="2"/>
        </w:numPr>
        <w:pBdr/>
        <w:spacing/>
        <w:ind/>
        <w:jc w:val="both"/>
        <w:rPr>
          <w:b/>
          <w:bCs/>
        </w:rPr>
      </w:pPr>
      <w:r>
        <w:rPr>
          <w:b/>
          <w:bCs/>
        </w:rPr>
        <w:t xml:space="preserve">PROCESSO DI APPROVIGIONAMENTO E QUALIFICA DEI FORNITORI</w:t>
      </w:r>
      <w:r>
        <w:rPr>
          <w:b/>
          <w:bCs/>
        </w:rPr>
      </w:r>
    </w:p>
    <w:p>
      <w:pPr>
        <w:pBdr/>
        <w:spacing/>
        <w:ind/>
        <w:jc w:val="both"/>
        <w:rPr/>
      </w:pPr>
      <w:r>
        <w:t xml:space="preserve">Ciascun fornitore di prodotti e/o servizi influenti sulla qualità del prodotto fornito da </w:t>
      </w:r>
      <w:r>
        <w:rPr>
          <w:i/>
          <w:iCs/>
        </w:rPr>
        <w:t xml:space="preserve">Agrumi-Gel S.r.l.</w:t>
      </w:r>
      <w:r>
        <w:t xml:space="preserve"> è sottoposto ad una valutazione iniziale effettuata dal Team Qualità, al fine di stabilire la sua capacità nel soddisfare</w:t>
      </w:r>
      <w:r>
        <w:t xml:space="preserve"> i requisiti, tecnici e qualitativi, necessari per la conformità della relativa fornitura. I criteri per garantire la salubrità delle merci acquistati (materie prime, i materiali di confezionamento, la fornitura di alcuni servizi) sono di seguito indicati:</w:t>
      </w:r>
      <w:r/>
    </w:p>
    <w:p>
      <w:pPr>
        <w:pStyle w:val="834"/>
        <w:numPr>
          <w:ilvl w:val="0"/>
          <w:numId w:val="1"/>
        </w:numPr>
        <w:pBdr/>
        <w:spacing/>
        <w:ind/>
        <w:jc w:val="both"/>
        <w:rPr/>
      </w:pPr>
      <w:r>
        <w:t xml:space="preserve">Livello qualitativo del prodotto/servizio fornito;</w:t>
      </w:r>
      <w:r/>
    </w:p>
    <w:p>
      <w:pPr>
        <w:pStyle w:val="834"/>
        <w:numPr>
          <w:ilvl w:val="0"/>
          <w:numId w:val="1"/>
        </w:numPr>
        <w:pBdr/>
        <w:spacing/>
        <w:ind/>
        <w:jc w:val="both"/>
        <w:rPr/>
      </w:pPr>
      <w:r>
        <w:t xml:space="preserve">Conformità dei prodotti/servizi alle normative cogenti;</w:t>
      </w:r>
      <w:r/>
    </w:p>
    <w:p>
      <w:pPr>
        <w:pStyle w:val="834"/>
        <w:numPr>
          <w:ilvl w:val="0"/>
          <w:numId w:val="1"/>
        </w:numPr>
        <w:pBdr/>
        <w:spacing/>
        <w:ind/>
        <w:jc w:val="both"/>
        <w:rPr/>
      </w:pPr>
      <w:r>
        <w:t xml:space="preserve">Conformità dei prodotti/servizi alle esigenze di lavorazione e alle specifiche;</w:t>
      </w:r>
      <w:r/>
    </w:p>
    <w:p>
      <w:pPr>
        <w:pStyle w:val="834"/>
        <w:numPr>
          <w:ilvl w:val="0"/>
          <w:numId w:val="1"/>
        </w:numPr>
        <w:pBdr/>
        <w:spacing/>
        <w:ind/>
        <w:jc w:val="both"/>
        <w:rPr/>
      </w:pPr>
      <w:r>
        <w:t xml:space="preserve">Puntualità delle consegne;</w:t>
      </w:r>
      <w:r/>
    </w:p>
    <w:p>
      <w:pPr>
        <w:pStyle w:val="834"/>
        <w:numPr>
          <w:ilvl w:val="0"/>
          <w:numId w:val="1"/>
        </w:numPr>
        <w:pBdr/>
        <w:spacing/>
        <w:ind/>
        <w:jc w:val="both"/>
        <w:rPr/>
      </w:pPr>
      <w:r>
        <w:t xml:space="preserve">Adeguamento dei fornitori alle normative specifiche, mediante dichiarazioni di conformità;</w:t>
      </w:r>
      <w:r/>
    </w:p>
    <w:p>
      <w:pPr>
        <w:pStyle w:val="834"/>
        <w:numPr>
          <w:ilvl w:val="0"/>
          <w:numId w:val="1"/>
        </w:numPr>
        <w:pBdr/>
        <w:spacing/>
        <w:ind/>
        <w:jc w:val="both"/>
        <w:rPr/>
      </w:pPr>
      <w:r>
        <w:t xml:space="preserve">Capacità di fornire informazioni tecniche sui prodotti;</w:t>
      </w:r>
      <w:r/>
    </w:p>
    <w:p>
      <w:pPr>
        <w:pStyle w:val="834"/>
        <w:numPr>
          <w:ilvl w:val="0"/>
          <w:numId w:val="1"/>
        </w:numPr>
        <w:pBdr/>
        <w:spacing/>
        <w:ind/>
        <w:jc w:val="both"/>
        <w:rPr/>
      </w:pPr>
      <w:r>
        <w:t xml:space="preserve">Aziende certificate con schemi GSFI</w:t>
      </w:r>
      <w:r/>
    </w:p>
    <w:p>
      <w:pPr>
        <w:pStyle w:val="834"/>
        <w:numPr>
          <w:ilvl w:val="0"/>
          <w:numId w:val="1"/>
        </w:numPr>
        <w:pBdr/>
        <w:spacing/>
        <w:ind/>
        <w:jc w:val="both"/>
        <w:rPr/>
      </w:pPr>
      <w:r>
        <w:t xml:space="preserve">Valutazioni economiche.</w:t>
      </w:r>
      <w:r/>
    </w:p>
    <w:p>
      <w:pPr>
        <w:pBdr/>
        <w:spacing/>
        <w:ind/>
        <w:jc w:val="both"/>
        <w:rPr/>
      </w:pPr>
      <w:r>
        <w:t xml:space="preserve">Gli stessi requisiti vengono valutati per qualificare i fornitori di trasporto, ai quali viene richiesta una dichiarazione di adeguamento al Reg. CE 852/04, garanzie sulla catena di custodia, le modalità di trasporto e copia delle autorizzazioni.</w:t>
      </w:r>
      <w:r/>
    </w:p>
    <w:p>
      <w:pPr>
        <w:pStyle w:val="834"/>
        <w:numPr>
          <w:ilvl w:val="2"/>
          <w:numId w:val="2"/>
        </w:numPr>
        <w:pBdr/>
        <w:spacing/>
        <w:ind/>
        <w:jc w:val="both"/>
        <w:rPr>
          <w:b/>
          <w:bCs/>
        </w:rPr>
      </w:pPr>
      <w:r>
        <w:rPr>
          <w:b/>
          <w:bCs/>
        </w:rPr>
        <w:t xml:space="preserve">COMPETENZA DEL PERSONALE</w:t>
      </w:r>
      <w:r>
        <w:rPr>
          <w:b/>
          <w:bCs/>
        </w:rPr>
      </w:r>
    </w:p>
    <w:p>
      <w:pPr>
        <w:pBdr/>
        <w:spacing/>
        <w:ind/>
        <w:jc w:val="both"/>
        <w:rPr/>
      </w:pPr>
      <w:r>
        <w:t xml:space="preserve">L’approccio alla qualifica delle materie prime e dei fornitori è un approccio multidis</w:t>
      </w:r>
      <w:r>
        <w:t xml:space="preserve">ciplinare che viene eseguito dal Team per la Sicurezza alimentare avvalendosi anche delle figure commerciali dell’azienda per la valutazione dei costi e della reperibilità. Il team e la figura di coordinamento, identificata con l’RSA, devono conoscere le m</w:t>
      </w:r>
      <w:r>
        <w:t xml:space="preserve">aterie prime, i materiali di imballaggio, le attività di fornitura dei servizi, e tutto ciò che concerne il processo di produzione. Per tali attività viene supportato dal DP, per i prodotti e servizi, e dal CSA, per le informazioni su frodi e adulterazioni</w:t>
      </w:r>
      <w:r>
        <w:t xml:space="preserve">, grazie alla loro esperienza nel settore; ci si avvale anche delle fonti governative, del portale RASFF e di ogni mezzo di controllo per evidenziare problemi di frodi e adulterazioni nelle tipologie di materie prime/imballi primari utilizzate dalla ditta.</w:t>
      </w:r>
      <w:r/>
    </w:p>
    <w:p>
      <w:pPr>
        <w:pStyle w:val="834"/>
        <w:numPr>
          <w:ilvl w:val="2"/>
          <w:numId w:val="2"/>
        </w:numPr>
        <w:pBdr/>
        <w:spacing/>
        <w:ind/>
        <w:jc w:val="both"/>
        <w:rPr>
          <w:b/>
          <w:bCs/>
        </w:rPr>
      </w:pPr>
      <w:r>
        <w:rPr>
          <w:b/>
          <w:bCs/>
        </w:rPr>
        <w:t xml:space="preserve">PROCEDURA DI QUALIFICA</w:t>
      </w:r>
      <w:r>
        <w:rPr>
          <w:b/>
          <w:bCs/>
        </w:rPr>
      </w:r>
    </w:p>
    <w:p>
      <w:pPr>
        <w:pBdr/>
        <w:spacing/>
        <w:ind/>
        <w:jc w:val="both"/>
        <w:rPr/>
      </w:pPr>
      <w:r>
        <w:t xml:space="preserve">Oltre quanto prima affermato i criteri adottati dall’Azienda al fine di assicurare la conformità dei prodotti e/o </w:t>
      </w:r>
      <w:r>
        <w:t xml:space="preserve">servizi acquistati, aventi diretta influenza sulla qualità dei prodotti venduti consistono essenzialmente in una preventiva valutazione delle materie prime, compresi i materiali di confezionamento, definendone il rischio Alto o Basso. Una volta valutato il</w:t>
      </w:r>
      <w:r>
        <w:t xml:space="preserve"> livello di criticità delle materie prime esse vengono associate ai fornitori, che quindi, in base alla documentazione presentata, potranno essere inseriti o meno nell’albo dei fornitori qualificati</w:t>
      </w:r>
      <w:r>
        <w:t xml:space="preserve">. Per quanto riguarda i fornitori di servizi, seguono lo stesso percorso di valutazione come fornitori, chiedendo garanzie e le competenze riguardo il servizio fornito, oltre che eventuali certificazioni e/o accreditamenti se correlato al servizio svolto. </w:t>
      </w:r>
      <w:r/>
    </w:p>
    <w:p>
      <w:pPr>
        <w:pBdr/>
        <w:spacing/>
        <w:ind/>
        <w:jc w:val="both"/>
        <w:rPr/>
      </w:pPr>
      <w:r>
        <w:t xml:space="preserve">Ciascun fornitore di prodotti e/o servizi influenti sulla qualità del prodotto fornito da </w:t>
      </w:r>
      <w:r>
        <w:rPr>
          <w:i/>
          <w:iCs/>
        </w:rPr>
        <w:t xml:space="preserve">Agrumi-Gel S.r.l </w:t>
      </w:r>
      <w:r>
        <w:t xml:space="preserve">è sottoposto ad una valutazione iniziale, effettuata dall’ufficio acquisti e dal RSA/DP, al</w:t>
      </w:r>
      <w:r>
        <w:t xml:space="preserve"> fine di stabilire la sua capacità nel soddisfare i requisiti, tecnici e qualitativi, necessari per la conformità della relativa fornitura. La valutazione delle materie prime e dei materiali di confezionamento viene effettuata tenendo conto del rischio di:</w:t>
      </w:r>
      <w:r/>
    </w:p>
    <w:p>
      <w:pPr>
        <w:pStyle w:val="834"/>
        <w:numPr>
          <w:ilvl w:val="0"/>
          <w:numId w:val="3"/>
        </w:numPr>
        <w:pBdr/>
        <w:spacing/>
        <w:ind/>
        <w:jc w:val="both"/>
        <w:rPr/>
      </w:pPr>
      <w:r>
        <w:t xml:space="preserve">Contaminazione da allergeni;</w:t>
      </w:r>
      <w:r/>
    </w:p>
    <w:p>
      <w:pPr>
        <w:pStyle w:val="834"/>
        <w:numPr>
          <w:ilvl w:val="0"/>
          <w:numId w:val="3"/>
        </w:numPr>
        <w:pBdr/>
        <w:spacing/>
        <w:ind/>
        <w:jc w:val="both"/>
        <w:rPr/>
      </w:pPr>
      <w:r>
        <w:t xml:space="preserve">Contaminazione da corpi estranei;</w:t>
      </w:r>
      <w:r/>
    </w:p>
    <w:p>
      <w:pPr>
        <w:pStyle w:val="834"/>
        <w:numPr>
          <w:ilvl w:val="0"/>
          <w:numId w:val="3"/>
        </w:numPr>
        <w:pBdr/>
        <w:spacing/>
        <w:ind/>
        <w:jc w:val="both"/>
        <w:rPr/>
      </w:pPr>
      <w:r>
        <w:t xml:space="preserve">Contaminazione microbiologica;</w:t>
      </w:r>
      <w:r/>
    </w:p>
    <w:p>
      <w:pPr>
        <w:pStyle w:val="834"/>
        <w:numPr>
          <w:ilvl w:val="0"/>
          <w:numId w:val="3"/>
        </w:numPr>
        <w:pBdr/>
        <w:spacing/>
        <w:ind/>
        <w:jc w:val="both"/>
        <w:rPr/>
      </w:pPr>
      <w:r>
        <w:t xml:space="preserve">Contaminazione chimica/radioattiva;</w:t>
      </w:r>
      <w:r/>
    </w:p>
    <w:p>
      <w:pPr>
        <w:pStyle w:val="834"/>
        <w:numPr>
          <w:ilvl w:val="0"/>
          <w:numId w:val="3"/>
        </w:numPr>
        <w:pBdr/>
        <w:spacing/>
        <w:ind/>
        <w:jc w:val="both"/>
        <w:rPr/>
      </w:pPr>
      <w:r>
        <w:t xml:space="preserve">Contraffazione o frode.</w:t>
      </w:r>
      <w:r/>
    </w:p>
    <w:p>
      <w:pPr>
        <w:pBdr/>
        <w:spacing/>
        <w:ind/>
        <w:jc w:val="both"/>
        <w:rPr/>
      </w:pPr>
      <w:r>
        <w:t xml:space="preserve">Per ogni materia prima viene assegnato un valore da 1 a 4 per ciascun rischio sopra identificato; i criteri di assegnazione sono riportati nella tabella a seguire:</w:t>
      </w:r>
      <w:r/>
    </w:p>
    <w:p>
      <w:pPr>
        <w:pBdr/>
        <w:spacing/>
        <w:ind/>
        <w:jc w:val="both"/>
        <w:rPr/>
      </w:pPr>
      <w:r/>
      <w:r/>
    </w:p>
    <w:p>
      <w:pPr>
        <w:pBdr/>
        <w:spacing/>
        <w:ind/>
        <w:jc w:val="both"/>
        <w:rPr/>
      </w:pPr>
      <w:r/>
      <w:r/>
    </w:p>
    <w:p>
      <w:pPr>
        <w:pBdr/>
        <w:spacing/>
        <w:ind/>
        <w:jc w:val="both"/>
        <w:rPr/>
      </w:pPr>
      <w:r/>
      <w:r/>
    </w:p>
    <w:p>
      <w:pPr>
        <w:pBdr/>
        <w:spacing/>
        <w:ind/>
        <w:jc w:val="both"/>
        <w:rPr/>
      </w:pPr>
      <w:r/>
      <w:r/>
    </w:p>
    <w:p>
      <w:pPr>
        <w:pBdr/>
        <w:spacing/>
        <w:ind/>
        <w:jc w:val="both"/>
        <w:rPr/>
        <w:sectPr>
          <w:headerReference w:type="default" r:id="rId9"/>
          <w:footnotePr/>
          <w:endnotePr/>
          <w:type w:val="nextPage"/>
          <w:pgSz w:h="16838" w:orient="portrait" w:w="11906"/>
          <w:pgMar w:top="1417" w:right="1134" w:bottom="1134" w:left="1134" w:header="708" w:footer="708" w:gutter="0"/>
          <w:cols w:num="1" w:sep="0" w:space="708" w:equalWidth="1"/>
        </w:sectPr>
      </w:pPr>
      <w:r/>
      <w:r/>
    </w:p>
    <w:tbl>
      <w:tblPr>
        <w:tblInd w:w="38" w:type="dxa"/>
        <w:tblW w:w="0" w:type="auto"/>
        <w:tblBorders/>
        <w:tblLook w:val="04A0" w:firstRow="1" w:lastRow="0" w:firstColumn="1" w:lastColumn="0" w:noHBand="0" w:noVBand="1"/>
        <w:tblStyle w:val="839"/>
      </w:tblPr>
      <w:tblGrid>
        <w:gridCol w:w="2835"/>
        <w:gridCol w:w="2850"/>
        <w:gridCol w:w="2850"/>
        <w:gridCol w:w="2857"/>
        <w:gridCol w:w="2847"/>
      </w:tblGrid>
      <w:tr>
        <w:trPr/>
        <w:tc>
          <w:tcPr>
            <w:shd w:val="clear" w:color="auto" w:fill="fabf8f" w:themeFill="accent6" w:themeFillTint="99"/>
            <w:tcBorders/>
            <w:tcW w:w="2885" w:type="dxa"/>
            <w:vMerge w:val="restart"/>
            <w:textDirection w:val="lrTb"/>
            <w:noWrap w:val="false"/>
          </w:tcPr>
          <w:p>
            <w:pPr>
              <w:pBdr/>
              <w:spacing/>
              <w:ind/>
              <w:jc w:val="both"/>
              <w:rPr>
                <w:b/>
                <w:bCs/>
              </w:rPr>
            </w:pPr>
            <w:r>
              <w:rPr>
                <w:b/>
                <w:bCs/>
              </w:rPr>
              <w:t xml:space="preserve">RISCHIO DI:</w:t>
            </w:r>
            <w:r>
              <w:rPr>
                <w:b/>
                <w:bCs/>
              </w:rPr>
            </w:r>
          </w:p>
        </w:tc>
        <w:tc>
          <w:tcPr>
            <w:gridSpan w:val="4"/>
            <w:shd w:val="clear" w:color="auto" w:fill="fabf8f" w:themeFill="accent6" w:themeFillTint="99"/>
            <w:tcBorders/>
            <w:tcW w:w="11542" w:type="dxa"/>
            <w:textDirection w:val="lrTb"/>
            <w:noWrap w:val="false"/>
          </w:tcPr>
          <w:p>
            <w:pPr>
              <w:pBdr/>
              <w:spacing/>
              <w:ind/>
              <w:jc w:val="center"/>
              <w:rPr>
                <w:b/>
                <w:bCs/>
              </w:rPr>
            </w:pPr>
            <w:r>
              <w:rPr>
                <w:b/>
                <w:bCs/>
              </w:rPr>
              <w:t xml:space="preserve">VALORE ASSEGNATO</w:t>
            </w:r>
            <w:r>
              <w:rPr>
                <w:b/>
                <w:bCs/>
              </w:rPr>
            </w:r>
          </w:p>
        </w:tc>
      </w:tr>
      <w:tr>
        <w:trPr/>
        <w:tc>
          <w:tcPr>
            <w:shd w:val="clear" w:color="auto" w:fill="fabf8f" w:themeFill="accent6" w:themeFillTint="99"/>
            <w:tcBorders/>
            <w:tcW w:w="2885" w:type="dxa"/>
            <w:vMerge w:val="continue"/>
            <w:textDirection w:val="lrTb"/>
            <w:noWrap w:val="false"/>
          </w:tcPr>
          <w:p>
            <w:pPr>
              <w:pBdr/>
              <w:spacing/>
              <w:ind/>
              <w:jc w:val="both"/>
              <w:rPr/>
            </w:pPr>
            <w:r/>
            <w:r/>
          </w:p>
        </w:tc>
        <w:tc>
          <w:tcPr>
            <w:shd w:val="clear" w:color="auto" w:fill="fabf8f" w:themeFill="accent6" w:themeFillTint="99"/>
            <w:tcBorders/>
            <w:tcW w:w="2885" w:type="dxa"/>
            <w:textDirection w:val="lrTb"/>
            <w:noWrap w:val="false"/>
          </w:tcPr>
          <w:p>
            <w:pPr>
              <w:pStyle w:val="834"/>
              <w:pBdr/>
              <w:spacing/>
              <w:ind/>
              <w:rPr>
                <w:b/>
                <w:bCs/>
              </w:rPr>
            </w:pPr>
            <w:r>
              <w:rPr>
                <w:b/>
                <w:bCs/>
              </w:rPr>
              <w:t xml:space="preserve">1.INSUFFICIENTE</w:t>
            </w:r>
            <w:r>
              <w:rPr>
                <w:b/>
                <w:bCs/>
              </w:rPr>
            </w:r>
          </w:p>
        </w:tc>
        <w:tc>
          <w:tcPr>
            <w:shd w:val="clear" w:color="auto" w:fill="fabf8f" w:themeFill="accent6" w:themeFillTint="99"/>
            <w:tcBorders/>
            <w:tcW w:w="2885" w:type="dxa"/>
            <w:textDirection w:val="lrTb"/>
            <w:noWrap w:val="false"/>
          </w:tcPr>
          <w:p>
            <w:pPr>
              <w:pStyle w:val="834"/>
              <w:pBdr/>
              <w:spacing/>
              <w:ind/>
              <w:rPr>
                <w:b/>
                <w:bCs/>
              </w:rPr>
            </w:pPr>
            <w:r>
              <w:rPr>
                <w:b/>
                <w:bCs/>
              </w:rPr>
              <w:t xml:space="preserve">2.SUFFICIENTE</w:t>
            </w:r>
            <w:r>
              <w:rPr>
                <w:b/>
                <w:bCs/>
              </w:rPr>
            </w:r>
          </w:p>
        </w:tc>
        <w:tc>
          <w:tcPr>
            <w:shd w:val="clear" w:color="auto" w:fill="fabf8f" w:themeFill="accent6" w:themeFillTint="99"/>
            <w:tcBorders/>
            <w:tcW w:w="2886" w:type="dxa"/>
            <w:textDirection w:val="lrTb"/>
            <w:noWrap w:val="false"/>
          </w:tcPr>
          <w:p>
            <w:pPr>
              <w:pStyle w:val="834"/>
              <w:pBdr/>
              <w:spacing/>
              <w:ind/>
              <w:rPr>
                <w:b/>
                <w:bCs/>
              </w:rPr>
            </w:pPr>
            <w:r>
              <w:rPr>
                <w:b/>
                <w:bCs/>
              </w:rPr>
              <w:t xml:space="preserve">3.BUONO</w:t>
            </w:r>
            <w:r>
              <w:rPr>
                <w:b/>
                <w:bCs/>
              </w:rPr>
            </w:r>
          </w:p>
        </w:tc>
        <w:tc>
          <w:tcPr>
            <w:shd w:val="clear" w:color="auto" w:fill="fabf8f" w:themeFill="accent6" w:themeFillTint="99"/>
            <w:tcBorders/>
            <w:tcW w:w="2886" w:type="dxa"/>
            <w:textDirection w:val="lrTb"/>
            <w:noWrap w:val="false"/>
          </w:tcPr>
          <w:p>
            <w:pPr>
              <w:pStyle w:val="834"/>
              <w:pBdr/>
              <w:spacing/>
              <w:ind/>
              <w:rPr>
                <w:b/>
                <w:bCs/>
              </w:rPr>
            </w:pPr>
            <w:r>
              <w:rPr>
                <w:b/>
                <w:bCs/>
              </w:rPr>
              <w:t xml:space="preserve">4.OTTIMO</w:t>
            </w:r>
            <w:r>
              <w:rPr>
                <w:b/>
                <w:bCs/>
              </w:rPr>
            </w:r>
          </w:p>
        </w:tc>
      </w:tr>
      <w:tr>
        <w:trPr/>
        <w:tc>
          <w:tcPr>
            <w:tcBorders/>
            <w:tcW w:w="2885" w:type="dxa"/>
            <w:textDirection w:val="lrTb"/>
            <w:noWrap w:val="false"/>
          </w:tcPr>
          <w:p>
            <w:pPr>
              <w:pBdr/>
              <w:spacing/>
              <w:ind/>
              <w:jc w:val="both"/>
              <w:rPr>
                <w:b/>
                <w:bCs/>
              </w:rPr>
            </w:pPr>
            <w:r>
              <w:rPr>
                <w:b/>
                <w:bCs/>
              </w:rPr>
              <w:t xml:space="preserve">Contaminazione da allergeni</w:t>
            </w:r>
            <w:r>
              <w:rPr>
                <w:b/>
                <w:bCs/>
              </w:rPr>
            </w:r>
          </w:p>
        </w:tc>
        <w:tc>
          <w:tcPr>
            <w:tcBorders/>
            <w:tcW w:w="2885" w:type="dxa"/>
            <w:textDirection w:val="lrTb"/>
            <w:noWrap w:val="false"/>
          </w:tcPr>
          <w:p>
            <w:pPr>
              <w:pBdr/>
              <w:spacing/>
              <w:ind/>
              <w:jc w:val="both"/>
              <w:rPr/>
            </w:pPr>
            <w:r>
              <w:t xml:space="preserve">Non ci sono garanzie sull’assenza di contaminazione da allergeni.</w:t>
            </w:r>
            <w:r/>
          </w:p>
        </w:tc>
        <w:tc>
          <w:tcPr>
            <w:tcBorders/>
            <w:tcW w:w="2885" w:type="dxa"/>
            <w:textDirection w:val="lrTb"/>
            <w:noWrap w:val="false"/>
          </w:tcPr>
          <w:p>
            <w:pPr>
              <w:pBdr/>
              <w:spacing/>
              <w:ind/>
              <w:jc w:val="both"/>
              <w:rPr/>
            </w:pPr>
            <w:r>
              <w:t xml:space="preserve">Il fornitore fornisce una dichiarazione generica.</w:t>
            </w:r>
            <w:r/>
          </w:p>
        </w:tc>
        <w:tc>
          <w:tcPr>
            <w:tcBorders/>
            <w:tcW w:w="2886" w:type="dxa"/>
            <w:textDirection w:val="lrTb"/>
            <w:noWrap w:val="false"/>
          </w:tcPr>
          <w:p>
            <w:pPr>
              <w:pBdr/>
              <w:spacing/>
              <w:ind/>
              <w:jc w:val="both"/>
              <w:rPr/>
            </w:pPr>
            <w:r>
              <w:t xml:space="preserve">Il fornitore fornisce una dichiarazione puntuale e precisa sugli allergeni.</w:t>
            </w:r>
            <w:r/>
          </w:p>
        </w:tc>
        <w:tc>
          <w:tcPr>
            <w:tcBorders/>
            <w:tcW w:w="2886" w:type="dxa"/>
            <w:textDirection w:val="lrTb"/>
            <w:noWrap w:val="false"/>
          </w:tcPr>
          <w:p>
            <w:pPr>
              <w:pBdr/>
              <w:spacing/>
              <w:ind/>
              <w:jc w:val="both"/>
              <w:rPr/>
            </w:pPr>
            <w:r>
              <w:t xml:space="preserve">Il fornitore fornisce una dichiarazione puntuale e precisa sugli allergeni e lavora monoprodotti.</w:t>
            </w:r>
            <w:r/>
          </w:p>
        </w:tc>
      </w:tr>
      <w:tr>
        <w:trPr/>
        <w:tc>
          <w:tcPr>
            <w:tcBorders/>
            <w:tcW w:w="2885" w:type="dxa"/>
            <w:textDirection w:val="lrTb"/>
            <w:noWrap w:val="false"/>
          </w:tcPr>
          <w:p>
            <w:pPr>
              <w:pBdr/>
              <w:spacing/>
              <w:ind/>
              <w:jc w:val="both"/>
              <w:rPr>
                <w:b/>
                <w:bCs/>
              </w:rPr>
            </w:pPr>
            <w:r>
              <w:rPr>
                <w:b/>
                <w:bCs/>
              </w:rPr>
              <w:t xml:space="preserve">Contaminazione da corpi estranei</w:t>
            </w:r>
            <w:r>
              <w:rPr>
                <w:b/>
                <w:bCs/>
              </w:rPr>
            </w:r>
          </w:p>
        </w:tc>
        <w:tc>
          <w:tcPr>
            <w:tcBorders/>
            <w:tcW w:w="2885" w:type="dxa"/>
            <w:textDirection w:val="lrTb"/>
            <w:noWrap w:val="false"/>
          </w:tcPr>
          <w:p>
            <w:pPr>
              <w:pBdr/>
              <w:spacing/>
              <w:ind/>
              <w:jc w:val="both"/>
              <w:rPr/>
            </w:pPr>
            <w:r>
              <w:t xml:space="preserve">Non ci sono garanzie sul controllo del pericolo fisico</w:t>
            </w:r>
            <w:r/>
          </w:p>
        </w:tc>
        <w:tc>
          <w:tcPr>
            <w:tcBorders/>
            <w:tcW w:w="2885" w:type="dxa"/>
            <w:textDirection w:val="lrTb"/>
            <w:noWrap w:val="false"/>
          </w:tcPr>
          <w:p>
            <w:pPr>
              <w:pBdr/>
              <w:spacing/>
              <w:ind/>
              <w:jc w:val="both"/>
              <w:rPr/>
            </w:pPr>
            <w:r>
              <w:t xml:space="preserve">Il fornitore fornisce una dichiarazione generica.</w:t>
            </w:r>
            <w:r/>
          </w:p>
        </w:tc>
        <w:tc>
          <w:tcPr>
            <w:tcBorders/>
            <w:tcW w:w="2886" w:type="dxa"/>
            <w:textDirection w:val="lrTb"/>
            <w:noWrap w:val="false"/>
          </w:tcPr>
          <w:p>
            <w:pPr>
              <w:pBdr/>
              <w:spacing/>
              <w:ind/>
              <w:jc w:val="both"/>
              <w:rPr/>
            </w:pPr>
            <w:r>
              <w:t xml:space="preserve">Il fornitore ha un piano di controllo del pericolo fisico chiaro e documentato.</w:t>
            </w:r>
            <w:r/>
          </w:p>
        </w:tc>
        <w:tc>
          <w:tcPr>
            <w:tcBorders/>
            <w:tcW w:w="2886" w:type="dxa"/>
            <w:textDirection w:val="lrTb"/>
            <w:noWrap w:val="false"/>
          </w:tcPr>
          <w:p>
            <w:pPr>
              <w:pBdr/>
              <w:spacing/>
              <w:ind/>
              <w:jc w:val="both"/>
              <w:rPr/>
            </w:pPr>
            <w:r>
              <w:t xml:space="preserve">Il fornitore ha un piano di controllo del pericolo fisico chiaro e documentato ed un sistema per la rilevazione dei corpi estranei (MD, filtri, etc.)</w:t>
            </w:r>
            <w:r/>
          </w:p>
        </w:tc>
      </w:tr>
      <w:tr>
        <w:trPr/>
        <w:tc>
          <w:tcPr>
            <w:tcBorders/>
            <w:tcW w:w="2885" w:type="dxa"/>
            <w:textDirection w:val="lrTb"/>
            <w:noWrap w:val="false"/>
          </w:tcPr>
          <w:p>
            <w:pPr>
              <w:pBdr/>
              <w:spacing/>
              <w:ind/>
              <w:jc w:val="both"/>
              <w:rPr>
                <w:b/>
                <w:bCs/>
              </w:rPr>
            </w:pPr>
            <w:r>
              <w:rPr>
                <w:b/>
                <w:bCs/>
              </w:rPr>
              <w:t xml:space="preserve">Contaminazione microbiologica</w:t>
            </w:r>
            <w:r>
              <w:rPr>
                <w:b/>
                <w:bCs/>
              </w:rPr>
            </w:r>
          </w:p>
        </w:tc>
        <w:tc>
          <w:tcPr>
            <w:tcBorders/>
            <w:tcW w:w="2885" w:type="dxa"/>
            <w:textDirection w:val="lrTb"/>
            <w:noWrap w:val="false"/>
          </w:tcPr>
          <w:p>
            <w:pPr>
              <w:pBdr/>
              <w:spacing/>
              <w:ind/>
              <w:jc w:val="both"/>
              <w:rPr/>
            </w:pPr>
            <w:r>
              <w:t xml:space="preserve">Non ci sono garanzie sul controllo del pericolo microbiologico</w:t>
            </w:r>
            <w:r/>
          </w:p>
        </w:tc>
        <w:tc>
          <w:tcPr>
            <w:tcBorders/>
            <w:tcW w:w="2885" w:type="dxa"/>
            <w:textDirection w:val="lrTb"/>
            <w:noWrap w:val="false"/>
          </w:tcPr>
          <w:p>
            <w:pPr>
              <w:pBdr/>
              <w:spacing/>
              <w:ind/>
              <w:jc w:val="both"/>
              <w:rPr/>
            </w:pPr>
            <w:r>
              <w:t xml:space="preserve">Il fornitore fornisce una dichiarazione generica.</w:t>
            </w:r>
            <w:r/>
          </w:p>
        </w:tc>
        <w:tc>
          <w:tcPr>
            <w:tcBorders/>
            <w:tcW w:w="2886" w:type="dxa"/>
            <w:textDirection w:val="lrTb"/>
            <w:noWrap w:val="false"/>
          </w:tcPr>
          <w:p>
            <w:pPr>
              <w:pBdr/>
              <w:spacing/>
              <w:ind/>
              <w:jc w:val="both"/>
              <w:rPr/>
            </w:pPr>
            <w:r>
              <w:t xml:space="preserve">Il fornitore ha formalizzato un piano di campionamento.</w:t>
            </w:r>
            <w:r/>
          </w:p>
        </w:tc>
        <w:tc>
          <w:tcPr>
            <w:tcBorders/>
            <w:tcW w:w="2886" w:type="dxa"/>
            <w:textDirection w:val="lrTb"/>
            <w:noWrap w:val="false"/>
          </w:tcPr>
          <w:p>
            <w:pPr>
              <w:pBdr/>
              <w:spacing/>
              <w:ind/>
              <w:jc w:val="both"/>
              <w:rPr/>
            </w:pPr>
            <w:r>
              <w:t xml:space="preserve">Il fornitore ha formalizzato un piano di campionamento e può fornire esiti di analisi ad ogni fornitura.</w:t>
            </w:r>
            <w:r/>
          </w:p>
        </w:tc>
      </w:tr>
      <w:tr>
        <w:trPr/>
        <w:tc>
          <w:tcPr>
            <w:tcBorders/>
            <w:tcW w:w="2885" w:type="dxa"/>
            <w:textDirection w:val="lrTb"/>
            <w:noWrap w:val="false"/>
          </w:tcPr>
          <w:p>
            <w:pPr>
              <w:pBdr/>
              <w:spacing/>
              <w:ind/>
              <w:jc w:val="both"/>
              <w:rPr>
                <w:b/>
                <w:bCs/>
              </w:rPr>
            </w:pPr>
            <w:r>
              <w:rPr>
                <w:b/>
                <w:bCs/>
              </w:rPr>
              <w:t xml:space="preserve">Contaminazione chimica/radioattiva</w:t>
            </w:r>
            <w:r>
              <w:rPr>
                <w:b/>
                <w:bCs/>
              </w:rPr>
            </w:r>
          </w:p>
        </w:tc>
        <w:tc>
          <w:tcPr>
            <w:tcBorders/>
            <w:tcW w:w="2885" w:type="dxa"/>
            <w:textDirection w:val="lrTb"/>
            <w:noWrap w:val="false"/>
          </w:tcPr>
          <w:p>
            <w:pPr>
              <w:pBdr/>
              <w:spacing/>
              <w:ind/>
              <w:jc w:val="both"/>
              <w:rPr/>
            </w:pPr>
            <w:r>
              <w:t xml:space="preserve">Non ci sono garanzie sul controllo del pericolo chimico/radioattivo</w:t>
            </w:r>
            <w:r/>
          </w:p>
        </w:tc>
        <w:tc>
          <w:tcPr>
            <w:tcBorders/>
            <w:tcW w:w="2885" w:type="dxa"/>
            <w:textDirection w:val="lrTb"/>
            <w:noWrap w:val="false"/>
          </w:tcPr>
          <w:p>
            <w:pPr>
              <w:pBdr/>
              <w:spacing/>
              <w:ind/>
              <w:jc w:val="both"/>
              <w:rPr/>
            </w:pPr>
            <w:r>
              <w:t xml:space="preserve">Il fornitore fornisce una dichiarazione generica.</w:t>
            </w:r>
            <w:r/>
          </w:p>
        </w:tc>
        <w:tc>
          <w:tcPr>
            <w:tcBorders/>
            <w:tcW w:w="2886" w:type="dxa"/>
            <w:textDirection w:val="lrTb"/>
            <w:noWrap w:val="false"/>
          </w:tcPr>
          <w:p>
            <w:pPr>
              <w:pBdr/>
              <w:spacing/>
              <w:ind/>
              <w:jc w:val="both"/>
              <w:rPr/>
            </w:pPr>
            <w:r>
              <w:t xml:space="preserve">Il fornitore ha formalizzato un piano di campionamento.</w:t>
            </w:r>
            <w:r/>
          </w:p>
        </w:tc>
        <w:tc>
          <w:tcPr>
            <w:tcBorders/>
            <w:tcW w:w="2886" w:type="dxa"/>
            <w:textDirection w:val="lrTb"/>
            <w:noWrap w:val="false"/>
          </w:tcPr>
          <w:p>
            <w:pPr>
              <w:pBdr/>
              <w:spacing/>
              <w:ind/>
              <w:jc w:val="both"/>
              <w:rPr/>
            </w:pPr>
            <w:r>
              <w:t xml:space="preserve">Il fornitore ha formalizzato un piano di campionamento e può fornire esiti di analisi ad ogni fornitura.</w:t>
            </w:r>
            <w:r/>
          </w:p>
        </w:tc>
      </w:tr>
      <w:tr>
        <w:trPr/>
        <w:tc>
          <w:tcPr>
            <w:tcBorders/>
            <w:tcW w:w="2885" w:type="dxa"/>
            <w:textDirection w:val="lrTb"/>
            <w:noWrap w:val="false"/>
          </w:tcPr>
          <w:p>
            <w:pPr>
              <w:pBdr/>
              <w:spacing/>
              <w:ind/>
              <w:jc w:val="both"/>
              <w:rPr>
                <w:b/>
                <w:bCs/>
              </w:rPr>
            </w:pPr>
            <w:r>
              <w:rPr>
                <w:b/>
                <w:bCs/>
              </w:rPr>
              <w:t xml:space="preserve">Rilevanza della materia prima sul prodotto finito</w:t>
            </w:r>
            <w:r>
              <w:rPr>
                <w:b/>
                <w:bCs/>
              </w:rPr>
            </w:r>
          </w:p>
        </w:tc>
        <w:tc>
          <w:tcPr>
            <w:tcBorders/>
            <w:tcW w:w="2885" w:type="dxa"/>
            <w:textDirection w:val="lrTb"/>
            <w:noWrap w:val="false"/>
          </w:tcPr>
          <w:p>
            <w:pPr>
              <w:pBdr/>
              <w:spacing/>
              <w:ind/>
              <w:jc w:val="both"/>
              <w:rPr/>
            </w:pPr>
            <w:r/>
            <w:r/>
          </w:p>
        </w:tc>
        <w:tc>
          <w:tcPr>
            <w:tcBorders/>
            <w:tcW w:w="2885" w:type="dxa"/>
            <w:textDirection w:val="lrTb"/>
            <w:noWrap w:val="false"/>
          </w:tcPr>
          <w:p>
            <w:pPr>
              <w:pBdr/>
              <w:spacing/>
              <w:ind/>
              <w:jc w:val="both"/>
              <w:rPr/>
            </w:pPr>
            <w:r>
              <w:t xml:space="preserve">La materia prima ha una rilevanza minima sul prodotto finito.</w:t>
            </w:r>
            <w:r/>
          </w:p>
        </w:tc>
        <w:tc>
          <w:tcPr>
            <w:tcBorders/>
            <w:tcW w:w="2886" w:type="dxa"/>
            <w:textDirection w:val="lrTb"/>
            <w:noWrap w:val="false"/>
          </w:tcPr>
          <w:p>
            <w:pPr>
              <w:pBdr/>
              <w:spacing/>
              <w:ind/>
              <w:jc w:val="both"/>
              <w:rPr/>
            </w:pPr>
            <w:r>
              <w:t xml:space="preserve">La materia prima ha una rilevanza media sul prodotto finito.</w:t>
            </w:r>
            <w:r/>
          </w:p>
        </w:tc>
        <w:tc>
          <w:tcPr>
            <w:tcBorders/>
            <w:tcW w:w="2886" w:type="dxa"/>
            <w:textDirection w:val="lrTb"/>
            <w:noWrap w:val="false"/>
          </w:tcPr>
          <w:p>
            <w:pPr>
              <w:pBdr/>
              <w:spacing/>
              <w:ind/>
              <w:jc w:val="both"/>
              <w:rPr/>
            </w:pPr>
            <w:r>
              <w:t xml:space="preserve">La materia prima ha una rilevanza alta sul prodotto finito.</w:t>
            </w:r>
            <w:r/>
          </w:p>
        </w:tc>
      </w:tr>
    </w:tbl>
    <w:p>
      <w:pPr>
        <w:pBdr/>
        <w:spacing/>
        <w:ind/>
        <w:jc w:val="both"/>
        <w:rPr/>
      </w:pPr>
      <w:r/>
      <w:r/>
    </w:p>
    <w:p>
      <w:pPr>
        <w:pBdr/>
        <w:spacing/>
        <w:ind/>
        <w:jc w:val="both"/>
        <w:rPr/>
      </w:pPr>
      <w:r/>
      <w:r/>
    </w:p>
    <w:p>
      <w:pPr>
        <w:pBdr/>
        <w:spacing/>
        <w:ind/>
        <w:jc w:val="both"/>
        <w:rPr/>
      </w:pPr>
      <w:r/>
      <w:r/>
    </w:p>
    <w:p>
      <w:pPr>
        <w:pBdr/>
        <w:spacing/>
        <w:ind/>
        <w:jc w:val="both"/>
        <w:rPr/>
      </w:pPr>
      <w:r/>
      <w:r/>
    </w:p>
    <w:p>
      <w:pPr>
        <w:pBdr/>
        <w:spacing/>
        <w:ind/>
        <w:jc w:val="both"/>
        <w:rPr/>
      </w:pPr>
      <w:r/>
      <w:r/>
    </w:p>
    <w:tbl>
      <w:tblPr>
        <w:tblInd w:w="38" w:type="dxa"/>
        <w:tblW w:w="0" w:type="auto"/>
        <w:tblBorders/>
        <w:tblLook w:val="04A0" w:firstRow="1" w:lastRow="0" w:firstColumn="1" w:lastColumn="0" w:noHBand="0" w:noVBand="1"/>
        <w:tblStyle w:val="839"/>
      </w:tblPr>
      <w:tblGrid>
        <w:gridCol w:w="1740"/>
        <w:gridCol w:w="2080"/>
        <w:gridCol w:w="2516"/>
        <w:gridCol w:w="2653"/>
        <w:gridCol w:w="2663"/>
        <w:gridCol w:w="2587"/>
      </w:tblGrid>
      <w:tr>
        <w:trPr/>
        <w:tc>
          <w:tcPr>
            <w:gridSpan w:val="6"/>
            <w:shd w:val="clear" w:color="auto" w:fill="fabf8f" w:themeFill="accent6" w:themeFillTint="99"/>
            <w:tcBorders/>
            <w:tcW w:w="14239" w:type="dxa"/>
            <w:textDirection w:val="lrTb"/>
            <w:noWrap w:val="false"/>
          </w:tcPr>
          <w:p>
            <w:pPr>
              <w:pBdr/>
              <w:spacing/>
              <w:ind/>
              <w:jc w:val="center"/>
              <w:rPr>
                <w:b/>
                <w:bCs/>
              </w:rPr>
            </w:pPr>
            <w:r>
              <w:rPr>
                <w:b/>
                <w:bCs/>
              </w:rPr>
              <w:t xml:space="preserve">CONTRAFFAZIONE O FRODE</w:t>
            </w:r>
            <w:r>
              <w:rPr>
                <w:b/>
                <w:bCs/>
              </w:rPr>
            </w:r>
          </w:p>
        </w:tc>
      </w:tr>
      <w:tr>
        <w:trPr/>
        <w:tc>
          <w:tcPr>
            <w:gridSpan w:val="2"/>
            <w:shd w:val="clear" w:color="auto" w:fill="fabf8f" w:themeFill="accent6" w:themeFillTint="99"/>
            <w:tcBorders/>
            <w:tcW w:w="3820" w:type="dxa"/>
            <w:vMerge w:val="restart"/>
            <w:textDirection w:val="lrTb"/>
            <w:noWrap w:val="false"/>
          </w:tcPr>
          <w:p>
            <w:pPr>
              <w:pBdr/>
              <w:spacing/>
              <w:ind/>
              <w:jc w:val="center"/>
              <w:rPr>
                <w:b/>
                <w:bCs/>
              </w:rPr>
            </w:pPr>
            <w:r>
              <w:rPr>
                <w:b/>
                <w:bCs/>
              </w:rPr>
              <w:t xml:space="preserve">RISCHIO DI:</w:t>
            </w:r>
            <w:r>
              <w:rPr>
                <w:b/>
                <w:bCs/>
              </w:rPr>
            </w:r>
          </w:p>
        </w:tc>
        <w:tc>
          <w:tcPr>
            <w:gridSpan w:val="4"/>
            <w:shd w:val="clear" w:color="auto" w:fill="fabf8f" w:themeFill="accent6" w:themeFillTint="99"/>
            <w:tcBorders/>
            <w:tcW w:w="10419" w:type="dxa"/>
            <w:textDirection w:val="lrTb"/>
            <w:noWrap w:val="false"/>
          </w:tcPr>
          <w:p>
            <w:pPr>
              <w:pBdr/>
              <w:spacing/>
              <w:ind/>
              <w:jc w:val="center"/>
              <w:rPr>
                <w:b/>
                <w:bCs/>
              </w:rPr>
            </w:pPr>
            <w:r>
              <w:rPr>
                <w:b/>
                <w:bCs/>
              </w:rPr>
              <w:t xml:space="preserve">VALORE ASSEGNATO</w:t>
            </w:r>
            <w:r>
              <w:rPr>
                <w:b/>
                <w:bCs/>
              </w:rPr>
            </w:r>
          </w:p>
        </w:tc>
      </w:tr>
      <w:tr>
        <w:trPr/>
        <w:tc>
          <w:tcPr>
            <w:gridSpan w:val="2"/>
            <w:shd w:val="clear" w:color="auto" w:fill="fabf8f" w:themeFill="accent6" w:themeFillTint="99"/>
            <w:tcBorders/>
            <w:tcW w:w="3820" w:type="dxa"/>
            <w:vMerge w:val="continue"/>
            <w:textDirection w:val="lrTb"/>
            <w:noWrap w:val="false"/>
          </w:tcPr>
          <w:p>
            <w:pPr>
              <w:pStyle w:val="834"/>
              <w:pBdr/>
              <w:spacing/>
              <w:ind/>
              <w:rPr>
                <w:b/>
                <w:bCs/>
              </w:rPr>
            </w:pPr>
            <w:r>
              <w:rPr>
                <w:b/>
                <w:bCs/>
              </w:rPr>
            </w:r>
            <w:r>
              <w:rPr>
                <w:b/>
                <w:bCs/>
              </w:rPr>
            </w:r>
          </w:p>
        </w:tc>
        <w:tc>
          <w:tcPr>
            <w:shd w:val="clear" w:color="auto" w:fill="fabf8f" w:themeFill="accent6" w:themeFillTint="99"/>
            <w:tcBorders/>
            <w:tcW w:w="2516" w:type="dxa"/>
            <w:textDirection w:val="lrTb"/>
            <w:noWrap w:val="false"/>
          </w:tcPr>
          <w:p>
            <w:pPr>
              <w:pStyle w:val="834"/>
              <w:pBdr/>
              <w:spacing/>
              <w:ind/>
              <w:rPr>
                <w:b/>
                <w:bCs/>
              </w:rPr>
            </w:pPr>
            <w:r>
              <w:rPr>
                <w:b/>
                <w:bCs/>
              </w:rPr>
              <w:t xml:space="preserve">1.INSUFFICIENTE</w:t>
            </w:r>
            <w:r>
              <w:rPr>
                <w:b/>
                <w:bCs/>
              </w:rPr>
            </w:r>
          </w:p>
        </w:tc>
        <w:tc>
          <w:tcPr>
            <w:shd w:val="clear" w:color="auto" w:fill="fabf8f" w:themeFill="accent6" w:themeFillTint="99"/>
            <w:tcBorders/>
            <w:tcW w:w="2653" w:type="dxa"/>
            <w:textDirection w:val="lrTb"/>
            <w:noWrap w:val="false"/>
          </w:tcPr>
          <w:p>
            <w:pPr>
              <w:pStyle w:val="834"/>
              <w:pBdr/>
              <w:spacing/>
              <w:ind/>
              <w:rPr>
                <w:b/>
                <w:bCs/>
              </w:rPr>
            </w:pPr>
            <w:r>
              <w:rPr>
                <w:b/>
                <w:bCs/>
              </w:rPr>
              <w:t xml:space="preserve">2.SUFFICIENTE</w:t>
            </w:r>
            <w:r>
              <w:rPr>
                <w:b/>
                <w:bCs/>
              </w:rPr>
            </w:r>
          </w:p>
        </w:tc>
        <w:tc>
          <w:tcPr>
            <w:shd w:val="clear" w:color="auto" w:fill="fabf8f" w:themeFill="accent6" w:themeFillTint="99"/>
            <w:tcBorders/>
            <w:tcW w:w="2663" w:type="dxa"/>
            <w:textDirection w:val="lrTb"/>
            <w:noWrap w:val="false"/>
          </w:tcPr>
          <w:p>
            <w:pPr>
              <w:pStyle w:val="834"/>
              <w:pBdr/>
              <w:spacing/>
              <w:ind/>
              <w:rPr>
                <w:b/>
                <w:bCs/>
              </w:rPr>
            </w:pPr>
            <w:r>
              <w:rPr>
                <w:b/>
                <w:bCs/>
              </w:rPr>
              <w:t xml:space="preserve">3.BUONO</w:t>
            </w:r>
            <w:r>
              <w:rPr>
                <w:b/>
                <w:bCs/>
              </w:rPr>
            </w:r>
          </w:p>
        </w:tc>
        <w:tc>
          <w:tcPr>
            <w:shd w:val="clear" w:color="auto" w:fill="fabf8f" w:themeFill="accent6" w:themeFillTint="99"/>
            <w:tcBorders/>
            <w:tcW w:w="2587" w:type="dxa"/>
            <w:textDirection w:val="lrTb"/>
            <w:noWrap w:val="false"/>
          </w:tcPr>
          <w:p>
            <w:pPr>
              <w:pStyle w:val="834"/>
              <w:pBdr/>
              <w:spacing/>
              <w:ind/>
              <w:rPr>
                <w:b/>
                <w:bCs/>
              </w:rPr>
            </w:pPr>
            <w:r>
              <w:rPr>
                <w:b/>
                <w:bCs/>
              </w:rPr>
              <w:t xml:space="preserve">4.OTTIMO</w:t>
            </w:r>
            <w:r>
              <w:rPr>
                <w:b/>
                <w:bCs/>
              </w:rPr>
            </w:r>
          </w:p>
        </w:tc>
      </w:tr>
      <w:tr>
        <w:trPr/>
        <w:tc>
          <w:tcPr>
            <w:tcBorders>
              <w:top w:val="none" w:color="000000" w:sz="4" w:space="0"/>
              <w:left w:val="single" w:color="auto" w:sz="4" w:space="0"/>
              <w:right w:val="single" w:color="auto" w:sz="4" w:space="0"/>
            </w:tcBorders>
            <w:tcW w:w="1740" w:type="dxa"/>
            <w:vMerge w:val="restart"/>
            <w:textDirection w:val="lrTb"/>
            <w:noWrap w:val="false"/>
          </w:tcPr>
          <w:p>
            <w:pPr>
              <w:pBdr/>
              <w:spacing/>
              <w:ind/>
              <w:jc w:val="both"/>
              <w:rPr>
                <w:b/>
                <w:bCs/>
              </w:rPr>
            </w:pPr>
            <w:r>
              <w:rPr>
                <w:b/>
                <w:bCs/>
              </w:rPr>
              <w:t xml:space="preserve">Si assegna un punteggio da 1 a 4, per ciascuna voce. </w:t>
            </w:r>
            <w:r>
              <w:rPr>
                <w:b/>
                <w:bCs/>
              </w:rPr>
            </w:r>
          </w:p>
          <w:p>
            <w:pPr>
              <w:pBdr/>
              <w:spacing/>
              <w:ind/>
              <w:jc w:val="both"/>
              <w:rPr>
                <w:b/>
                <w:bCs/>
              </w:rPr>
            </w:pPr>
            <w:r>
              <w:rPr>
                <w:b/>
                <w:bCs/>
              </w:rPr>
            </w:r>
            <w:r>
              <w:rPr>
                <w:b/>
                <w:bCs/>
              </w:rPr>
            </w:r>
          </w:p>
        </w:tc>
        <w:tc>
          <w:tcPr>
            <w:tcBorders>
              <w:left w:val="single" w:color="auto" w:sz="4" w:space="0"/>
            </w:tcBorders>
            <w:tcW w:w="2080" w:type="dxa"/>
            <w:textDirection w:val="lrTb"/>
            <w:noWrap w:val="false"/>
          </w:tcPr>
          <w:p>
            <w:pPr>
              <w:pBdr/>
              <w:spacing/>
              <w:ind/>
              <w:jc w:val="both"/>
              <w:rPr>
                <w:b/>
                <w:bCs/>
                <w:i/>
                <w:iCs/>
              </w:rPr>
            </w:pPr>
            <w:r>
              <w:rPr>
                <w:b/>
                <w:bCs/>
                <w:i/>
                <w:iCs/>
              </w:rPr>
              <w:t xml:space="preserve">Evidenze storiche di contraffazione o adulterazione</w:t>
            </w:r>
            <w:r>
              <w:rPr>
                <w:b/>
                <w:bCs/>
                <w:i/>
                <w:iCs/>
              </w:rPr>
            </w:r>
          </w:p>
        </w:tc>
        <w:tc>
          <w:tcPr>
            <w:tcBorders/>
            <w:tcW w:w="2516" w:type="dxa"/>
            <w:textDirection w:val="lrTb"/>
            <w:noWrap w:val="false"/>
          </w:tcPr>
          <w:p>
            <w:pPr>
              <w:pBdr/>
              <w:spacing/>
              <w:ind/>
              <w:jc w:val="both"/>
              <w:rPr/>
            </w:pPr>
            <w:r>
              <w:t xml:space="preserve">Il prodotto è storicamente soggetto a contraffazione o adulterazione.</w:t>
            </w:r>
            <w:r/>
          </w:p>
        </w:tc>
        <w:tc>
          <w:tcPr>
            <w:tcBorders/>
            <w:tcW w:w="2653" w:type="dxa"/>
            <w:textDirection w:val="lrTb"/>
            <w:noWrap w:val="false"/>
          </w:tcPr>
          <w:p>
            <w:pPr>
              <w:pBdr/>
              <w:spacing/>
              <w:ind/>
              <w:jc w:val="both"/>
              <w:rPr/>
            </w:pPr>
            <w:r>
              <w:t xml:space="preserve">Il prodotto talvolta è stato oggetto di contraffazione o adulterazione.</w:t>
            </w:r>
            <w:r/>
          </w:p>
        </w:tc>
        <w:tc>
          <w:tcPr>
            <w:tcBorders/>
            <w:tcW w:w="2663" w:type="dxa"/>
            <w:textDirection w:val="lrTb"/>
            <w:noWrap w:val="false"/>
          </w:tcPr>
          <w:p>
            <w:pPr>
              <w:pBdr/>
              <w:spacing/>
              <w:ind/>
              <w:jc w:val="both"/>
              <w:rPr/>
            </w:pPr>
            <w:r>
              <w:t xml:space="preserve">Il prodotto raramente è stato soggetto a contraffazione o adulterazione.</w:t>
            </w:r>
            <w:r/>
          </w:p>
        </w:tc>
        <w:tc>
          <w:tcPr>
            <w:tcBorders/>
            <w:tcW w:w="2587" w:type="dxa"/>
            <w:textDirection w:val="lrTb"/>
            <w:noWrap w:val="false"/>
          </w:tcPr>
          <w:p>
            <w:pPr>
              <w:pBdr/>
              <w:spacing/>
              <w:ind/>
              <w:jc w:val="both"/>
              <w:rPr/>
            </w:pPr>
            <w:r>
              <w:t xml:space="preserve">Il prodotto non è mai stato soggetto a contraffazione o adulterazione.</w:t>
            </w:r>
            <w:r/>
          </w:p>
        </w:tc>
      </w:tr>
      <w:tr>
        <w:trPr/>
        <w:tc>
          <w:tcPr>
            <w:tcBorders>
              <w:left w:val="single" w:color="auto" w:sz="4" w:space="0"/>
              <w:bottom w:val="none" w:color="000000" w:sz="4" w:space="0"/>
              <w:right w:val="single" w:color="auto" w:sz="4" w:space="0"/>
            </w:tcBorders>
            <w:tcW w:w="1740" w:type="dxa"/>
            <w:vMerge w:val="continue"/>
            <w:textDirection w:val="lrTb"/>
            <w:noWrap w:val="false"/>
          </w:tcPr>
          <w:p>
            <w:pPr>
              <w:pBdr/>
              <w:spacing/>
              <w:ind/>
              <w:jc w:val="both"/>
              <w:rPr>
                <w:b/>
                <w:bCs/>
              </w:rPr>
            </w:pPr>
            <w:r>
              <w:rPr>
                <w:b/>
                <w:bCs/>
              </w:rPr>
            </w:r>
            <w:r>
              <w:rPr>
                <w:b/>
                <w:bCs/>
              </w:rPr>
            </w:r>
          </w:p>
        </w:tc>
        <w:tc>
          <w:tcPr>
            <w:tcBorders>
              <w:left w:val="single" w:color="auto" w:sz="4" w:space="0"/>
            </w:tcBorders>
            <w:tcW w:w="2080" w:type="dxa"/>
            <w:textDirection w:val="lrTb"/>
            <w:noWrap w:val="false"/>
          </w:tcPr>
          <w:p>
            <w:pPr>
              <w:pBdr/>
              <w:spacing/>
              <w:ind/>
              <w:jc w:val="both"/>
              <w:rPr>
                <w:b/>
                <w:bCs/>
                <w:i/>
                <w:iCs/>
              </w:rPr>
            </w:pPr>
            <w:r>
              <w:rPr>
                <w:b/>
                <w:bCs/>
                <w:i/>
                <w:iCs/>
              </w:rPr>
              <w:t xml:space="preserve">Fattori economici che possano rendere adulterazioni e contraffazioni maggiormente remunerative</w:t>
            </w:r>
            <w:r>
              <w:rPr>
                <w:b/>
                <w:bCs/>
                <w:i/>
                <w:iCs/>
              </w:rPr>
            </w:r>
          </w:p>
        </w:tc>
        <w:tc>
          <w:tcPr>
            <w:tcBorders/>
            <w:tcW w:w="2516" w:type="dxa"/>
            <w:textDirection w:val="lrTb"/>
            <w:noWrap w:val="false"/>
          </w:tcPr>
          <w:p>
            <w:pPr>
              <w:pBdr/>
              <w:spacing/>
              <w:ind/>
              <w:jc w:val="both"/>
              <w:rPr/>
            </w:pPr>
            <w:r>
              <w:t xml:space="preserve">L’adulterazione o la contraffazione sono facilmente attuabili e altamente remunerative.</w:t>
            </w:r>
            <w:r/>
          </w:p>
        </w:tc>
        <w:tc>
          <w:tcPr>
            <w:tcBorders/>
            <w:tcW w:w="2653" w:type="dxa"/>
            <w:textDirection w:val="lrTb"/>
            <w:noWrap w:val="false"/>
          </w:tcPr>
          <w:p>
            <w:pPr>
              <w:pBdr/>
              <w:spacing/>
              <w:ind/>
              <w:jc w:val="both"/>
              <w:rPr/>
            </w:pPr>
            <w:r>
              <w:t xml:space="preserve">Esiste convenienza economica nell’effettuare attività di contraffazione o adulterazione sulle materie prime.</w:t>
            </w:r>
            <w:r/>
          </w:p>
        </w:tc>
        <w:tc>
          <w:tcPr>
            <w:tcBorders/>
            <w:tcW w:w="2663" w:type="dxa"/>
            <w:textDirection w:val="lrTb"/>
            <w:noWrap w:val="false"/>
          </w:tcPr>
          <w:p>
            <w:pPr>
              <w:pBdr/>
              <w:spacing/>
              <w:ind/>
              <w:jc w:val="both"/>
              <w:rPr/>
            </w:pPr>
            <w:r>
              <w:t xml:space="preserve">Attività di adulterazione e contraffazione sono realizzabili con costi alti e marginazione molto bassa.</w:t>
            </w:r>
            <w:r/>
          </w:p>
        </w:tc>
        <w:tc>
          <w:tcPr>
            <w:tcBorders/>
            <w:tcW w:w="2587" w:type="dxa"/>
            <w:textDirection w:val="lrTb"/>
            <w:noWrap w:val="false"/>
          </w:tcPr>
          <w:p>
            <w:pPr>
              <w:pBdr/>
              <w:spacing/>
              <w:ind/>
              <w:jc w:val="both"/>
              <w:rPr/>
            </w:pPr>
            <w:r>
              <w:t xml:space="preserve">Non risultano vantaggi economici.</w:t>
            </w:r>
            <w:r/>
          </w:p>
        </w:tc>
      </w:tr>
      <w:tr>
        <w:trPr/>
        <w:tc>
          <w:tcPr>
            <w:tcBorders>
              <w:top w:val="none" w:color="000000" w:sz="4" w:space="0"/>
              <w:left w:val="single" w:color="auto" w:sz="4" w:space="0"/>
              <w:bottom w:val="none" w:color="000000" w:sz="4" w:space="0"/>
              <w:right w:val="single" w:color="auto" w:sz="4" w:space="0"/>
            </w:tcBorders>
            <w:tcW w:w="1740" w:type="dxa"/>
            <w:textDirection w:val="lrTb"/>
            <w:noWrap w:val="false"/>
          </w:tcPr>
          <w:p>
            <w:pPr>
              <w:pBdr/>
              <w:spacing/>
              <w:ind/>
              <w:jc w:val="both"/>
              <w:rPr>
                <w:b/>
                <w:bCs/>
              </w:rPr>
            </w:pPr>
            <w:r>
              <w:rPr>
                <w:b/>
                <w:bCs/>
              </w:rPr>
              <w:t xml:space="preserve">La valutazione finale è la seguente: </w:t>
            </w:r>
            <w:r>
              <w:rPr>
                <w:b/>
                <w:bCs/>
              </w:rPr>
            </w:r>
          </w:p>
        </w:tc>
        <w:tc>
          <w:tcPr>
            <w:tcBorders>
              <w:left w:val="single" w:color="auto" w:sz="4" w:space="0"/>
            </w:tcBorders>
            <w:tcW w:w="2080" w:type="dxa"/>
            <w:textDirection w:val="lrTb"/>
            <w:noWrap w:val="false"/>
          </w:tcPr>
          <w:p>
            <w:pPr>
              <w:pBdr/>
              <w:spacing/>
              <w:ind/>
              <w:jc w:val="both"/>
              <w:rPr>
                <w:b/>
                <w:bCs/>
                <w:i/>
                <w:iCs/>
              </w:rPr>
            </w:pPr>
            <w:r>
              <w:rPr>
                <w:b/>
                <w:bCs/>
                <w:i/>
                <w:iCs/>
              </w:rPr>
              <w:t xml:space="preserve">Facilità di accesso alla materia prima lungo la catena di fornitura</w:t>
            </w:r>
            <w:r>
              <w:rPr>
                <w:b/>
                <w:bCs/>
                <w:i/>
                <w:iCs/>
              </w:rPr>
            </w:r>
          </w:p>
        </w:tc>
        <w:tc>
          <w:tcPr>
            <w:tcBorders/>
            <w:tcW w:w="2516" w:type="dxa"/>
            <w:textDirection w:val="lrTb"/>
            <w:noWrap w:val="false"/>
          </w:tcPr>
          <w:p>
            <w:pPr>
              <w:pBdr/>
              <w:spacing/>
              <w:ind/>
              <w:jc w:val="both"/>
              <w:rPr/>
            </w:pPr>
            <w:r>
              <w:t xml:space="preserve">Il prodotto viene consegnato attraverso molti intermediari e piattaforme. Il prodotto è sfuso.</w:t>
            </w:r>
            <w:r/>
          </w:p>
        </w:tc>
        <w:tc>
          <w:tcPr>
            <w:tcBorders/>
            <w:tcW w:w="2653" w:type="dxa"/>
            <w:textDirection w:val="lrTb"/>
            <w:noWrap w:val="false"/>
          </w:tcPr>
          <w:p>
            <w:pPr>
              <w:pBdr/>
              <w:spacing/>
              <w:ind/>
              <w:jc w:val="both"/>
              <w:rPr/>
            </w:pPr>
            <w:r>
              <w:t xml:space="preserve">Il prodotto viene consegnato attraverso molti intermediari e piattaforme. Il prodotto è confezionato.</w:t>
            </w:r>
            <w:r/>
          </w:p>
        </w:tc>
        <w:tc>
          <w:tcPr>
            <w:tcBorders/>
            <w:tcW w:w="2663" w:type="dxa"/>
            <w:textDirection w:val="lrTb"/>
            <w:noWrap w:val="false"/>
          </w:tcPr>
          <w:p>
            <w:pPr>
              <w:pBdr/>
              <w:spacing/>
              <w:ind/>
              <w:jc w:val="both"/>
              <w:rPr/>
            </w:pPr>
            <w:r>
              <w:t xml:space="preserve">Il prodotto viene fornito direttamente dal produttore, ma con mezzi non propri.</w:t>
            </w:r>
            <w:r/>
          </w:p>
        </w:tc>
        <w:tc>
          <w:tcPr>
            <w:tcBorders/>
            <w:tcW w:w="2587" w:type="dxa"/>
            <w:textDirection w:val="lrTb"/>
            <w:noWrap w:val="false"/>
          </w:tcPr>
          <w:p>
            <w:pPr>
              <w:pBdr/>
              <w:spacing/>
              <w:ind/>
              <w:jc w:val="both"/>
              <w:rPr/>
            </w:pPr>
            <w:r>
              <w:t xml:space="preserve">Il prodotto viene fornito direttamente dal produttore con mezzi propri.</w:t>
            </w:r>
            <w:r/>
          </w:p>
        </w:tc>
      </w:tr>
      <w:tr>
        <w:trPr>
          <w:trHeight w:val="540"/>
        </w:trPr>
        <w:tc>
          <w:tcPr>
            <w:tcBorders>
              <w:top w:val="none" w:color="000000" w:sz="4" w:space="0"/>
              <w:left w:val="single" w:color="auto" w:sz="4" w:space="0"/>
              <w:bottom w:val="none" w:color="000000" w:sz="4" w:space="0"/>
              <w:right w:val="single" w:color="auto" w:sz="4" w:space="0"/>
            </w:tcBorders>
            <w:tcW w:w="1740" w:type="dxa"/>
            <w:textDirection w:val="lrTb"/>
            <w:noWrap w:val="false"/>
          </w:tcPr>
          <w:p>
            <w:pPr>
              <w:pBdr/>
              <w:spacing/>
              <w:ind/>
              <w:jc w:val="both"/>
              <w:rPr>
                <w:b/>
                <w:bCs/>
                <w:u w:val="single"/>
              </w:rPr>
            </w:pPr>
            <w:r>
              <w:rPr>
                <w:b/>
                <w:bCs/>
              </w:rPr>
              <w:t xml:space="preserve">Da 5 a 8: </w:t>
            </w:r>
            <w:r>
              <w:rPr>
                <w:b/>
                <w:bCs/>
                <w:u w:val="single"/>
              </w:rPr>
              <w:t xml:space="preserve">insufficiente (1)</w:t>
            </w:r>
            <w:r>
              <w:rPr>
                <w:b/>
                <w:bCs/>
                <w:u w:val="single"/>
              </w:rPr>
            </w:r>
          </w:p>
        </w:tc>
        <w:tc>
          <w:tcPr>
            <w:tcBorders>
              <w:left w:val="single" w:color="auto" w:sz="4" w:space="0"/>
            </w:tcBorders>
            <w:tcW w:w="2080" w:type="dxa"/>
            <w:vMerge w:val="restart"/>
            <w:textDirection w:val="lrTb"/>
            <w:noWrap w:val="false"/>
          </w:tcPr>
          <w:p>
            <w:pPr>
              <w:pBdr/>
              <w:spacing/>
              <w:ind/>
              <w:jc w:val="both"/>
              <w:rPr>
                <w:b/>
                <w:bCs/>
                <w:i/>
                <w:iCs/>
              </w:rPr>
            </w:pPr>
            <w:r>
              <w:rPr>
                <w:b/>
                <w:bCs/>
                <w:i/>
                <w:iCs/>
              </w:rPr>
              <w:t xml:space="preserve">Complessità dei test ordinari per identificare i prodotti adulterati</w:t>
            </w:r>
            <w:r>
              <w:rPr>
                <w:b/>
                <w:bCs/>
                <w:i/>
                <w:iCs/>
              </w:rPr>
            </w:r>
          </w:p>
        </w:tc>
        <w:tc>
          <w:tcPr>
            <w:tcBorders/>
            <w:tcW w:w="2516" w:type="dxa"/>
            <w:vMerge w:val="restart"/>
            <w:textDirection w:val="lrTb"/>
            <w:noWrap w:val="false"/>
          </w:tcPr>
          <w:p>
            <w:pPr>
              <w:pBdr/>
              <w:spacing/>
              <w:ind/>
              <w:jc w:val="both"/>
              <w:rPr/>
            </w:pPr>
            <w:r>
              <w:t xml:space="preserve">Analisi che non riconoscono eventuali adulterazioni sui prodotti.</w:t>
            </w:r>
            <w:r/>
          </w:p>
        </w:tc>
        <w:tc>
          <w:tcPr>
            <w:tcBorders/>
            <w:tcW w:w="2653" w:type="dxa"/>
            <w:vMerge w:val="restart"/>
            <w:textDirection w:val="lrTb"/>
            <w:noWrap w:val="false"/>
          </w:tcPr>
          <w:p>
            <w:pPr>
              <w:pBdr/>
              <w:spacing/>
              <w:ind/>
              <w:jc w:val="both"/>
              <w:rPr/>
            </w:pPr>
            <w:r>
              <w:t xml:space="preserve">Analisi complesse e/o di lunga durata ma che riconoscono la contraffazione o l’adulterazione.</w:t>
            </w:r>
            <w:r/>
          </w:p>
        </w:tc>
        <w:tc>
          <w:tcPr>
            <w:tcBorders/>
            <w:tcW w:w="2663" w:type="dxa"/>
            <w:vMerge w:val="restart"/>
            <w:textDirection w:val="lrTb"/>
            <w:noWrap w:val="false"/>
          </w:tcPr>
          <w:p>
            <w:pPr>
              <w:pBdr/>
              <w:spacing/>
              <w:ind/>
              <w:jc w:val="both"/>
              <w:rPr/>
            </w:pPr>
            <w:r>
              <w:t xml:space="preserve">Analisi per la rilevazione disponibili e attendibili.</w:t>
            </w:r>
            <w:r/>
          </w:p>
        </w:tc>
        <w:tc>
          <w:tcPr>
            <w:tcBorders/>
            <w:tcW w:w="2587" w:type="dxa"/>
            <w:vMerge w:val="restart"/>
            <w:textDirection w:val="lrTb"/>
            <w:noWrap w:val="false"/>
          </w:tcPr>
          <w:p>
            <w:pPr>
              <w:pBdr/>
              <w:spacing/>
              <w:ind/>
              <w:jc w:val="both"/>
              <w:rPr/>
            </w:pPr>
            <w:r>
              <w:t xml:space="preserve">Test rapidi e attendibili con risultati veloci.</w:t>
            </w:r>
            <w:r/>
          </w:p>
        </w:tc>
      </w:tr>
      <w:tr>
        <w:trPr>
          <w:trHeight w:val="540"/>
        </w:trPr>
        <w:tc>
          <w:tcPr>
            <w:tcBorders>
              <w:top w:val="none" w:color="000000" w:sz="4" w:space="0"/>
              <w:left w:val="single" w:color="auto" w:sz="4" w:space="0"/>
              <w:bottom w:val="none" w:color="000000" w:sz="4" w:space="0"/>
              <w:right w:val="single" w:color="auto" w:sz="4" w:space="0"/>
            </w:tcBorders>
            <w:tcW w:w="1740" w:type="dxa"/>
            <w:textDirection w:val="lrTb"/>
            <w:noWrap w:val="false"/>
          </w:tcPr>
          <w:p>
            <w:pPr>
              <w:pBdr/>
              <w:spacing/>
              <w:ind/>
              <w:jc w:val="both"/>
              <w:rPr>
                <w:b/>
                <w:bCs/>
                <w:u w:val="single"/>
              </w:rPr>
            </w:pPr>
            <w:r>
              <w:rPr>
                <w:b/>
                <w:bCs/>
              </w:rPr>
              <w:t xml:space="preserve">Da 9 a 12: </w:t>
            </w:r>
            <w:r>
              <w:rPr>
                <w:b/>
                <w:bCs/>
                <w:u w:val="single"/>
              </w:rPr>
              <w:t xml:space="preserve">sufficiente (2)</w:t>
            </w:r>
            <w:r>
              <w:rPr>
                <w:b/>
                <w:bCs/>
                <w:u w:val="single"/>
              </w:rPr>
            </w:r>
          </w:p>
        </w:tc>
        <w:tc>
          <w:tcPr>
            <w:tcBorders>
              <w:left w:val="single" w:color="auto" w:sz="4" w:space="0"/>
              <w:bottom w:val="single" w:color="auto" w:sz="4" w:space="0"/>
            </w:tcBorders>
            <w:tcW w:w="2080" w:type="dxa"/>
            <w:vMerge w:val="continue"/>
            <w:textDirection w:val="lrTb"/>
            <w:noWrap w:val="false"/>
          </w:tcPr>
          <w:p>
            <w:pPr>
              <w:pBdr/>
              <w:spacing/>
              <w:ind/>
              <w:jc w:val="both"/>
              <w:rPr>
                <w:b/>
                <w:bCs/>
                <w:i/>
                <w:iCs/>
              </w:rPr>
            </w:pPr>
            <w:r>
              <w:rPr>
                <w:b/>
                <w:bCs/>
                <w:i/>
                <w:iCs/>
              </w:rPr>
            </w:r>
            <w:r>
              <w:rPr>
                <w:b/>
                <w:bCs/>
                <w:i/>
                <w:iCs/>
              </w:rPr>
            </w:r>
          </w:p>
        </w:tc>
        <w:tc>
          <w:tcPr>
            <w:tcBorders>
              <w:bottom w:val="single" w:color="auto" w:sz="4" w:space="0"/>
            </w:tcBorders>
            <w:tcW w:w="2516" w:type="dxa"/>
            <w:vMerge w:val="continue"/>
            <w:textDirection w:val="lrTb"/>
            <w:noWrap w:val="false"/>
          </w:tcPr>
          <w:p>
            <w:pPr>
              <w:pBdr/>
              <w:spacing/>
              <w:ind/>
              <w:jc w:val="both"/>
              <w:rPr/>
            </w:pPr>
            <w:r/>
            <w:r/>
          </w:p>
        </w:tc>
        <w:tc>
          <w:tcPr>
            <w:tcBorders>
              <w:bottom w:val="single" w:color="auto" w:sz="4" w:space="0"/>
            </w:tcBorders>
            <w:tcW w:w="2653" w:type="dxa"/>
            <w:vMerge w:val="continue"/>
            <w:textDirection w:val="lrTb"/>
            <w:noWrap w:val="false"/>
          </w:tcPr>
          <w:p>
            <w:pPr>
              <w:pBdr/>
              <w:spacing/>
              <w:ind/>
              <w:jc w:val="both"/>
              <w:rPr/>
            </w:pPr>
            <w:r/>
            <w:r/>
          </w:p>
        </w:tc>
        <w:tc>
          <w:tcPr>
            <w:tcBorders>
              <w:bottom w:val="single" w:color="auto" w:sz="4" w:space="0"/>
            </w:tcBorders>
            <w:tcW w:w="2663" w:type="dxa"/>
            <w:vMerge w:val="continue"/>
            <w:textDirection w:val="lrTb"/>
            <w:noWrap w:val="false"/>
          </w:tcPr>
          <w:p>
            <w:pPr>
              <w:pBdr/>
              <w:spacing/>
              <w:ind/>
              <w:jc w:val="both"/>
              <w:rPr/>
            </w:pPr>
            <w:r/>
            <w:r/>
          </w:p>
        </w:tc>
        <w:tc>
          <w:tcPr>
            <w:tcBorders>
              <w:bottom w:val="single" w:color="auto" w:sz="4" w:space="0"/>
            </w:tcBorders>
            <w:tcW w:w="2587" w:type="dxa"/>
            <w:vMerge w:val="continue"/>
            <w:textDirection w:val="lrTb"/>
            <w:noWrap w:val="false"/>
          </w:tcPr>
          <w:p>
            <w:pPr>
              <w:pBdr/>
              <w:spacing/>
              <w:ind/>
              <w:jc w:val="both"/>
              <w:rPr/>
            </w:pPr>
            <w:r/>
            <w:r/>
          </w:p>
        </w:tc>
      </w:tr>
      <w:tr>
        <w:trPr>
          <w:trHeight w:val="540"/>
        </w:trPr>
        <w:tc>
          <w:tcPr>
            <w:tcBorders>
              <w:top w:val="none" w:color="000000" w:sz="4" w:space="0"/>
              <w:left w:val="single" w:color="auto" w:sz="4" w:space="0"/>
              <w:bottom w:val="none" w:color="000000" w:sz="4" w:space="0"/>
              <w:right w:val="single" w:color="auto" w:sz="4" w:space="0"/>
            </w:tcBorders>
            <w:tcW w:w="1740" w:type="dxa"/>
            <w:textDirection w:val="lrTb"/>
            <w:noWrap w:val="false"/>
          </w:tcPr>
          <w:p>
            <w:pPr>
              <w:pBdr/>
              <w:spacing/>
              <w:ind/>
              <w:jc w:val="both"/>
              <w:rPr>
                <w:b/>
                <w:bCs/>
                <w:u w:val="single"/>
              </w:rPr>
            </w:pPr>
            <w:r>
              <w:rPr>
                <w:b/>
                <w:bCs/>
              </w:rPr>
              <w:t xml:space="preserve">Da 13 a 16: </w:t>
            </w:r>
            <w:r>
              <w:rPr>
                <w:b/>
                <w:bCs/>
                <w:u w:val="single"/>
              </w:rPr>
              <w:t xml:space="preserve">buono (3)</w:t>
            </w:r>
            <w:r>
              <w:rPr>
                <w:b/>
                <w:bCs/>
                <w:u w:val="single"/>
              </w:rPr>
            </w:r>
          </w:p>
        </w:tc>
        <w:tc>
          <w:tcPr>
            <w:tcBorders>
              <w:left w:val="single" w:color="auto" w:sz="4" w:space="0"/>
              <w:bottom w:val="none" w:color="000000" w:sz="4" w:space="0"/>
            </w:tcBorders>
            <w:tcW w:w="2080" w:type="dxa"/>
            <w:vMerge w:val="restart"/>
            <w:textDirection w:val="lrTb"/>
            <w:noWrap w:val="false"/>
          </w:tcPr>
          <w:p>
            <w:pPr>
              <w:pBdr/>
              <w:spacing/>
              <w:ind/>
              <w:jc w:val="both"/>
              <w:rPr>
                <w:b/>
                <w:bCs/>
                <w:i/>
                <w:iCs/>
              </w:rPr>
            </w:pPr>
            <w:r>
              <w:rPr>
                <w:b/>
                <w:bCs/>
                <w:i/>
                <w:iCs/>
              </w:rPr>
              <w:t xml:space="preserve">Tipologia della materia prima</w:t>
            </w:r>
            <w:r>
              <w:rPr>
                <w:b/>
                <w:bCs/>
                <w:i/>
                <w:iCs/>
              </w:rPr>
            </w:r>
          </w:p>
        </w:tc>
        <w:tc>
          <w:tcPr>
            <w:tcBorders>
              <w:bottom w:val="none" w:color="000000" w:sz="4" w:space="0"/>
            </w:tcBorders>
            <w:tcW w:w="2516" w:type="dxa"/>
            <w:vMerge w:val="restart"/>
            <w:textDirection w:val="lrTb"/>
            <w:noWrap w:val="false"/>
          </w:tcPr>
          <w:p>
            <w:pPr>
              <w:pBdr/>
              <w:spacing/>
              <w:ind/>
              <w:jc w:val="both"/>
              <w:rPr/>
            </w:pPr>
            <w:r>
              <w:t xml:space="preserve">Facilmente effettuabile contraffazione o adulterazione in base alla natura del prodotto.</w:t>
            </w:r>
            <w:r/>
          </w:p>
        </w:tc>
        <w:tc>
          <w:tcPr>
            <w:tcBorders>
              <w:bottom w:val="none" w:color="000000" w:sz="4" w:space="0"/>
            </w:tcBorders>
            <w:tcW w:w="2653" w:type="dxa"/>
            <w:vMerge w:val="restart"/>
            <w:textDirection w:val="lrTb"/>
            <w:noWrap w:val="false"/>
          </w:tcPr>
          <w:p>
            <w:pPr>
              <w:pBdr/>
              <w:spacing/>
              <w:ind/>
              <w:jc w:val="both"/>
              <w:rPr/>
            </w:pPr>
            <w:r>
              <w:t xml:space="preserve">Effettuabile contraffazione o adulterazione in base alla natura del prodotto.</w:t>
            </w:r>
            <w:r/>
          </w:p>
        </w:tc>
        <w:tc>
          <w:tcPr>
            <w:tcBorders>
              <w:bottom w:val="none" w:color="000000" w:sz="4" w:space="0"/>
            </w:tcBorders>
            <w:tcW w:w="2663" w:type="dxa"/>
            <w:vMerge w:val="restart"/>
            <w:textDirection w:val="lrTb"/>
            <w:noWrap w:val="false"/>
          </w:tcPr>
          <w:p>
            <w:pPr>
              <w:pBdr/>
              <w:spacing/>
              <w:ind/>
              <w:jc w:val="both"/>
              <w:rPr/>
            </w:pPr>
            <w:r>
              <w:t xml:space="preserve">Difficilmente effettuabile contraffazione o adulterazione in base alla natura del prodotto.</w:t>
            </w:r>
            <w:r/>
          </w:p>
        </w:tc>
        <w:tc>
          <w:tcPr>
            <w:tcBorders>
              <w:bottom w:val="none" w:color="000000" w:sz="4" w:space="0"/>
            </w:tcBorders>
            <w:tcW w:w="2587" w:type="dxa"/>
            <w:vMerge w:val="restart"/>
            <w:textDirection w:val="lrTb"/>
            <w:noWrap w:val="false"/>
          </w:tcPr>
          <w:p>
            <w:pPr>
              <w:pBdr/>
              <w:spacing/>
              <w:ind/>
              <w:jc w:val="both"/>
              <w:rPr/>
            </w:pPr>
            <w:r>
              <w:t xml:space="preserve">Non effettuabile contraffazione o adulterazione in base alla natura del prodotto.</w:t>
            </w:r>
            <w:r/>
          </w:p>
        </w:tc>
      </w:tr>
      <w:tr>
        <w:trPr>
          <w:trHeight w:val="540"/>
        </w:trPr>
        <w:tc>
          <w:tcPr>
            <w:tcBorders>
              <w:top w:val="none" w:color="000000" w:sz="4" w:space="0"/>
              <w:bottom w:val="single" w:color="auto" w:sz="4" w:space="0"/>
            </w:tcBorders>
            <w:tcW w:w="1740" w:type="dxa"/>
            <w:textDirection w:val="lrTb"/>
            <w:noWrap w:val="false"/>
          </w:tcPr>
          <w:p>
            <w:pPr>
              <w:pBdr/>
              <w:spacing/>
              <w:ind/>
              <w:jc w:val="both"/>
              <w:rPr>
                <w:u w:val="single"/>
              </w:rPr>
            </w:pPr>
            <w:r>
              <w:rPr>
                <w:b/>
                <w:bCs/>
              </w:rPr>
              <w:t xml:space="preserve">Da 17 a 20: </w:t>
            </w:r>
            <w:r>
              <w:rPr>
                <w:b/>
                <w:bCs/>
                <w:u w:val="single"/>
              </w:rPr>
              <w:t xml:space="preserve">ottimo (4)</w:t>
            </w:r>
            <w:r>
              <w:rPr>
                <w:u w:val="single"/>
              </w:rPr>
            </w:r>
          </w:p>
        </w:tc>
        <w:tc>
          <w:tcPr>
            <w:tcBorders>
              <w:bottom w:val="single" w:color="auto" w:sz="4" w:space="0"/>
            </w:tcBorders>
            <w:tcW w:w="2080" w:type="dxa"/>
            <w:vMerge w:val="continue"/>
            <w:textDirection w:val="lrTb"/>
            <w:noWrap w:val="false"/>
          </w:tcPr>
          <w:p>
            <w:pPr>
              <w:pBdr/>
              <w:spacing/>
              <w:ind/>
              <w:jc w:val="both"/>
              <w:rPr>
                <w:b/>
                <w:bCs/>
                <w:i/>
                <w:iCs/>
              </w:rPr>
            </w:pPr>
            <w:r>
              <w:rPr>
                <w:b/>
                <w:bCs/>
                <w:i/>
                <w:iCs/>
              </w:rPr>
            </w:r>
            <w:r>
              <w:rPr>
                <w:b/>
                <w:bCs/>
                <w:i/>
                <w:iCs/>
              </w:rPr>
            </w:r>
          </w:p>
        </w:tc>
        <w:tc>
          <w:tcPr>
            <w:tcBorders>
              <w:bottom w:val="single" w:color="auto" w:sz="4" w:space="0"/>
            </w:tcBorders>
            <w:tcW w:w="2516" w:type="dxa"/>
            <w:vMerge w:val="continue"/>
            <w:textDirection w:val="lrTb"/>
            <w:noWrap w:val="false"/>
          </w:tcPr>
          <w:p>
            <w:pPr>
              <w:pBdr/>
              <w:spacing/>
              <w:ind/>
              <w:jc w:val="both"/>
              <w:rPr/>
            </w:pPr>
            <w:r/>
            <w:r/>
          </w:p>
        </w:tc>
        <w:tc>
          <w:tcPr>
            <w:tcBorders>
              <w:bottom w:val="single" w:color="auto" w:sz="4" w:space="0"/>
            </w:tcBorders>
            <w:tcW w:w="2653" w:type="dxa"/>
            <w:vMerge w:val="continue"/>
            <w:textDirection w:val="lrTb"/>
            <w:noWrap w:val="false"/>
          </w:tcPr>
          <w:p>
            <w:pPr>
              <w:pBdr/>
              <w:spacing/>
              <w:ind/>
              <w:jc w:val="both"/>
              <w:rPr/>
            </w:pPr>
            <w:r/>
            <w:r/>
          </w:p>
        </w:tc>
        <w:tc>
          <w:tcPr>
            <w:tcBorders>
              <w:bottom w:val="single" w:color="auto" w:sz="4" w:space="0"/>
            </w:tcBorders>
            <w:tcW w:w="2663" w:type="dxa"/>
            <w:vMerge w:val="continue"/>
            <w:textDirection w:val="lrTb"/>
            <w:noWrap w:val="false"/>
          </w:tcPr>
          <w:p>
            <w:pPr>
              <w:pBdr/>
              <w:spacing/>
              <w:ind/>
              <w:jc w:val="both"/>
              <w:rPr/>
            </w:pPr>
            <w:r/>
            <w:r/>
          </w:p>
        </w:tc>
        <w:tc>
          <w:tcPr>
            <w:tcBorders>
              <w:bottom w:val="single" w:color="auto" w:sz="4" w:space="0"/>
            </w:tcBorders>
            <w:tcW w:w="2587" w:type="dxa"/>
            <w:vMerge w:val="continue"/>
            <w:textDirection w:val="lrTb"/>
            <w:noWrap w:val="false"/>
          </w:tcPr>
          <w:p>
            <w:pPr>
              <w:pBdr/>
              <w:spacing/>
              <w:ind/>
              <w:jc w:val="both"/>
              <w:rPr/>
            </w:pPr>
            <w:r/>
            <w:r/>
          </w:p>
        </w:tc>
      </w:tr>
    </w:tbl>
    <w:p>
      <w:pPr>
        <w:pBdr/>
        <w:spacing/>
        <w:ind/>
        <w:jc w:val="both"/>
        <w:rPr/>
      </w:pPr>
      <w:r/>
      <w:r/>
    </w:p>
    <w:p>
      <w:pPr>
        <w:pBdr/>
        <w:spacing/>
        <w:ind/>
        <w:jc w:val="both"/>
        <w:rPr/>
      </w:pPr>
      <w:r>
        <w:t xml:space="preserve">T</w:t>
      </w:r>
      <w:r>
        <w:t xml:space="preserve">ale sistema di valutazione, oltre a permettere di stabilire se la materia prima fornita è a rischio basso o alto, permette di valutare anche il livello di sicurezza alimentare complessiva del prodotto fornito. Nel caso in cui una materia prima abbia anche </w:t>
      </w:r>
      <w:r>
        <w:rPr>
          <w:u w:val="single"/>
        </w:rPr>
        <w:t xml:space="preserve">un</w:t>
      </w:r>
      <w:r>
        <w:t xml:space="preserve"> </w:t>
      </w:r>
      <w:r>
        <w:rPr>
          <w:u w:val="single"/>
        </w:rPr>
        <w:t xml:space="preserve">solo voto insufficiente</w:t>
      </w:r>
      <w:r>
        <w:t xml:space="preserve"> </w:t>
      </w:r>
      <w:r>
        <w:t xml:space="preserve">(&lt; 8 per adulterazione e contraffazione) verranno richiesti documenti integrativi alla ditta che lo fornisce, e nel caso anche essi siano insoddisfacenti, la materia prima sarà indicata come “a rischio ALTO”. </w:t>
      </w:r>
      <w:r/>
    </w:p>
    <w:p>
      <w:pPr>
        <w:pBdr/>
        <w:tabs>
          <w:tab w:val="left" w:leader="none" w:pos="1575"/>
        </w:tabs>
        <w:spacing/>
        <w:ind/>
        <w:rPr/>
      </w:pPr>
      <w:r/>
      <w:r/>
    </w:p>
    <w:p>
      <w:pPr>
        <w:pBdr/>
        <w:tabs>
          <w:tab w:val="left" w:leader="none" w:pos="1575"/>
        </w:tabs>
        <w:spacing/>
        <w:ind/>
        <w:rPr/>
        <w:sectPr>
          <w:footnotePr/>
          <w:endnotePr/>
          <w:type w:val="nextPage"/>
          <w:pgSz w:h="11906" w:orient="landscape" w:w="16838"/>
          <w:pgMar w:top="1134" w:right="1417" w:bottom="1134" w:left="1134" w:header="708" w:footer="708" w:gutter="0"/>
          <w:cols w:num="1" w:sep="0" w:space="708" w:equalWidth="1"/>
        </w:sectPr>
      </w:pPr>
      <w:r>
        <w:tab/>
      </w:r>
      <w:r/>
    </w:p>
    <w:tbl>
      <w:tblPr>
        <w:tblInd w:w="38" w:type="dxa"/>
        <w:tblW w:w="0" w:type="auto"/>
        <w:tblBorders/>
        <w:tblLook w:val="04A0" w:firstRow="1" w:lastRow="0" w:firstColumn="1" w:lastColumn="0" w:noHBand="0" w:noVBand="1"/>
        <w:tblStyle w:val="839"/>
      </w:tblPr>
      <w:tblGrid>
        <w:gridCol w:w="1375"/>
        <w:gridCol w:w="3260"/>
        <w:gridCol w:w="2268"/>
        <w:gridCol w:w="2126"/>
        <w:gridCol w:w="2268"/>
        <w:gridCol w:w="2942"/>
      </w:tblGrid>
      <w:tr>
        <w:trPr/>
        <w:tc>
          <w:tcPr>
            <w:gridSpan w:val="2"/>
            <w:shd w:val="clear" w:color="auto" w:fill="fabf8f" w:themeFill="accent6" w:themeFillTint="99"/>
            <w:tcBorders/>
            <w:tcW w:w="4635" w:type="dxa"/>
            <w:vMerge w:val="restart"/>
            <w:textDirection w:val="lrTb"/>
            <w:noWrap w:val="false"/>
          </w:tcPr>
          <w:p>
            <w:pPr>
              <w:pBdr/>
              <w:spacing/>
              <w:ind/>
              <w:jc w:val="center"/>
              <w:rPr>
                <w:b/>
                <w:bCs/>
              </w:rPr>
            </w:pPr>
            <w:r>
              <w:rPr>
                <w:b/>
                <w:bCs/>
              </w:rPr>
              <w:t xml:space="preserve">DOMANDA:</w:t>
            </w:r>
            <w:r>
              <w:rPr>
                <w:b/>
                <w:bCs/>
              </w:rPr>
            </w:r>
          </w:p>
        </w:tc>
        <w:tc>
          <w:tcPr>
            <w:gridSpan w:val="4"/>
            <w:shd w:val="clear" w:color="auto" w:fill="fabf8f" w:themeFill="accent6" w:themeFillTint="99"/>
            <w:tcBorders/>
            <w:tcW w:w="9604" w:type="dxa"/>
            <w:textDirection w:val="lrTb"/>
            <w:noWrap w:val="false"/>
          </w:tcPr>
          <w:p>
            <w:pPr>
              <w:pBdr/>
              <w:spacing/>
              <w:ind/>
              <w:jc w:val="center"/>
              <w:rPr>
                <w:b/>
                <w:bCs/>
              </w:rPr>
            </w:pPr>
            <w:r>
              <w:rPr>
                <w:b/>
                <w:bCs/>
              </w:rPr>
              <w:t xml:space="preserve">VALORE ASSEGNATO</w:t>
            </w:r>
            <w:r>
              <w:rPr>
                <w:b/>
                <w:bCs/>
              </w:rPr>
            </w:r>
          </w:p>
        </w:tc>
      </w:tr>
      <w:tr>
        <w:trPr/>
        <w:tc>
          <w:tcPr>
            <w:gridSpan w:val="2"/>
            <w:shd w:val="clear" w:color="auto" w:fill="fabf8f" w:themeFill="accent6" w:themeFillTint="99"/>
            <w:tcBorders>
              <w:bottom w:val="single" w:color="auto" w:sz="4" w:space="0"/>
            </w:tcBorders>
            <w:tcW w:w="4635" w:type="dxa"/>
            <w:vMerge w:val="continue"/>
            <w:textDirection w:val="lrTb"/>
            <w:noWrap w:val="false"/>
          </w:tcPr>
          <w:p>
            <w:pPr>
              <w:pStyle w:val="834"/>
              <w:pBdr/>
              <w:spacing/>
              <w:ind/>
              <w:rPr>
                <w:b/>
                <w:bCs/>
              </w:rPr>
            </w:pPr>
            <w:r>
              <w:rPr>
                <w:b/>
                <w:bCs/>
              </w:rPr>
            </w:r>
            <w:r>
              <w:rPr>
                <w:b/>
                <w:bCs/>
              </w:rPr>
            </w:r>
          </w:p>
        </w:tc>
        <w:tc>
          <w:tcPr>
            <w:shd w:val="clear" w:color="auto" w:fill="fabf8f" w:themeFill="accent6" w:themeFillTint="99"/>
            <w:tcBorders/>
            <w:tcW w:w="2268" w:type="dxa"/>
            <w:textDirection w:val="lrTb"/>
            <w:noWrap w:val="false"/>
          </w:tcPr>
          <w:p>
            <w:pPr>
              <w:pBdr/>
              <w:spacing/>
              <w:ind/>
              <w:jc w:val="center"/>
              <w:rPr>
                <w:b/>
                <w:bCs/>
              </w:rPr>
            </w:pPr>
            <w:r>
              <w:rPr>
                <w:b/>
                <w:bCs/>
              </w:rPr>
              <w:t xml:space="preserve">1.INSUFFICIENTE</w:t>
            </w:r>
            <w:r>
              <w:rPr>
                <w:b/>
                <w:bCs/>
              </w:rPr>
            </w:r>
          </w:p>
        </w:tc>
        <w:tc>
          <w:tcPr>
            <w:shd w:val="clear" w:color="auto" w:fill="fabf8f" w:themeFill="accent6" w:themeFillTint="99"/>
            <w:tcBorders/>
            <w:tcW w:w="2126" w:type="dxa"/>
            <w:textDirection w:val="lrTb"/>
            <w:noWrap w:val="false"/>
          </w:tcPr>
          <w:p>
            <w:pPr>
              <w:pBdr/>
              <w:spacing/>
              <w:ind/>
              <w:jc w:val="center"/>
              <w:rPr>
                <w:b/>
                <w:bCs/>
              </w:rPr>
            </w:pPr>
            <w:r>
              <w:rPr>
                <w:b/>
                <w:bCs/>
              </w:rPr>
              <w:t xml:space="preserve">2.SUFFICIENTE</w:t>
            </w:r>
            <w:r>
              <w:rPr>
                <w:b/>
                <w:bCs/>
              </w:rPr>
            </w:r>
          </w:p>
        </w:tc>
        <w:tc>
          <w:tcPr>
            <w:shd w:val="clear" w:color="auto" w:fill="fabf8f" w:themeFill="accent6" w:themeFillTint="99"/>
            <w:tcBorders/>
            <w:tcW w:w="2268" w:type="dxa"/>
            <w:textDirection w:val="lrTb"/>
            <w:noWrap w:val="false"/>
          </w:tcPr>
          <w:p>
            <w:pPr>
              <w:pBdr/>
              <w:spacing/>
              <w:ind/>
              <w:jc w:val="center"/>
              <w:rPr>
                <w:b/>
                <w:bCs/>
              </w:rPr>
            </w:pPr>
            <w:r>
              <w:rPr>
                <w:b/>
                <w:bCs/>
              </w:rPr>
              <w:t xml:space="preserve">3.BUONO</w:t>
            </w:r>
            <w:r>
              <w:rPr>
                <w:b/>
                <w:bCs/>
              </w:rPr>
            </w:r>
          </w:p>
        </w:tc>
        <w:tc>
          <w:tcPr>
            <w:shd w:val="clear" w:color="auto" w:fill="fabf8f" w:themeFill="accent6" w:themeFillTint="99"/>
            <w:tcBorders/>
            <w:tcW w:w="2942" w:type="dxa"/>
            <w:textDirection w:val="lrTb"/>
            <w:noWrap w:val="false"/>
          </w:tcPr>
          <w:p>
            <w:pPr>
              <w:pStyle w:val="834"/>
              <w:pBdr/>
              <w:spacing/>
              <w:ind/>
              <w:rPr>
                <w:b/>
                <w:bCs/>
              </w:rPr>
            </w:pPr>
            <w:r>
              <w:rPr>
                <w:b/>
                <w:bCs/>
              </w:rPr>
              <w:t xml:space="preserve">4.OTTIMO</w:t>
            </w:r>
            <w:r>
              <w:rPr>
                <w:b/>
                <w:bCs/>
              </w:rPr>
            </w:r>
          </w:p>
        </w:tc>
      </w:tr>
      <w:tr>
        <w:trPr/>
        <w:tc>
          <w:tcPr>
            <w:tcBorders>
              <w:top w:val="single" w:color="auto" w:sz="4" w:space="0"/>
              <w:left w:val="single" w:color="auto" w:sz="4" w:space="0"/>
            </w:tcBorders>
            <w:tcW w:w="1375" w:type="dxa"/>
            <w:vAlign w:val="center"/>
            <w:vMerge w:val="restart"/>
            <w:textDirection w:val="lrTb"/>
            <w:noWrap w:val="false"/>
          </w:tcPr>
          <w:p>
            <w:pPr>
              <w:pBdr/>
              <w:spacing/>
              <w:ind/>
              <w:jc w:val="center"/>
              <w:rPr>
                <w:b/>
                <w:bCs/>
              </w:rPr>
            </w:pPr>
            <w:r>
              <w:rPr>
                <w:b/>
                <w:bCs/>
              </w:rPr>
              <w:t xml:space="preserve">AMBIENTE</w:t>
            </w:r>
            <w:r>
              <w:rPr>
                <w:b/>
                <w:bCs/>
              </w:rPr>
            </w:r>
          </w:p>
        </w:tc>
        <w:tc>
          <w:tcPr>
            <w:tcBorders>
              <w:top w:val="single" w:color="auto" w:sz="4" w:space="0"/>
              <w:left w:val="single" w:color="auto" w:sz="4" w:space="0"/>
              <w:bottom w:val="single" w:color="auto" w:sz="4" w:space="0"/>
            </w:tcBorders>
            <w:tcW w:w="3260" w:type="dxa"/>
            <w:textDirection w:val="lrTb"/>
            <w:noWrap w:val="false"/>
          </w:tcPr>
          <w:p>
            <w:pPr>
              <w:pBdr/>
              <w:spacing/>
              <w:ind/>
              <w:jc w:val="both"/>
              <w:rPr/>
            </w:pPr>
            <w:r>
              <w:t xml:space="preserve">Politica Ambientale</w:t>
            </w:r>
            <w:r/>
          </w:p>
        </w:tc>
        <w:tc>
          <w:tcPr>
            <w:tcBorders/>
            <w:tcW w:w="2268" w:type="dxa"/>
            <w:textDirection w:val="lrTb"/>
            <w:noWrap w:val="false"/>
          </w:tcPr>
          <w:p>
            <w:pPr>
              <w:pBdr/>
              <w:spacing/>
              <w:ind/>
              <w:jc w:val="both"/>
              <w:rPr/>
            </w:pPr>
            <w:r>
              <w:t xml:space="preserve">Nessuna politica fornita</w:t>
            </w:r>
            <w:r/>
          </w:p>
        </w:tc>
        <w:tc>
          <w:tcPr>
            <w:tcBorders/>
            <w:tcW w:w="2126" w:type="dxa"/>
            <w:textDirection w:val="lrTb"/>
            <w:noWrap w:val="false"/>
          </w:tcPr>
          <w:p>
            <w:pPr>
              <w:pBdr/>
              <w:spacing/>
              <w:ind/>
              <w:jc w:val="both"/>
              <w:rPr/>
            </w:pPr>
            <w:r>
              <w:t xml:space="preserve">Politica generica non formalizzata</w:t>
            </w:r>
            <w:r/>
          </w:p>
        </w:tc>
        <w:tc>
          <w:tcPr>
            <w:tcBorders/>
            <w:tcW w:w="2268" w:type="dxa"/>
            <w:textDirection w:val="lrTb"/>
            <w:noWrap w:val="false"/>
          </w:tcPr>
          <w:p>
            <w:pPr>
              <w:pBdr/>
              <w:spacing/>
              <w:ind/>
              <w:jc w:val="both"/>
              <w:rPr/>
            </w:pPr>
            <w:r>
              <w:t xml:space="preserve">Politica formalizzata esibita</w:t>
            </w:r>
            <w:r/>
          </w:p>
        </w:tc>
        <w:tc>
          <w:tcPr>
            <w:tcBorders/>
            <w:tcW w:w="2942" w:type="dxa"/>
            <w:textDirection w:val="lrTb"/>
            <w:noWrap w:val="false"/>
          </w:tcPr>
          <w:p>
            <w:pPr>
              <w:pBdr/>
              <w:spacing/>
              <w:ind/>
              <w:jc w:val="both"/>
              <w:rPr/>
            </w:pPr>
            <w:r>
              <w:t xml:space="preserve">Politica formalizzata e certificata/ documentata</w:t>
            </w:r>
            <w:r/>
          </w:p>
        </w:tc>
      </w:tr>
      <w:tr>
        <w:trPr/>
        <w:tc>
          <w:tcPr>
            <w:tcBorders>
              <w:left w:val="single" w:color="auto" w:sz="4" w:space="0"/>
            </w:tcBorders>
            <w:tcW w:w="1375" w:type="dxa"/>
            <w:vMerge w:val="continue"/>
            <w:textDirection w:val="lrTb"/>
            <w:noWrap w:val="false"/>
          </w:tcPr>
          <w:p>
            <w:pPr>
              <w:pBdr/>
              <w:spacing/>
              <w:ind/>
              <w:jc w:val="both"/>
              <w:rPr/>
            </w:pPr>
            <w:r/>
            <w:r/>
          </w:p>
        </w:tc>
        <w:tc>
          <w:tcPr>
            <w:tcBorders>
              <w:top w:val="single" w:color="auto" w:sz="4" w:space="0"/>
              <w:left w:val="single" w:color="auto" w:sz="4" w:space="0"/>
              <w:bottom w:val="single" w:color="auto" w:sz="4" w:space="0"/>
            </w:tcBorders>
            <w:tcW w:w="3260" w:type="dxa"/>
            <w:textDirection w:val="lrTb"/>
            <w:noWrap w:val="false"/>
          </w:tcPr>
          <w:p>
            <w:pPr>
              <w:pBdr/>
              <w:spacing/>
              <w:ind/>
              <w:jc w:val="both"/>
              <w:rPr/>
            </w:pPr>
            <w:r>
              <w:t xml:space="preserve">Sistema di monitoraggio ambientale (energia, rifiuti)</w:t>
            </w:r>
            <w:r/>
          </w:p>
        </w:tc>
        <w:tc>
          <w:tcPr>
            <w:tcBorders/>
            <w:tcW w:w="2268" w:type="dxa"/>
            <w:textDirection w:val="lrTb"/>
            <w:noWrap w:val="false"/>
          </w:tcPr>
          <w:p>
            <w:pPr>
              <w:pBdr/>
              <w:spacing/>
              <w:ind/>
              <w:jc w:val="both"/>
              <w:rPr/>
            </w:pPr>
            <w:r>
              <w:t xml:space="preserve">Nessun sistema implementato</w:t>
            </w:r>
            <w:r/>
          </w:p>
        </w:tc>
        <w:tc>
          <w:tcPr>
            <w:tcBorders/>
            <w:tcW w:w="2126" w:type="dxa"/>
            <w:textDirection w:val="lrTb"/>
            <w:noWrap w:val="false"/>
          </w:tcPr>
          <w:p>
            <w:pPr>
              <w:pBdr/>
              <w:spacing/>
              <w:ind/>
              <w:jc w:val="both"/>
              <w:rPr/>
            </w:pPr>
            <w:r>
              <w:t xml:space="preserve">Monitoraggio base e non documentato</w:t>
            </w:r>
            <w:r/>
          </w:p>
        </w:tc>
        <w:tc>
          <w:tcPr>
            <w:tcBorders/>
            <w:tcW w:w="2268" w:type="dxa"/>
            <w:textDirection w:val="lrTb"/>
            <w:noWrap w:val="false"/>
          </w:tcPr>
          <w:p>
            <w:pPr>
              <w:pBdr/>
              <w:spacing/>
              <w:ind/>
              <w:jc w:val="both"/>
              <w:rPr/>
            </w:pPr>
            <w:r>
              <w:t xml:space="preserve">Monitoraggio periodico formalizzato</w:t>
            </w:r>
            <w:r/>
          </w:p>
        </w:tc>
        <w:tc>
          <w:tcPr>
            <w:tcBorders/>
            <w:tcW w:w="2942" w:type="dxa"/>
            <w:textDirection w:val="lrTb"/>
            <w:noWrap w:val="false"/>
          </w:tcPr>
          <w:p>
            <w:pPr>
              <w:pBdr/>
              <w:spacing/>
              <w:ind/>
              <w:jc w:val="both"/>
              <w:rPr/>
            </w:pPr>
            <w:r>
              <w:t xml:space="preserve">Monitoraggio periodico con report e miglioramenti</w:t>
            </w:r>
            <w:r/>
          </w:p>
        </w:tc>
      </w:tr>
      <w:tr>
        <w:trPr/>
        <w:tc>
          <w:tcPr>
            <w:tcBorders>
              <w:left w:val="single" w:color="auto" w:sz="4" w:space="0"/>
            </w:tcBorders>
            <w:tcW w:w="1375" w:type="dxa"/>
            <w:vMerge w:val="continue"/>
            <w:textDirection w:val="lrTb"/>
            <w:noWrap w:val="false"/>
          </w:tcPr>
          <w:p>
            <w:pPr>
              <w:pBdr/>
              <w:spacing/>
              <w:ind/>
              <w:jc w:val="both"/>
              <w:rPr/>
            </w:pPr>
            <w:r/>
            <w:r/>
          </w:p>
        </w:tc>
        <w:tc>
          <w:tcPr>
            <w:tcBorders>
              <w:top w:val="single" w:color="auto" w:sz="4" w:space="0"/>
              <w:left w:val="single" w:color="auto" w:sz="4" w:space="0"/>
              <w:bottom w:val="single" w:color="auto" w:sz="4" w:space="0"/>
            </w:tcBorders>
            <w:tcW w:w="3260" w:type="dxa"/>
            <w:textDirection w:val="lrTb"/>
            <w:noWrap w:val="false"/>
          </w:tcPr>
          <w:p>
            <w:pPr>
              <w:pBdr/>
              <w:spacing/>
              <w:ind/>
              <w:jc w:val="both"/>
              <w:rPr/>
            </w:pPr>
            <w:r>
              <w:t xml:space="preserve">Tecnologie risparmio idrico (es. riciclo delle acque reflue)</w:t>
            </w:r>
            <w:r/>
          </w:p>
        </w:tc>
        <w:tc>
          <w:tcPr>
            <w:tcBorders/>
            <w:tcW w:w="2268" w:type="dxa"/>
            <w:textDirection w:val="lrTb"/>
            <w:noWrap w:val="false"/>
          </w:tcPr>
          <w:p>
            <w:pPr>
              <w:pBdr/>
              <w:spacing/>
              <w:ind/>
              <w:jc w:val="both"/>
              <w:rPr/>
            </w:pPr>
            <w:r>
              <w:t xml:space="preserve">Nessuna tecnologia implementata</w:t>
            </w:r>
            <w:r/>
          </w:p>
        </w:tc>
        <w:tc>
          <w:tcPr>
            <w:tcBorders/>
            <w:tcW w:w="2126" w:type="dxa"/>
            <w:textDirection w:val="lrTb"/>
            <w:noWrap w:val="false"/>
          </w:tcPr>
          <w:p>
            <w:pPr>
              <w:pBdr/>
              <w:spacing/>
              <w:ind/>
              <w:jc w:val="both"/>
              <w:rPr/>
            </w:pPr>
            <w:r>
              <w:t xml:space="preserve">Tecnologia base o in fase di valutazione</w:t>
            </w:r>
            <w:r/>
          </w:p>
        </w:tc>
        <w:tc>
          <w:tcPr>
            <w:tcBorders/>
            <w:tcW w:w="2268" w:type="dxa"/>
            <w:textDirection w:val="lrTb"/>
            <w:noWrap w:val="false"/>
          </w:tcPr>
          <w:p>
            <w:pPr>
              <w:pBdr/>
              <w:spacing/>
              <w:ind/>
              <w:jc w:val="both"/>
              <w:rPr/>
            </w:pPr>
            <w:r>
              <w:t xml:space="preserve">Tecnologie implementate e funzionanti</w:t>
            </w:r>
            <w:r/>
          </w:p>
        </w:tc>
        <w:tc>
          <w:tcPr>
            <w:tcBorders/>
            <w:tcW w:w="2942" w:type="dxa"/>
            <w:textDirection w:val="lrTb"/>
            <w:noWrap w:val="false"/>
          </w:tcPr>
          <w:p>
            <w:pPr>
              <w:pBdr/>
              <w:spacing/>
              <w:ind/>
              <w:jc w:val="both"/>
              <w:rPr/>
            </w:pPr>
            <w:r>
              <w:t xml:space="preserve">Tecnologie avanzate e monitorate con risultati documentati</w:t>
            </w:r>
            <w:r/>
          </w:p>
        </w:tc>
      </w:tr>
      <w:tr>
        <w:trPr/>
        <w:tc>
          <w:tcPr>
            <w:tcBorders>
              <w:left w:val="single" w:color="auto" w:sz="4" w:space="0"/>
            </w:tcBorders>
            <w:tcW w:w="1375" w:type="dxa"/>
            <w:vMerge w:val="continue"/>
            <w:textDirection w:val="lrTb"/>
            <w:noWrap w:val="false"/>
          </w:tcPr>
          <w:p>
            <w:pPr>
              <w:pBdr/>
              <w:spacing/>
              <w:ind/>
              <w:jc w:val="both"/>
              <w:rPr/>
            </w:pPr>
            <w:r/>
            <w:r/>
          </w:p>
        </w:tc>
        <w:tc>
          <w:tcPr>
            <w:tcBorders>
              <w:top w:val="single" w:color="auto" w:sz="4" w:space="0"/>
              <w:left w:val="single" w:color="auto" w:sz="4" w:space="0"/>
              <w:bottom w:val="single" w:color="auto" w:sz="4" w:space="0"/>
            </w:tcBorders>
            <w:tcW w:w="3260" w:type="dxa"/>
            <w:textDirection w:val="lrTb"/>
            <w:noWrap w:val="false"/>
          </w:tcPr>
          <w:p>
            <w:pPr>
              <w:pBdr/>
              <w:spacing/>
              <w:ind/>
              <w:jc w:val="both"/>
              <w:rPr/>
            </w:pPr>
            <w:r>
              <w:t xml:space="preserve">Misure per gestione dell’inquinamento suolo e sottosuolo</w:t>
            </w:r>
            <w:r/>
          </w:p>
        </w:tc>
        <w:tc>
          <w:tcPr>
            <w:tcBorders/>
            <w:tcW w:w="2268" w:type="dxa"/>
            <w:textDirection w:val="lrTb"/>
            <w:noWrap w:val="false"/>
          </w:tcPr>
          <w:p>
            <w:pPr>
              <w:pBdr/>
              <w:spacing/>
              <w:ind/>
              <w:jc w:val="both"/>
              <w:rPr/>
            </w:pPr>
            <w:r>
              <w:t xml:space="preserve">Nessuna misura adottata</w:t>
            </w:r>
            <w:r/>
          </w:p>
        </w:tc>
        <w:tc>
          <w:tcPr>
            <w:tcBorders/>
            <w:tcW w:w="2126" w:type="dxa"/>
            <w:textDirection w:val="lrTb"/>
            <w:noWrap w:val="false"/>
          </w:tcPr>
          <w:p>
            <w:pPr>
              <w:pBdr/>
              <w:spacing/>
              <w:ind/>
              <w:jc w:val="both"/>
              <w:rPr/>
            </w:pPr>
            <w:r>
              <w:t xml:space="preserve">Misure minimali o in fase di sviluppo</w:t>
            </w:r>
            <w:r/>
          </w:p>
        </w:tc>
        <w:tc>
          <w:tcPr>
            <w:tcBorders/>
            <w:tcW w:w="2268" w:type="dxa"/>
            <w:textDirection w:val="lrTb"/>
            <w:noWrap w:val="false"/>
          </w:tcPr>
          <w:p>
            <w:pPr>
              <w:pBdr/>
              <w:spacing/>
              <w:ind/>
              <w:jc w:val="both"/>
              <w:rPr/>
            </w:pPr>
            <w:r>
              <w:t xml:space="preserve">Misure implementate e monitorate</w:t>
            </w:r>
            <w:r/>
          </w:p>
        </w:tc>
        <w:tc>
          <w:tcPr>
            <w:tcBorders/>
            <w:tcW w:w="2942" w:type="dxa"/>
            <w:textDirection w:val="lrTb"/>
            <w:noWrap w:val="false"/>
          </w:tcPr>
          <w:p>
            <w:pPr>
              <w:pBdr/>
              <w:spacing/>
              <w:ind/>
              <w:jc w:val="both"/>
              <w:rPr/>
            </w:pPr>
            <w:r>
              <w:t xml:space="preserve">Misure preventive complete e monitoraggio efficace</w:t>
            </w:r>
            <w:r/>
          </w:p>
        </w:tc>
      </w:tr>
      <w:tr>
        <w:trPr/>
        <w:tc>
          <w:tcPr>
            <w:tcBorders>
              <w:left w:val="single" w:color="auto" w:sz="4" w:space="0"/>
            </w:tcBorders>
            <w:tcW w:w="1375" w:type="dxa"/>
            <w:vMerge w:val="continue"/>
            <w:textDirection w:val="lrTb"/>
            <w:noWrap w:val="false"/>
          </w:tcPr>
          <w:p>
            <w:pPr>
              <w:pBdr/>
              <w:spacing/>
              <w:ind/>
              <w:jc w:val="both"/>
              <w:rPr/>
            </w:pPr>
            <w:r/>
            <w:r/>
          </w:p>
        </w:tc>
        <w:tc>
          <w:tcPr>
            <w:tcBorders>
              <w:top w:val="single" w:color="auto" w:sz="4" w:space="0"/>
              <w:left w:val="single" w:color="auto" w:sz="4" w:space="0"/>
              <w:bottom w:val="single" w:color="auto" w:sz="4" w:space="0"/>
            </w:tcBorders>
            <w:tcW w:w="3260" w:type="dxa"/>
            <w:textDirection w:val="lrTb"/>
            <w:noWrap w:val="false"/>
          </w:tcPr>
          <w:p>
            <w:pPr>
              <w:pBdr/>
              <w:spacing/>
              <w:ind/>
              <w:jc w:val="both"/>
              <w:rPr/>
            </w:pPr>
            <w:r>
              <w:t xml:space="preserve">Programma formazione personale su ambiente</w:t>
            </w:r>
            <w:r/>
          </w:p>
        </w:tc>
        <w:tc>
          <w:tcPr>
            <w:tcBorders/>
            <w:tcW w:w="2268" w:type="dxa"/>
            <w:textDirection w:val="lrTb"/>
            <w:noWrap w:val="false"/>
          </w:tcPr>
          <w:p>
            <w:pPr>
              <w:pBdr/>
              <w:spacing/>
              <w:ind/>
              <w:jc w:val="both"/>
              <w:rPr/>
            </w:pPr>
            <w:r>
              <w:t xml:space="preserve">Nessun programma</w:t>
            </w:r>
            <w:r/>
          </w:p>
        </w:tc>
        <w:tc>
          <w:tcPr>
            <w:tcBorders/>
            <w:tcW w:w="2126" w:type="dxa"/>
            <w:textDirection w:val="lrTb"/>
            <w:noWrap w:val="false"/>
          </w:tcPr>
          <w:p>
            <w:pPr>
              <w:pBdr/>
              <w:spacing/>
              <w:ind/>
              <w:jc w:val="both"/>
              <w:rPr/>
            </w:pPr>
            <w:r>
              <w:t xml:space="preserve">Programma generico o saltuario</w:t>
            </w:r>
            <w:r/>
          </w:p>
        </w:tc>
        <w:tc>
          <w:tcPr>
            <w:tcBorders/>
            <w:tcW w:w="2268" w:type="dxa"/>
            <w:textDirection w:val="lrTb"/>
            <w:noWrap w:val="false"/>
          </w:tcPr>
          <w:p>
            <w:pPr>
              <w:pBdr/>
              <w:spacing/>
              <w:ind/>
              <w:jc w:val="both"/>
              <w:rPr/>
            </w:pPr>
            <w:r>
              <w:t xml:space="preserve">Programma strutturato e regolare</w:t>
            </w:r>
            <w:r/>
          </w:p>
        </w:tc>
        <w:tc>
          <w:tcPr>
            <w:tcBorders/>
            <w:tcW w:w="2942" w:type="dxa"/>
            <w:textDirection w:val="lrTb"/>
            <w:noWrap w:val="false"/>
          </w:tcPr>
          <w:p>
            <w:pPr>
              <w:pBdr/>
              <w:spacing/>
              <w:ind/>
              <w:jc w:val="both"/>
              <w:rPr/>
            </w:pPr>
            <w:r>
              <w:t xml:space="preserve">Programma costante con verifica efficienza</w:t>
            </w:r>
            <w:r/>
          </w:p>
        </w:tc>
      </w:tr>
      <w:tr>
        <w:trPr/>
        <w:tc>
          <w:tcPr>
            <w:tcBorders>
              <w:left w:val="single" w:color="auto" w:sz="4" w:space="0"/>
              <w:bottom w:val="single" w:color="auto" w:sz="4" w:space="0"/>
            </w:tcBorders>
            <w:tcW w:w="1375" w:type="dxa"/>
            <w:vMerge w:val="continue"/>
            <w:textDirection w:val="lrTb"/>
            <w:noWrap w:val="false"/>
          </w:tcPr>
          <w:p>
            <w:pPr>
              <w:pBdr/>
              <w:spacing/>
              <w:ind/>
              <w:jc w:val="both"/>
              <w:rPr/>
            </w:pPr>
            <w:r/>
            <w:r/>
          </w:p>
        </w:tc>
        <w:tc>
          <w:tcPr>
            <w:tcBorders>
              <w:top w:val="none" w:color="000000" w:sz="4" w:space="0"/>
              <w:left w:val="single" w:color="auto" w:sz="4" w:space="0"/>
              <w:bottom w:val="single" w:color="auto" w:sz="4" w:space="0"/>
            </w:tcBorders>
            <w:tcW w:w="3260" w:type="dxa"/>
            <w:textDirection w:val="lrTb"/>
            <w:noWrap w:val="false"/>
          </w:tcPr>
          <w:p>
            <w:pPr>
              <w:pBdr/>
              <w:spacing/>
              <w:ind/>
              <w:jc w:val="both"/>
              <w:rPr/>
            </w:pPr>
            <w:r>
              <w:t xml:space="preserve">Percentuale energia da fonti rinnovabili</w:t>
            </w:r>
            <w:r/>
          </w:p>
        </w:tc>
        <w:tc>
          <w:tcPr>
            <w:tcBorders/>
            <w:tcW w:w="2268" w:type="dxa"/>
            <w:textDirection w:val="lrTb"/>
            <w:noWrap w:val="false"/>
          </w:tcPr>
          <w:p>
            <w:pPr>
              <w:pBdr/>
              <w:spacing/>
              <w:ind/>
              <w:jc w:val="both"/>
              <w:rPr/>
            </w:pPr>
            <w:r>
              <w:t xml:space="preserve">Nessun dato fornito</w:t>
            </w:r>
            <w:r/>
          </w:p>
        </w:tc>
        <w:tc>
          <w:tcPr>
            <w:tcBorders/>
            <w:tcW w:w="2126" w:type="dxa"/>
            <w:textDirection w:val="lrTb"/>
            <w:noWrap w:val="false"/>
          </w:tcPr>
          <w:p>
            <w:pPr>
              <w:pBdr/>
              <w:spacing/>
              <w:ind/>
              <w:jc w:val="both"/>
              <w:rPr/>
            </w:pPr>
            <w:r>
              <w:t xml:space="preserve">Dati generici</w:t>
            </w:r>
            <w:r/>
          </w:p>
        </w:tc>
        <w:tc>
          <w:tcPr>
            <w:tcBorders/>
            <w:tcW w:w="2268" w:type="dxa"/>
            <w:textDirection w:val="lrTb"/>
            <w:noWrap w:val="false"/>
          </w:tcPr>
          <w:p>
            <w:pPr>
              <w:pBdr/>
              <w:spacing/>
              <w:ind/>
              <w:jc w:val="both"/>
              <w:rPr/>
            </w:pPr>
            <w:r>
              <w:t xml:space="preserve">Percentuale documentata e significativa</w:t>
            </w:r>
            <w:r/>
          </w:p>
        </w:tc>
        <w:tc>
          <w:tcPr>
            <w:tcBorders/>
            <w:tcW w:w="2942" w:type="dxa"/>
            <w:textDirection w:val="lrTb"/>
            <w:noWrap w:val="false"/>
          </w:tcPr>
          <w:p>
            <w:pPr>
              <w:pBdr/>
              <w:spacing/>
              <w:ind/>
              <w:jc w:val="both"/>
              <w:rPr/>
            </w:pPr>
            <w:r>
              <w:t xml:space="preserve">Elevata percentuale con certificazioni</w:t>
            </w:r>
            <w:r/>
          </w:p>
        </w:tc>
      </w:tr>
      <w:tr>
        <w:trPr/>
        <w:tc>
          <w:tcPr>
            <w:tcBorders>
              <w:top w:val="none" w:color="000000" w:sz="4" w:space="0"/>
              <w:left w:val="single" w:color="auto" w:sz="4" w:space="0"/>
            </w:tcBorders>
            <w:tcW w:w="1375" w:type="dxa"/>
            <w:vAlign w:val="center"/>
            <w:vMerge w:val="restart"/>
            <w:textDirection w:val="lrTb"/>
            <w:noWrap w:val="false"/>
          </w:tcPr>
          <w:p>
            <w:pPr>
              <w:pBdr/>
              <w:spacing/>
              <w:ind/>
              <w:rPr>
                <w:b/>
                <w:bCs/>
              </w:rPr>
            </w:pPr>
            <w:r>
              <w:rPr>
                <w:b/>
                <w:bCs/>
              </w:rPr>
              <w:t xml:space="preserve">SICUREZZA</w:t>
            </w:r>
            <w:r>
              <w:rPr>
                <w:b/>
                <w:bCs/>
              </w:rPr>
            </w:r>
          </w:p>
          <w:p>
            <w:pPr>
              <w:pBdr/>
              <w:spacing/>
              <w:ind/>
              <w:rPr>
                <w:b/>
                <w:bCs/>
              </w:rPr>
            </w:pPr>
            <w:r>
              <w:rPr>
                <w:b/>
                <w:bCs/>
              </w:rPr>
              <w:t xml:space="preserve">E</w:t>
            </w:r>
            <w:r>
              <w:rPr>
                <w:b/>
                <w:bCs/>
              </w:rPr>
            </w:r>
          </w:p>
          <w:p>
            <w:pPr>
              <w:pBdr/>
              <w:spacing/>
              <w:ind/>
              <w:rPr>
                <w:b/>
                <w:bCs/>
              </w:rPr>
            </w:pPr>
            <w:r>
              <w:rPr>
                <w:b/>
                <w:bCs/>
              </w:rPr>
              <w:t xml:space="preserve">RESPONSABILITÀ </w:t>
            </w:r>
            <w:r>
              <w:rPr>
                <w:b/>
                <w:bCs/>
              </w:rPr>
            </w:r>
          </w:p>
          <w:p>
            <w:pPr>
              <w:pBdr/>
              <w:spacing/>
              <w:ind/>
              <w:rPr>
                <w:b/>
                <w:bCs/>
              </w:rPr>
            </w:pPr>
            <w:r>
              <w:rPr>
                <w:b/>
                <w:bCs/>
              </w:rPr>
              <w:t xml:space="preserve">SOCIALE</w:t>
            </w:r>
            <w:r>
              <w:rPr>
                <w:b/>
                <w:bCs/>
              </w:rPr>
            </w:r>
          </w:p>
        </w:tc>
        <w:tc>
          <w:tcPr>
            <w:tcBorders>
              <w:top w:val="none" w:color="000000" w:sz="4" w:space="0"/>
              <w:left w:val="single" w:color="auto" w:sz="4" w:space="0"/>
              <w:bottom w:val="single" w:color="auto" w:sz="4" w:space="0"/>
            </w:tcBorders>
            <w:tcW w:w="3260" w:type="dxa"/>
            <w:textDirection w:val="lrTb"/>
            <w:noWrap w:val="false"/>
          </w:tcPr>
          <w:p>
            <w:pPr>
              <w:pBdr/>
              <w:spacing/>
              <w:ind/>
              <w:jc w:val="both"/>
              <w:rPr/>
            </w:pPr>
            <w:r>
              <w:t xml:space="preserve">Rappresentante salute e sicurezza secondo D.lgs. 81/2008</w:t>
            </w:r>
            <w:r/>
          </w:p>
        </w:tc>
        <w:tc>
          <w:tcPr>
            <w:tcBorders/>
            <w:tcW w:w="2268" w:type="dxa"/>
            <w:textDirection w:val="lrTb"/>
            <w:noWrap w:val="false"/>
          </w:tcPr>
          <w:p>
            <w:pPr>
              <w:pBdr/>
              <w:spacing/>
              <w:ind/>
              <w:jc w:val="both"/>
              <w:rPr/>
            </w:pPr>
            <w:r>
              <w:t xml:space="preserve">Assenza completa</w:t>
            </w:r>
            <w:r/>
          </w:p>
        </w:tc>
        <w:tc>
          <w:tcPr>
            <w:tcBorders/>
            <w:tcW w:w="2126" w:type="dxa"/>
            <w:textDirection w:val="lrTb"/>
            <w:noWrap w:val="false"/>
          </w:tcPr>
          <w:p>
            <w:pPr>
              <w:pBdr/>
              <w:spacing/>
              <w:ind/>
              <w:jc w:val="both"/>
              <w:rPr/>
            </w:pPr>
            <w:r>
              <w:t xml:space="preserve">Presenza generica</w:t>
            </w:r>
            <w:r/>
          </w:p>
        </w:tc>
        <w:tc>
          <w:tcPr>
            <w:tcBorders/>
            <w:tcW w:w="2268" w:type="dxa"/>
            <w:textDirection w:val="lrTb"/>
            <w:noWrap w:val="false"/>
          </w:tcPr>
          <w:p>
            <w:pPr>
              <w:pBdr/>
              <w:spacing/>
              <w:ind/>
              <w:jc w:val="both"/>
              <w:rPr/>
            </w:pPr>
            <w:r>
              <w:t xml:space="preserve">Presenza documentata</w:t>
            </w:r>
            <w:r/>
          </w:p>
        </w:tc>
        <w:tc>
          <w:tcPr>
            <w:tcBorders/>
            <w:tcW w:w="2942" w:type="dxa"/>
            <w:textDirection w:val="lrTb"/>
            <w:noWrap w:val="false"/>
          </w:tcPr>
          <w:p>
            <w:pPr>
              <w:pBdr/>
              <w:spacing/>
              <w:ind/>
              <w:jc w:val="both"/>
              <w:rPr/>
            </w:pPr>
            <w:r>
              <w:t xml:space="preserve">Presenza operativa</w:t>
            </w:r>
            <w:r/>
          </w:p>
        </w:tc>
      </w:tr>
      <w:tr>
        <w:trPr/>
        <w:tc>
          <w:tcPr>
            <w:tcBorders>
              <w:left w:val="single" w:color="auto" w:sz="4" w:space="0"/>
            </w:tcBorders>
            <w:tcW w:w="1375" w:type="dxa"/>
            <w:vMerge w:val="continue"/>
            <w:textDirection w:val="lrTb"/>
            <w:noWrap w:val="false"/>
          </w:tcPr>
          <w:p>
            <w:pPr>
              <w:pBdr/>
              <w:spacing/>
              <w:ind/>
              <w:jc w:val="both"/>
              <w:rPr/>
            </w:pPr>
            <w:r/>
            <w:r/>
          </w:p>
        </w:tc>
        <w:tc>
          <w:tcPr>
            <w:tcBorders>
              <w:top w:val="none" w:color="000000" w:sz="4" w:space="0"/>
              <w:left w:val="single" w:color="auto" w:sz="4" w:space="0"/>
              <w:bottom w:val="single" w:color="auto" w:sz="4" w:space="0"/>
            </w:tcBorders>
            <w:tcW w:w="3260" w:type="dxa"/>
            <w:textDirection w:val="lrTb"/>
            <w:noWrap w:val="false"/>
          </w:tcPr>
          <w:p>
            <w:pPr>
              <w:pBdr/>
              <w:spacing/>
              <w:ind/>
              <w:jc w:val="both"/>
              <w:rPr/>
            </w:pPr>
            <w:r>
              <w:t xml:space="preserve">Ricorso a lavoro infantile</w:t>
            </w:r>
            <w:r/>
          </w:p>
        </w:tc>
        <w:tc>
          <w:tcPr>
            <w:tcBorders/>
            <w:tcW w:w="2268" w:type="dxa"/>
            <w:textDirection w:val="lrTb"/>
            <w:noWrap w:val="false"/>
          </w:tcPr>
          <w:p>
            <w:pPr>
              <w:pBdr/>
              <w:spacing/>
              <w:ind/>
              <w:jc w:val="both"/>
              <w:rPr/>
            </w:pPr>
            <w:r>
              <w:t xml:space="preserve">Presenza accertata</w:t>
            </w:r>
            <w:r/>
          </w:p>
        </w:tc>
        <w:tc>
          <w:tcPr>
            <w:tcBorders/>
            <w:tcW w:w="2126" w:type="dxa"/>
            <w:textDirection w:val="lrTb"/>
            <w:noWrap w:val="false"/>
          </w:tcPr>
          <w:p>
            <w:pPr>
              <w:pBdr/>
              <w:spacing/>
              <w:ind/>
              <w:jc w:val="both"/>
              <w:rPr/>
            </w:pPr>
            <w:r>
              <w:t xml:space="preserve">Non dichiarato o risposta vaga</w:t>
            </w:r>
            <w:r/>
          </w:p>
        </w:tc>
        <w:tc>
          <w:tcPr>
            <w:tcBorders/>
            <w:tcW w:w="2268" w:type="dxa"/>
            <w:textDirection w:val="lrTb"/>
            <w:noWrap w:val="false"/>
          </w:tcPr>
          <w:p>
            <w:pPr>
              <w:pBdr/>
              <w:spacing/>
              <w:ind/>
              <w:jc w:val="both"/>
              <w:rPr/>
            </w:pPr>
            <w:r>
              <w:t xml:space="preserve">Assenza dichiarata</w:t>
            </w:r>
            <w:r/>
          </w:p>
        </w:tc>
        <w:tc>
          <w:tcPr>
            <w:tcBorders/>
            <w:tcW w:w="2942" w:type="dxa"/>
            <w:textDirection w:val="lrTb"/>
            <w:noWrap w:val="false"/>
          </w:tcPr>
          <w:p>
            <w:pPr>
              <w:pBdr/>
              <w:spacing/>
              <w:ind/>
              <w:jc w:val="both"/>
              <w:rPr/>
            </w:pPr>
            <w:r>
              <w:t xml:space="preserve">Verifiche politiche attive contro lavoro infantile</w:t>
            </w:r>
            <w:r/>
          </w:p>
        </w:tc>
      </w:tr>
      <w:tr>
        <w:trPr/>
        <w:tc>
          <w:tcPr>
            <w:tcBorders>
              <w:left w:val="single" w:color="auto" w:sz="4" w:space="0"/>
            </w:tcBorders>
            <w:tcW w:w="1375" w:type="dxa"/>
            <w:vMerge w:val="continue"/>
            <w:textDirection w:val="lrTb"/>
            <w:noWrap w:val="false"/>
          </w:tcPr>
          <w:p>
            <w:pPr>
              <w:pBdr/>
              <w:spacing/>
              <w:ind/>
              <w:jc w:val="both"/>
              <w:rPr/>
            </w:pPr>
            <w:r/>
            <w:r/>
          </w:p>
        </w:tc>
        <w:tc>
          <w:tcPr>
            <w:tcBorders>
              <w:top w:val="none" w:color="000000" w:sz="4" w:space="0"/>
              <w:left w:val="single" w:color="auto" w:sz="4" w:space="0"/>
              <w:bottom w:val="single" w:color="auto" w:sz="4" w:space="0"/>
            </w:tcBorders>
            <w:tcW w:w="3260" w:type="dxa"/>
            <w:textDirection w:val="lrTb"/>
            <w:noWrap w:val="false"/>
          </w:tcPr>
          <w:p>
            <w:pPr>
              <w:pBdr/>
              <w:spacing/>
              <w:ind/>
              <w:jc w:val="both"/>
              <w:rPr/>
            </w:pPr>
            <w:r>
              <w:t xml:space="preserve">Ricorso a forme di lavoro coercitive</w:t>
            </w:r>
            <w:r/>
          </w:p>
        </w:tc>
        <w:tc>
          <w:tcPr>
            <w:tcBorders/>
            <w:tcW w:w="2268" w:type="dxa"/>
            <w:textDirection w:val="lrTb"/>
            <w:noWrap w:val="false"/>
          </w:tcPr>
          <w:p>
            <w:pPr>
              <w:pBdr/>
              <w:spacing/>
              <w:ind/>
              <w:jc w:val="both"/>
              <w:rPr/>
            </w:pPr>
            <w:r>
              <w:t xml:space="preserve">Presenza accertata</w:t>
            </w:r>
            <w:r/>
          </w:p>
        </w:tc>
        <w:tc>
          <w:tcPr>
            <w:tcBorders/>
            <w:tcW w:w="2126" w:type="dxa"/>
            <w:textDirection w:val="lrTb"/>
            <w:noWrap w:val="false"/>
          </w:tcPr>
          <w:p>
            <w:pPr>
              <w:pBdr/>
              <w:spacing/>
              <w:ind/>
              <w:jc w:val="both"/>
              <w:rPr/>
            </w:pPr>
            <w:r>
              <w:t xml:space="preserve">Non dichiarato o risposta vaga</w:t>
            </w:r>
            <w:r/>
          </w:p>
        </w:tc>
        <w:tc>
          <w:tcPr>
            <w:tcBorders/>
            <w:tcW w:w="2268" w:type="dxa"/>
            <w:textDirection w:val="lrTb"/>
            <w:noWrap w:val="false"/>
          </w:tcPr>
          <w:p>
            <w:pPr>
              <w:pBdr/>
              <w:spacing/>
              <w:ind/>
              <w:jc w:val="both"/>
              <w:rPr/>
            </w:pPr>
            <w:r>
              <w:t xml:space="preserve">Assenza dichiarata</w:t>
            </w:r>
            <w:r/>
          </w:p>
        </w:tc>
        <w:tc>
          <w:tcPr>
            <w:tcBorders/>
            <w:tcW w:w="2942" w:type="dxa"/>
            <w:textDirection w:val="lrTb"/>
            <w:noWrap w:val="false"/>
          </w:tcPr>
          <w:p>
            <w:pPr>
              <w:pBdr/>
              <w:spacing/>
              <w:ind/>
              <w:jc w:val="both"/>
              <w:rPr/>
            </w:pPr>
            <w:r>
              <w:t xml:space="preserve">Politiche attive e verifiche regolari</w:t>
            </w:r>
            <w:r/>
          </w:p>
        </w:tc>
      </w:tr>
      <w:tr>
        <w:trPr/>
        <w:tc>
          <w:tcPr>
            <w:tcBorders>
              <w:left w:val="single" w:color="auto" w:sz="4" w:space="0"/>
            </w:tcBorders>
            <w:tcW w:w="1375" w:type="dxa"/>
            <w:vMerge w:val="continue"/>
            <w:textDirection w:val="lrTb"/>
            <w:noWrap w:val="false"/>
          </w:tcPr>
          <w:p>
            <w:pPr>
              <w:pBdr/>
              <w:spacing/>
              <w:ind/>
              <w:jc w:val="both"/>
              <w:rPr/>
            </w:pPr>
            <w:r/>
            <w:r/>
          </w:p>
        </w:tc>
        <w:tc>
          <w:tcPr>
            <w:tcBorders>
              <w:top w:val="none" w:color="000000" w:sz="4" w:space="0"/>
              <w:left w:val="single" w:color="auto" w:sz="4" w:space="0"/>
              <w:bottom w:val="single" w:color="auto" w:sz="4" w:space="0"/>
            </w:tcBorders>
            <w:tcW w:w="3260" w:type="dxa"/>
            <w:textDirection w:val="lrTb"/>
            <w:noWrap w:val="false"/>
          </w:tcPr>
          <w:p>
            <w:pPr>
              <w:pBdr/>
              <w:spacing/>
              <w:ind/>
              <w:jc w:val="both"/>
              <w:rPr/>
            </w:pPr>
            <w:r>
              <w:t xml:space="preserve">Rispetto diritti sindacali e contrattazione collettiva</w:t>
            </w:r>
            <w:r/>
          </w:p>
        </w:tc>
        <w:tc>
          <w:tcPr>
            <w:tcBorders/>
            <w:tcW w:w="2268" w:type="dxa"/>
            <w:textDirection w:val="lrTb"/>
            <w:noWrap w:val="false"/>
          </w:tcPr>
          <w:p>
            <w:pPr>
              <w:pBdr/>
              <w:spacing/>
              <w:ind/>
              <w:jc w:val="both"/>
              <w:rPr/>
            </w:pPr>
            <w:r>
              <w:t xml:space="preserve">Mancato rispetto</w:t>
            </w:r>
            <w:r/>
          </w:p>
        </w:tc>
        <w:tc>
          <w:tcPr>
            <w:tcBorders/>
            <w:tcW w:w="2126" w:type="dxa"/>
            <w:textDirection w:val="lrTb"/>
            <w:noWrap w:val="false"/>
          </w:tcPr>
          <w:p>
            <w:pPr>
              <w:pBdr/>
              <w:spacing/>
              <w:ind/>
              <w:jc w:val="both"/>
              <w:rPr/>
            </w:pPr>
            <w:r>
              <w:t xml:space="preserve">Rispetto dichiarato ma non verificato</w:t>
            </w:r>
            <w:r/>
          </w:p>
        </w:tc>
        <w:tc>
          <w:tcPr>
            <w:tcBorders/>
            <w:tcW w:w="2268" w:type="dxa"/>
            <w:textDirection w:val="lrTb"/>
            <w:noWrap w:val="false"/>
          </w:tcPr>
          <w:p>
            <w:pPr>
              <w:pBdr/>
              <w:spacing/>
              <w:ind/>
              <w:jc w:val="both"/>
              <w:rPr/>
            </w:pPr>
            <w:r>
              <w:t xml:space="preserve">Rispetto documentato e verificato</w:t>
            </w:r>
            <w:r/>
          </w:p>
        </w:tc>
        <w:tc>
          <w:tcPr>
            <w:tcBorders/>
            <w:tcW w:w="2942" w:type="dxa"/>
            <w:textDirection w:val="lrTb"/>
            <w:noWrap w:val="false"/>
          </w:tcPr>
          <w:p>
            <w:pPr>
              <w:pBdr/>
              <w:spacing/>
              <w:ind/>
              <w:jc w:val="both"/>
              <w:rPr/>
            </w:pPr>
            <w:r>
              <w:t xml:space="preserve">Rispetto pieno e verifiche periodiche</w:t>
            </w:r>
            <w:r/>
          </w:p>
        </w:tc>
      </w:tr>
      <w:tr>
        <w:trPr/>
        <w:tc>
          <w:tcPr>
            <w:tcBorders>
              <w:left w:val="single" w:color="auto" w:sz="4" w:space="0"/>
            </w:tcBorders>
            <w:tcW w:w="1375" w:type="dxa"/>
            <w:vMerge w:val="continue"/>
            <w:textDirection w:val="lrTb"/>
            <w:noWrap w:val="false"/>
          </w:tcPr>
          <w:p>
            <w:pPr>
              <w:pBdr/>
              <w:spacing/>
              <w:ind/>
              <w:jc w:val="both"/>
              <w:rPr/>
            </w:pPr>
            <w:r/>
            <w:r/>
          </w:p>
        </w:tc>
        <w:tc>
          <w:tcPr>
            <w:tcBorders>
              <w:top w:val="none" w:color="000000" w:sz="4" w:space="0"/>
              <w:left w:val="single" w:color="auto" w:sz="4" w:space="0"/>
              <w:bottom w:val="single" w:color="auto" w:sz="4" w:space="0"/>
            </w:tcBorders>
            <w:tcW w:w="3260" w:type="dxa"/>
            <w:textDirection w:val="lrTb"/>
            <w:noWrap w:val="false"/>
          </w:tcPr>
          <w:p>
            <w:pPr>
              <w:pBdr/>
              <w:spacing/>
              <w:ind/>
              <w:jc w:val="both"/>
              <w:rPr/>
            </w:pPr>
            <w:r>
              <w:t xml:space="preserve">Orario di lavoro conforme e leggi standard</w:t>
            </w:r>
            <w:r/>
          </w:p>
        </w:tc>
        <w:tc>
          <w:tcPr>
            <w:tcBorders/>
            <w:tcW w:w="2268" w:type="dxa"/>
            <w:textDirection w:val="lrTb"/>
            <w:noWrap w:val="false"/>
          </w:tcPr>
          <w:p>
            <w:pPr>
              <w:pBdr/>
              <w:spacing/>
              <w:ind/>
              <w:jc w:val="both"/>
              <w:rPr/>
            </w:pPr>
            <w:r>
              <w:t xml:space="preserve">Non conformi</w:t>
            </w:r>
            <w:r/>
          </w:p>
        </w:tc>
        <w:tc>
          <w:tcPr>
            <w:tcBorders/>
            <w:tcW w:w="2126" w:type="dxa"/>
            <w:textDirection w:val="lrTb"/>
            <w:noWrap w:val="false"/>
          </w:tcPr>
          <w:p>
            <w:pPr>
              <w:pBdr/>
              <w:spacing/>
              <w:ind/>
              <w:jc w:val="both"/>
              <w:rPr/>
            </w:pPr>
            <w:r>
              <w:t xml:space="preserve">Conforme solo a livello base</w:t>
            </w:r>
            <w:r/>
          </w:p>
        </w:tc>
        <w:tc>
          <w:tcPr>
            <w:tcBorders/>
            <w:tcW w:w="2268" w:type="dxa"/>
            <w:textDirection w:val="lrTb"/>
            <w:noWrap w:val="false"/>
          </w:tcPr>
          <w:p>
            <w:pPr>
              <w:pBdr/>
              <w:spacing/>
              <w:ind/>
              <w:jc w:val="both"/>
              <w:rPr/>
            </w:pPr>
            <w:r>
              <w:t xml:space="preserve">Conforme documentato</w:t>
            </w:r>
            <w:r/>
          </w:p>
        </w:tc>
        <w:tc>
          <w:tcPr>
            <w:tcBorders/>
            <w:tcW w:w="2942" w:type="dxa"/>
            <w:textDirection w:val="lrTb"/>
            <w:noWrap w:val="false"/>
          </w:tcPr>
          <w:p>
            <w:pPr>
              <w:pBdr/>
              <w:spacing/>
              <w:ind/>
              <w:jc w:val="both"/>
              <w:rPr/>
            </w:pPr>
            <w:r>
              <w:t xml:space="preserve">Conforme e con miglioramenti standard</w:t>
            </w:r>
            <w:r/>
          </w:p>
        </w:tc>
      </w:tr>
      <w:tr>
        <w:trPr/>
        <w:tc>
          <w:tcPr>
            <w:tcBorders>
              <w:left w:val="single" w:color="auto" w:sz="4" w:space="0"/>
            </w:tcBorders>
            <w:tcW w:w="1375" w:type="dxa"/>
            <w:vMerge w:val="continue"/>
            <w:textDirection w:val="lrTb"/>
            <w:noWrap w:val="false"/>
          </w:tcPr>
          <w:p>
            <w:pPr>
              <w:pBdr/>
              <w:spacing/>
              <w:ind/>
              <w:jc w:val="both"/>
              <w:rPr/>
            </w:pPr>
            <w:r/>
            <w:r/>
          </w:p>
        </w:tc>
        <w:tc>
          <w:tcPr>
            <w:tcBorders>
              <w:top w:val="none" w:color="000000" w:sz="4" w:space="0"/>
              <w:left w:val="single" w:color="auto" w:sz="4" w:space="0"/>
              <w:bottom w:val="single" w:color="auto" w:sz="4" w:space="0"/>
            </w:tcBorders>
            <w:tcW w:w="3260" w:type="dxa"/>
            <w:textDirection w:val="lrTb"/>
            <w:noWrap w:val="false"/>
          </w:tcPr>
          <w:p>
            <w:pPr>
              <w:pBdr/>
              <w:spacing/>
              <w:ind/>
              <w:jc w:val="both"/>
              <w:rPr/>
            </w:pPr>
            <w:r>
              <w:t xml:space="preserve">Documento di valutazione dei rischi</w:t>
            </w:r>
            <w:r/>
          </w:p>
        </w:tc>
        <w:tc>
          <w:tcPr>
            <w:tcBorders/>
            <w:tcW w:w="2268" w:type="dxa"/>
            <w:textDirection w:val="lrTb"/>
            <w:noWrap w:val="false"/>
          </w:tcPr>
          <w:p>
            <w:pPr>
              <w:pBdr/>
              <w:spacing/>
              <w:ind/>
              <w:jc w:val="both"/>
              <w:rPr/>
            </w:pPr>
            <w:r>
              <w:t xml:space="preserve">Assente</w:t>
            </w:r>
            <w:r/>
          </w:p>
        </w:tc>
        <w:tc>
          <w:tcPr>
            <w:tcBorders/>
            <w:tcW w:w="2126" w:type="dxa"/>
            <w:textDirection w:val="lrTb"/>
            <w:noWrap w:val="false"/>
          </w:tcPr>
          <w:p>
            <w:pPr>
              <w:pBdr/>
              <w:spacing/>
              <w:ind/>
              <w:jc w:val="both"/>
              <w:rPr/>
            </w:pPr>
            <w:r>
              <w:t xml:space="preserve">Documento generico</w:t>
            </w:r>
            <w:r/>
          </w:p>
        </w:tc>
        <w:tc>
          <w:tcPr>
            <w:tcBorders/>
            <w:tcW w:w="2268" w:type="dxa"/>
            <w:textDirection w:val="lrTb"/>
            <w:noWrap w:val="false"/>
          </w:tcPr>
          <w:p>
            <w:pPr>
              <w:pBdr/>
              <w:spacing/>
              <w:ind/>
              <w:jc w:val="both"/>
              <w:rPr/>
            </w:pPr>
            <w:r>
              <w:t xml:space="preserve">Documento formale</w:t>
            </w:r>
            <w:r/>
          </w:p>
        </w:tc>
        <w:tc>
          <w:tcPr>
            <w:tcBorders/>
            <w:tcW w:w="2942" w:type="dxa"/>
            <w:textDirection w:val="lrTb"/>
            <w:noWrap w:val="false"/>
          </w:tcPr>
          <w:p>
            <w:pPr>
              <w:pBdr/>
              <w:spacing/>
              <w:ind/>
              <w:jc w:val="both"/>
              <w:rPr/>
            </w:pPr>
            <w:r>
              <w:t xml:space="preserve">Documento formale con aggiornamenti periodici</w:t>
            </w:r>
            <w:r/>
          </w:p>
        </w:tc>
      </w:tr>
      <w:tr>
        <w:trPr/>
        <w:tc>
          <w:tcPr>
            <w:tcBorders>
              <w:left w:val="single" w:color="auto" w:sz="4" w:space="0"/>
              <w:bottom w:val="single" w:color="auto" w:sz="4" w:space="0"/>
            </w:tcBorders>
            <w:tcW w:w="1375" w:type="dxa"/>
            <w:vMerge w:val="continue"/>
            <w:textDirection w:val="lrTb"/>
            <w:noWrap w:val="false"/>
          </w:tcPr>
          <w:p>
            <w:pPr>
              <w:pBdr/>
              <w:spacing/>
              <w:ind/>
              <w:jc w:val="both"/>
              <w:rPr/>
            </w:pPr>
            <w:r/>
            <w:r/>
          </w:p>
        </w:tc>
        <w:tc>
          <w:tcPr>
            <w:tcBorders>
              <w:top w:val="none" w:color="000000" w:sz="4" w:space="0"/>
              <w:left w:val="single" w:color="auto" w:sz="4" w:space="0"/>
              <w:bottom w:val="single" w:color="auto" w:sz="4" w:space="0"/>
            </w:tcBorders>
            <w:tcW w:w="3260" w:type="dxa"/>
            <w:textDirection w:val="lrTb"/>
            <w:noWrap w:val="false"/>
          </w:tcPr>
          <w:p>
            <w:pPr>
              <w:pBdr/>
              <w:spacing/>
              <w:ind/>
              <w:jc w:val="both"/>
              <w:rPr/>
            </w:pPr>
            <w:r>
              <w:t xml:space="preserve">Divieti discriminazione, molestie, punizioni, abusi.</w:t>
            </w:r>
            <w:r/>
          </w:p>
        </w:tc>
        <w:tc>
          <w:tcPr>
            <w:tcBorders/>
            <w:tcW w:w="2268" w:type="dxa"/>
            <w:textDirection w:val="lrTb"/>
            <w:noWrap w:val="false"/>
          </w:tcPr>
          <w:p>
            <w:pPr>
              <w:pBdr/>
              <w:spacing/>
              <w:ind/>
              <w:jc w:val="both"/>
              <w:rPr/>
            </w:pPr>
            <w:r>
              <w:t xml:space="preserve">Mancanza di regolamento</w:t>
            </w:r>
            <w:r/>
          </w:p>
        </w:tc>
        <w:tc>
          <w:tcPr>
            <w:tcBorders/>
            <w:tcW w:w="2126" w:type="dxa"/>
            <w:textDirection w:val="lrTb"/>
            <w:noWrap w:val="false"/>
          </w:tcPr>
          <w:p>
            <w:pPr>
              <w:pBdr/>
              <w:spacing/>
              <w:ind/>
              <w:jc w:val="both"/>
              <w:rPr/>
            </w:pPr>
            <w:r>
              <w:t xml:space="preserve">Regolamenti generici</w:t>
            </w:r>
            <w:r/>
          </w:p>
        </w:tc>
        <w:tc>
          <w:tcPr>
            <w:tcBorders/>
            <w:tcW w:w="2268" w:type="dxa"/>
            <w:textDirection w:val="lrTb"/>
            <w:noWrap w:val="false"/>
          </w:tcPr>
          <w:p>
            <w:pPr>
              <w:pBdr/>
              <w:spacing/>
              <w:ind/>
              <w:jc w:val="both"/>
              <w:rPr/>
            </w:pPr>
            <w:r>
              <w:t xml:space="preserve">Regolamenti chiari e applicati</w:t>
            </w:r>
            <w:r/>
          </w:p>
        </w:tc>
        <w:tc>
          <w:tcPr>
            <w:tcBorders/>
            <w:tcW w:w="2942" w:type="dxa"/>
            <w:textDirection w:val="lrTb"/>
            <w:noWrap w:val="false"/>
          </w:tcPr>
          <w:p>
            <w:pPr>
              <w:pBdr/>
              <w:spacing/>
              <w:ind/>
              <w:jc w:val="both"/>
              <w:rPr/>
            </w:pPr>
            <w:r>
              <w:t xml:space="preserve">Regolamenti con formazione e monitoraggio continuo</w:t>
            </w:r>
            <w:r/>
          </w:p>
        </w:tc>
      </w:tr>
    </w:tbl>
    <w:p>
      <w:pPr>
        <w:pBdr/>
        <w:spacing/>
        <w:ind/>
        <w:jc w:val="both"/>
        <w:rPr/>
      </w:pPr>
      <w:r/>
      <w:r/>
    </w:p>
    <w:p>
      <w:pPr>
        <w:pBdr/>
        <w:spacing/>
        <w:ind/>
        <w:jc w:val="both"/>
        <w:rPr/>
        <w:sectPr>
          <w:footnotePr/>
          <w:endnotePr/>
          <w:type w:val="nextPage"/>
          <w:pgSz w:h="11906" w:orient="landscape" w:w="16838"/>
          <w:pgMar w:top="1134" w:right="1417" w:bottom="1134" w:left="1134" w:header="708" w:footer="708" w:gutter="0"/>
          <w:cols w:num="1" w:sep="0" w:space="708" w:equalWidth="1"/>
        </w:sectPr>
      </w:pPr>
      <w:r/>
      <w:r/>
    </w:p>
    <w:p>
      <w:pPr>
        <w:pBdr/>
        <w:spacing/>
        <w:ind/>
        <w:jc w:val="both"/>
        <w:rPr/>
      </w:pPr>
      <w:r>
        <w:t xml:space="preserve">Per la valutazione delle domande relative ad ambiente, sicurezza e responsabilità sociale, si calcola la media dei punteggi attribuiti a ciascuna domanda singolarmente. I valori medi così ottenuti vengono inseriti nelle corrispettive colone di </w:t>
      </w:r>
      <w:r>
        <w:rPr>
          <w:i/>
          <w:iCs/>
        </w:rPr>
        <w:t xml:space="preserve">D 06.01 Lista fornitori materie prime e imballaggi valutati</w:t>
      </w:r>
      <w:r>
        <w:t xml:space="preserve">.</w:t>
      </w:r>
      <w:r/>
    </w:p>
    <w:p>
      <w:pPr>
        <w:pStyle w:val="834"/>
        <w:numPr>
          <w:ilvl w:val="2"/>
          <w:numId w:val="2"/>
        </w:numPr>
        <w:pBdr/>
        <w:spacing/>
        <w:ind/>
        <w:jc w:val="both"/>
        <w:rPr>
          <w:b/>
          <w:bCs/>
        </w:rPr>
      </w:pPr>
      <w:r>
        <w:rPr>
          <w:b/>
          <w:bCs/>
        </w:rPr>
        <w:t xml:space="preserve">ASSOCIAZIONE RISCHIO MATERIA PRIMA </w:t>
      </w:r>
      <w:r>
        <w:rPr>
          <w:b/>
          <w:bCs/>
        </w:rPr>
        <w:t xml:space="preserve">–</w:t>
      </w:r>
      <w:r>
        <w:rPr>
          <w:b/>
          <w:bCs/>
        </w:rPr>
        <w:t xml:space="preserve"> FORNITORE</w:t>
      </w:r>
      <w:r>
        <w:rPr>
          <w:b/>
          <w:bCs/>
        </w:rPr>
      </w:r>
    </w:p>
    <w:p>
      <w:pPr>
        <w:pBdr/>
        <w:spacing/>
        <w:ind/>
        <w:jc w:val="both"/>
        <w:rPr/>
      </w:pPr>
      <w:r>
        <w:t xml:space="preserve">Scorrendo la colonna “Livello di rischio” in </w:t>
      </w:r>
      <w:r>
        <w:rPr>
          <w:i/>
          <w:iCs/>
        </w:rPr>
        <w:t xml:space="preserve">D 06.01 </w:t>
      </w:r>
      <w:r>
        <w:t xml:space="preserve">si verifica se un fornitore di una certa materia prima ha prodotti con rischio alto o basso. Si possono </w:t>
      </w:r>
      <w:r>
        <w:t xml:space="preserve">verificare due casi:</w:t>
      </w:r>
      <w:r/>
    </w:p>
    <w:p>
      <w:pPr>
        <w:pStyle w:val="834"/>
        <w:numPr>
          <w:ilvl w:val="0"/>
          <w:numId w:val="1"/>
        </w:numPr>
        <w:pBdr/>
        <w:spacing/>
        <w:ind/>
        <w:jc w:val="both"/>
        <w:rPr/>
      </w:pPr>
      <w:r>
        <w:rPr>
          <w:b/>
          <w:bCs/>
        </w:rPr>
        <w:t xml:space="preserve">Primo caso</w:t>
      </w:r>
      <w:r>
        <w:t xml:space="preserve">: il fornitore fornisce solo materie prime con rischio basso. Il fornitore </w:t>
      </w:r>
      <w:r>
        <w:rPr>
          <w:u w:val="single"/>
        </w:rPr>
        <w:t xml:space="preserve">NON è critico</w:t>
      </w:r>
      <w:r>
        <w:t xml:space="preserve"> e viene accettato come fornitore qualificato (previa compilazione</w:t>
      </w:r>
      <w:r>
        <w:t xml:space="preserve"> di</w:t>
      </w:r>
      <w:r>
        <w:t xml:space="preserve"> </w:t>
      </w:r>
      <w:r>
        <w:rPr>
          <w:i/>
          <w:iCs/>
        </w:rPr>
        <w:t xml:space="preserve">M 06.05.01 Questionario di qualifica dei fornitori</w:t>
      </w:r>
      <w:r>
        <w:t xml:space="preserve"> e verifiche iniziali previste).</w:t>
      </w:r>
      <w:r/>
    </w:p>
    <w:p>
      <w:pPr>
        <w:pStyle w:val="834"/>
        <w:numPr>
          <w:ilvl w:val="0"/>
          <w:numId w:val="1"/>
        </w:numPr>
        <w:pBdr/>
        <w:spacing/>
        <w:ind/>
        <w:jc w:val="both"/>
        <w:rPr/>
      </w:pPr>
      <w:r>
        <w:rPr>
          <w:b/>
          <w:bCs/>
        </w:rPr>
        <w:t xml:space="preserve">Secondo caso</w:t>
      </w:r>
      <w:r>
        <w:t xml:space="preserve">: il fornitore fornisce una o più materie prime a rischio alto. Il fornitore </w:t>
      </w:r>
      <w:r>
        <w:rPr>
          <w:u w:val="single"/>
        </w:rPr>
        <w:t xml:space="preserve">è critico</w:t>
      </w:r>
      <w:r>
        <w:t xml:space="preserve"> e si procede come segue:</w:t>
      </w:r>
      <w:r/>
    </w:p>
    <w:p>
      <w:pPr>
        <w:pStyle w:val="834"/>
        <w:numPr>
          <w:ilvl w:val="1"/>
          <w:numId w:val="1"/>
        </w:numPr>
        <w:pBdr/>
        <w:spacing/>
        <w:ind/>
        <w:jc w:val="both"/>
        <w:rPr/>
      </w:pPr>
      <w:r>
        <w:rPr>
          <w:u w:val="single"/>
        </w:rPr>
        <w:t xml:space="preserve">Il fornitore CRITICO è in possesso di certificazioni della sicurezza alimentare GFSI</w:t>
      </w:r>
      <w:r>
        <w:t xml:space="preserve"> (BRC, IFS, FSCC, 22000); si devono richiedere, oltre che la compilazione di </w:t>
      </w:r>
      <w:r>
        <w:rPr>
          <w:i/>
          <w:iCs/>
        </w:rPr>
        <w:t xml:space="preserve">M 06.05.01 Questionario di qualifica dei fornitori</w:t>
      </w:r>
      <w:r>
        <w:t xml:space="preserve">, le copie delle certificazioni in possesso della ditta, in corso di validità.</w:t>
      </w:r>
      <w:r/>
    </w:p>
    <w:p>
      <w:pPr>
        <w:pStyle w:val="834"/>
        <w:numPr>
          <w:ilvl w:val="1"/>
          <w:numId w:val="1"/>
        </w:numPr>
        <w:pBdr/>
        <w:spacing/>
        <w:ind/>
        <w:jc w:val="both"/>
        <w:rPr/>
      </w:pPr>
      <w:r>
        <w:t xml:space="preserve"> </w:t>
      </w:r>
      <w:r>
        <w:rPr>
          <w:u w:val="single"/>
        </w:rPr>
        <w:t xml:space="preserve">Il fornitore CRITICO non presenta certificazioni nell’ambito della sicurezza alimentare GFSI</w:t>
      </w:r>
      <w:r>
        <w:t xml:space="preserve">. In questo caso di può decidere se mantenere il fornitore come qualificato solo nei seguenti casi:</w:t>
      </w:r>
      <w:r/>
    </w:p>
    <w:p>
      <w:pPr>
        <w:pStyle w:val="834"/>
        <w:numPr>
          <w:ilvl w:val="0"/>
          <w:numId w:val="6"/>
        </w:numPr>
        <w:pBdr/>
        <w:spacing/>
        <w:ind/>
        <w:jc w:val="both"/>
        <w:rPr/>
      </w:pPr>
      <w:r>
        <w:t xml:space="preserve">Eliminando la materia prima a RISCHIO ALTO (scegliendo quindi un altro fornitore con adeguate garanzie).</w:t>
      </w:r>
      <w:r/>
    </w:p>
    <w:p>
      <w:pPr>
        <w:pStyle w:val="834"/>
        <w:numPr>
          <w:ilvl w:val="0"/>
          <w:numId w:val="6"/>
        </w:numPr>
        <w:pBdr/>
        <w:spacing/>
        <w:ind/>
        <w:jc w:val="both"/>
        <w:rPr/>
      </w:pPr>
      <w:r>
        <w:t xml:space="preserve">Effettuando un audit presso il fornitore onde verificar</w:t>
      </w:r>
      <w:r>
        <w:t xml:space="preserve">e la gestione del rischio direttamente in ditta o richiedendo una prova documentata di tracciabilità materia prima, lo schema dell’analisi dei pericoli con relativa analisi del rischio, i diagrammi di flusso relativamente alla materia prima a rischio ALTO.</w:t>
      </w:r>
      <w:r/>
    </w:p>
    <w:p>
      <w:pPr>
        <w:pBdr/>
        <w:spacing/>
        <w:ind w:left="708"/>
        <w:jc w:val="both"/>
        <w:rPr/>
      </w:pPr>
      <w:r>
        <w:t xml:space="preserve">Nel caso in cui l’audit non dia risultati insoddisfacenti o la documentazione presentata non sia congrua, si eliminerà la materia prima fornita e si valuterà se eliminare anche il fornitore in base ai risultati ottenuti. </w:t>
      </w:r>
      <w:r/>
    </w:p>
    <w:p>
      <w:pPr>
        <w:pBdr/>
        <w:spacing/>
        <w:ind w:left="708"/>
        <w:jc w:val="both"/>
        <w:rPr/>
      </w:pPr>
      <w:r>
        <w:t xml:space="preserve">Nel caso in cui i risultati siano soddisfacenti, la materia prima consegnata dal </w:t>
      </w:r>
      <w:r>
        <w:t xml:space="preserve">fornitore in seguito ad audit o verifica integrativa documentale, viene accettata </w:t>
      </w:r>
      <w:r>
        <w:rPr>
          <w:u w:val="single"/>
        </w:rPr>
        <w:t xml:space="preserve">senza riserve</w:t>
      </w:r>
      <w:r>
        <w:t xml:space="preserve"> solo dopo esito positivo di tre forniture successive.</w:t>
      </w:r>
      <w:r/>
    </w:p>
    <w:tbl>
      <w:tblPr>
        <w:jc w:val="center"/>
        <w:tblW w:w="0" w:type="auto"/>
        <w:tblBorders/>
        <w:tblLook w:val="04A0" w:firstRow="1" w:lastRow="0" w:firstColumn="1" w:lastColumn="0" w:noHBand="0" w:noVBand="1"/>
        <w:tblStyle w:val="839"/>
      </w:tblPr>
      <w:tblGrid>
        <w:gridCol w:w="3256"/>
        <w:gridCol w:w="1275"/>
      </w:tblGrid>
      <w:tr>
        <w:trPr>
          <w:jc w:val="center"/>
        </w:trPr>
        <w:tc>
          <w:tcPr>
            <w:shd w:val="clear" w:color="auto" w:fill="fabf8f" w:themeFill="accent6" w:themeFillTint="99"/>
            <w:tcBorders/>
            <w:tcW w:w="3256" w:type="dxa"/>
            <w:vAlign w:val="center"/>
            <w:textDirection w:val="lrTb"/>
            <w:noWrap w:val="false"/>
          </w:tcPr>
          <w:p>
            <w:pPr>
              <w:pBdr/>
              <w:spacing/>
              <w:ind/>
              <w:jc w:val="center"/>
              <w:rPr>
                <w:b/>
                <w:bCs/>
              </w:rPr>
            </w:pPr>
            <w:r>
              <w:rPr>
                <w:b/>
                <w:bCs/>
              </w:rPr>
              <w:t xml:space="preserve">LIVELLO DI VALUTAZIONE</w:t>
            </w:r>
            <w:r>
              <w:rPr>
                <w:b/>
                <w:bCs/>
              </w:rPr>
            </w:r>
          </w:p>
        </w:tc>
        <w:tc>
          <w:tcPr>
            <w:shd w:val="clear" w:color="auto" w:fill="fabf8f" w:themeFill="accent6" w:themeFillTint="99"/>
            <w:tcBorders/>
            <w:tcW w:w="1275" w:type="dxa"/>
            <w:vAlign w:val="center"/>
            <w:textDirection w:val="lrTb"/>
            <w:noWrap w:val="false"/>
          </w:tcPr>
          <w:p>
            <w:pPr>
              <w:pBdr/>
              <w:spacing/>
              <w:ind/>
              <w:jc w:val="center"/>
              <w:rPr>
                <w:b/>
                <w:bCs/>
              </w:rPr>
            </w:pPr>
            <w:r>
              <w:rPr>
                <w:b/>
                <w:bCs/>
              </w:rPr>
              <w:t xml:space="preserve">SIGLA</w:t>
            </w:r>
            <w:r>
              <w:rPr>
                <w:b/>
                <w:bCs/>
              </w:rPr>
            </w:r>
          </w:p>
        </w:tc>
      </w:tr>
      <w:tr>
        <w:trPr>
          <w:jc w:val="center"/>
        </w:trPr>
        <w:tc>
          <w:tcPr>
            <w:tcBorders/>
            <w:tcW w:w="3256" w:type="dxa"/>
            <w:vAlign w:val="center"/>
            <w:textDirection w:val="lrTb"/>
            <w:noWrap w:val="false"/>
          </w:tcPr>
          <w:p>
            <w:pPr>
              <w:pBdr/>
              <w:spacing/>
              <w:ind/>
              <w:jc w:val="center"/>
              <w:rPr/>
            </w:pPr>
            <w:r>
              <w:t xml:space="preserve">Fornitori ad alto rischio</w:t>
            </w:r>
            <w:r/>
          </w:p>
        </w:tc>
        <w:tc>
          <w:tcPr>
            <w:tcBorders/>
            <w:tcW w:w="1275" w:type="dxa"/>
            <w:vAlign w:val="center"/>
            <w:textDirection w:val="lrTb"/>
            <w:noWrap w:val="false"/>
          </w:tcPr>
          <w:p>
            <w:pPr>
              <w:pBdr/>
              <w:spacing/>
              <w:ind/>
              <w:jc w:val="center"/>
              <w:rPr/>
            </w:pPr>
            <w:r>
              <w:t xml:space="preserve">A</w:t>
            </w:r>
            <w:r/>
          </w:p>
        </w:tc>
      </w:tr>
      <w:tr>
        <w:trPr>
          <w:jc w:val="center"/>
        </w:trPr>
        <w:tc>
          <w:tcPr>
            <w:tcBorders/>
            <w:tcW w:w="3256" w:type="dxa"/>
            <w:vAlign w:val="center"/>
            <w:textDirection w:val="lrTb"/>
            <w:noWrap w:val="false"/>
          </w:tcPr>
          <w:p>
            <w:pPr>
              <w:pBdr/>
              <w:spacing/>
              <w:ind/>
              <w:jc w:val="center"/>
              <w:rPr/>
            </w:pPr>
            <w:r>
              <w:t xml:space="preserve">Fornitori a basso rischio</w:t>
            </w:r>
            <w:r/>
          </w:p>
        </w:tc>
        <w:tc>
          <w:tcPr>
            <w:tcBorders/>
            <w:tcW w:w="1275" w:type="dxa"/>
            <w:vAlign w:val="center"/>
            <w:textDirection w:val="lrTb"/>
            <w:noWrap w:val="false"/>
          </w:tcPr>
          <w:p>
            <w:pPr>
              <w:pBdr/>
              <w:spacing/>
              <w:ind/>
              <w:jc w:val="center"/>
              <w:rPr/>
            </w:pPr>
            <w:r>
              <w:t xml:space="preserve">B</w:t>
            </w:r>
            <w:r/>
          </w:p>
        </w:tc>
      </w:tr>
    </w:tbl>
    <w:p>
      <w:pPr>
        <w:pBdr/>
        <w:spacing/>
        <w:ind/>
        <w:jc w:val="both"/>
        <w:rPr/>
      </w:pPr>
      <w:r/>
      <w:r/>
    </w:p>
    <w:p>
      <w:pPr>
        <w:pBdr/>
        <w:spacing/>
        <w:ind/>
        <w:jc w:val="both"/>
        <w:rPr/>
      </w:pPr>
      <w:r>
        <w:t xml:space="preserve">L’esito positivo di tali valutazioni comporta la qualifica del fornitore in oggetto, che pertanto potrà essere direttamente interpellato da RSA nel corso delle attività di approvvigionamento.</w:t>
      </w:r>
      <w:r>
        <w:t xml:space="preserve"> I fornitori così qualificati sono sottoposti ad un’attività di sorveglianza da parte del Team qualità, che effettua un esame periodico dello stato di aggiornamento della document</w:t>
      </w:r>
      <w:r>
        <w:t xml:space="preserve">azione inerente ciascun fornitore qualificato ed una supervisione dei documenti comprovanti l’esecuzione del controllo al ricevimento del prodotto/servizio acquistato, compresa l’eventuale rilevazione di anomalie in tale fase o nel corso delle lavorazioni.</w:t>
      </w:r>
      <w:r>
        <w:t xml:space="preserve"> La qualifica di un fornitore ha una </w:t>
      </w:r>
      <w:r>
        <w:rPr>
          <w:u w:val="single"/>
        </w:rPr>
        <w:t xml:space="preserve">durata triennale</w:t>
      </w:r>
      <w:r>
        <w:t xml:space="preserve">, allo scadere della quale il Team Qualità effettua un esame dell’andamento delle forniture e </w:t>
      </w:r>
      <w:r>
        <w:t xml:space="preserve">rieffettua l’aggiornamento della documentazione precedentemente consegnata. Annualmente</w:t>
      </w:r>
      <w:r>
        <w:t xml:space="preserve">, in occasione del riesame annuale della direzione, viene inviata una mail al fornitore per richiedere l’eventuale aggiornamento dei certificati scaduti o di eventuali modifiche relative alle materie prime e al fornitore stesso.</w:t>
      </w:r>
      <w:r/>
    </w:p>
    <w:p>
      <w:pPr>
        <w:pBdr/>
        <w:spacing/>
        <w:ind/>
        <w:jc w:val="both"/>
        <w:rPr/>
      </w:pPr>
      <w:r>
        <w:t xml:space="preserve">Nel caso in cui il fornitore della materia prima o imballaggio fosse un semplice intermediario, tutta la documentazione a supporto della valutazione della fornitura, dovrà essere emessa dall’ultimo produttore o confezionatore.</w:t>
      </w:r>
      <w:r/>
    </w:p>
    <w:p>
      <w:pPr>
        <w:pBdr/>
        <w:spacing/>
        <w:ind/>
        <w:jc w:val="both"/>
        <w:rPr/>
      </w:pPr>
      <w:r>
        <w:t xml:space="preserve">Un ulteriore requisito di approvvigionamento sono le dichiarazioni del fornitore in merito alla fornitura di prodotti NO OGM: </w:t>
      </w:r>
      <w:r>
        <w:rPr>
          <w:i/>
          <w:iCs/>
        </w:rPr>
        <w:t xml:space="preserve">Agrumi-Gel S.r.l. </w:t>
      </w:r>
      <w:r>
        <w:t xml:space="preserve">riesce a garantire l’assenza di OGM nelle materie lavorate. L’attività si basa sulle dichiarazioni rilasciati dai fornitori in seguito a nostra richiesta.</w:t>
      </w:r>
      <w:r/>
    </w:p>
    <w:p>
      <w:pPr>
        <w:pStyle w:val="834"/>
        <w:numPr>
          <w:ilvl w:val="2"/>
          <w:numId w:val="2"/>
        </w:numPr>
        <w:pBdr/>
        <w:spacing/>
        <w:ind/>
        <w:jc w:val="both"/>
        <w:rPr>
          <w:b/>
          <w:bCs/>
        </w:rPr>
      </w:pPr>
      <w:r>
        <w:rPr>
          <w:b/>
          <w:bCs/>
        </w:rPr>
        <w:t xml:space="preserve">MISURE DI </w:t>
      </w:r>
      <w:r>
        <w:rPr>
          <w:b/>
          <w:bCs/>
        </w:rPr>
        <w:t xml:space="preserve">ATTENUAZIONE</w:t>
      </w:r>
      <w:r>
        <w:rPr>
          <w:b/>
          <w:bCs/>
        </w:rPr>
      </w:r>
    </w:p>
    <w:p>
      <w:pPr>
        <w:pBdr/>
        <w:spacing/>
        <w:ind/>
        <w:jc w:val="both"/>
        <w:rPr/>
      </w:pPr>
      <w:r>
        <w:t xml:space="preserve">Al fine di aumentare il punteggio di talune materie prime che hanno ottenuto un punteggio molto basso, al disotto nella media, ma anche per aumentare il livello di sicurezza delle materie prime con punteggio già accettabile vengono effettuate da </w:t>
      </w:r>
      <w:r>
        <w:rPr>
          <w:i/>
          <w:iCs/>
        </w:rPr>
        <w:t xml:space="preserve">Agrumi-Gel S.r.l.</w:t>
      </w:r>
      <w:r>
        <w:t xml:space="preserve"> le seguenti misure di attenuazione:</w:t>
      </w:r>
      <w:r/>
    </w:p>
    <w:p>
      <w:pPr>
        <w:pStyle w:val="834"/>
        <w:numPr>
          <w:ilvl w:val="0"/>
          <w:numId w:val="1"/>
        </w:numPr>
        <w:pBdr/>
        <w:spacing/>
        <w:ind/>
        <w:jc w:val="both"/>
        <w:rPr/>
      </w:pPr>
      <w:r>
        <w:t xml:space="preserve">Scelta di fornitori certificati, con sistemi riconosciuti dal GSFI o da altri sistemi di certificazione, compreso la ISO 9001, 10854, 22000 etc.</w:t>
      </w:r>
      <w:r/>
    </w:p>
    <w:p>
      <w:pPr>
        <w:pStyle w:val="834"/>
        <w:numPr>
          <w:ilvl w:val="0"/>
          <w:numId w:val="1"/>
        </w:numPr>
        <w:pBdr/>
        <w:spacing/>
        <w:ind/>
        <w:jc w:val="both"/>
        <w:rPr/>
      </w:pPr>
      <w:r>
        <w:t xml:space="preserve">Scelta di fornitori più importanti, più grandi, a diffusione nazionale, europea, mondiali, quindi più affidabili rispetto al fornitore locale; vale anche per le spedizioni che vengono effettuate dall’azienda, tutto questo anche se essi sono più costosi. </w:t>
      </w:r>
      <w:r/>
    </w:p>
    <w:p>
      <w:pPr>
        <w:pStyle w:val="834"/>
        <w:pBdr/>
        <w:spacing/>
        <w:ind/>
        <w:jc w:val="both"/>
        <w:rPr/>
      </w:pPr>
      <w:r/>
      <w:r/>
    </w:p>
    <w:p>
      <w:pPr>
        <w:pStyle w:val="834"/>
        <w:numPr>
          <w:ilvl w:val="2"/>
          <w:numId w:val="2"/>
        </w:numPr>
        <w:pBdr/>
        <w:spacing/>
        <w:ind/>
        <w:jc w:val="both"/>
        <w:rPr>
          <w:b/>
          <w:bCs/>
        </w:rPr>
      </w:pPr>
      <w:r>
        <w:rPr>
          <w:b/>
          <w:bCs/>
        </w:rPr>
        <w:t xml:space="preserve">REVISIONE DEL PIANO DI VULNERABILITÀ</w:t>
      </w:r>
      <w:r>
        <w:rPr>
          <w:b/>
          <w:bCs/>
        </w:rPr>
      </w:r>
    </w:p>
    <w:p>
      <w:pPr>
        <w:pBdr/>
        <w:spacing w:before="240"/>
        <w:ind/>
        <w:jc w:val="both"/>
        <w:rPr/>
      </w:pPr>
      <w:r>
        <w:t xml:space="preserve">Il sistema viene revisionato ogni qualvolta:</w:t>
      </w:r>
      <w:r/>
    </w:p>
    <w:p>
      <w:pPr>
        <w:pStyle w:val="834"/>
        <w:numPr>
          <w:ilvl w:val="0"/>
          <w:numId w:val="1"/>
        </w:numPr>
        <w:pBdr/>
        <w:spacing w:before="240"/>
        <w:ind/>
        <w:jc w:val="both"/>
        <w:rPr/>
      </w:pPr>
      <w:r>
        <w:t xml:space="preserve">Inserimento di una nuova materia prima;</w:t>
      </w:r>
      <w:r/>
    </w:p>
    <w:p>
      <w:pPr>
        <w:pStyle w:val="834"/>
        <w:numPr>
          <w:ilvl w:val="0"/>
          <w:numId w:val="1"/>
        </w:numPr>
        <w:pBdr/>
        <w:spacing/>
        <w:ind/>
        <w:jc w:val="both"/>
        <w:rPr/>
      </w:pPr>
      <w:r>
        <w:t xml:space="preserve">Ci sia la comparsa di un nuovo rischio (ad esempio, adulterazione nota di un prodotto o sviluppi di informazioni scientifiche associate all’autenticità dei prodotti o delle materie prime del sito);</w:t>
      </w:r>
      <w:r/>
    </w:p>
    <w:p>
      <w:pPr>
        <w:pStyle w:val="834"/>
        <w:numPr>
          <w:ilvl w:val="0"/>
          <w:numId w:val="1"/>
        </w:numPr>
        <w:pBdr/>
        <w:spacing/>
        <w:ind/>
        <w:jc w:val="both"/>
        <w:rPr/>
      </w:pPr>
      <w:r>
        <w:t xml:space="preserve">A seguito di un incidente significativo in materia di sicurezza dei prodotti (ad esempio, un richiamo di prodotti) in cui è implicata l’autenticità dei prodotti o delle materie prime del sito.</w:t>
      </w:r>
      <w:r/>
    </w:p>
    <w:p>
      <w:pPr>
        <w:pBdr/>
        <w:spacing w:after="0" w:line="240" w:lineRule="auto"/>
        <w:ind/>
        <w:jc w:val="both"/>
        <w:rPr/>
      </w:pPr>
      <w:r/>
      <w:r/>
    </w:p>
    <w:p>
      <w:pPr>
        <w:pStyle w:val="834"/>
        <w:numPr>
          <w:ilvl w:val="2"/>
          <w:numId w:val="2"/>
        </w:numPr>
        <w:pBdr/>
        <w:spacing/>
        <w:ind/>
        <w:jc w:val="both"/>
        <w:rPr>
          <w:b/>
          <w:bCs/>
        </w:rPr>
      </w:pPr>
      <w:r>
        <w:rPr>
          <w:b/>
          <w:bCs/>
        </w:rPr>
        <w:t xml:space="preserve">QUALIFICA PER PRODUZIONI PARTICOLARI</w:t>
      </w:r>
      <w:r>
        <w:rPr>
          <w:b/>
          <w:bCs/>
        </w:rPr>
      </w:r>
    </w:p>
    <w:p>
      <w:pPr>
        <w:pBdr/>
        <w:spacing/>
        <w:ind/>
        <w:jc w:val="both"/>
        <w:rPr/>
      </w:pPr>
      <w:r>
        <w:t xml:space="preserve">Nel caso l’azienda </w:t>
      </w:r>
      <w:r>
        <w:rPr>
          <w:i/>
          <w:iCs/>
        </w:rPr>
        <w:t xml:space="preserve">Agrumi-Gel S.r.l. </w:t>
      </w:r>
      <w:r>
        <w:t xml:space="preserve">decida di produrre con specifici metodi di produzione (ad esempio, biologico, halal, kosher, etc.), essa deve mantenere lo status di certificazione necessario per poter fare tali affermazioni. In particolare, per la </w:t>
      </w:r>
      <w:r>
        <w:rPr>
          <w:u w:val="single"/>
        </w:rPr>
        <w:t xml:space="preserve">produzione biologica</w:t>
      </w:r>
      <w:r>
        <w:t xml:space="preserve"> viene richiesta al fornitore la trasmissione del certificato di conformità, unitamente al </w:t>
      </w:r>
      <w:r>
        <w:rPr>
          <w:i/>
          <w:iCs/>
        </w:rPr>
        <w:t xml:space="preserve">quaderno di campagna</w:t>
      </w:r>
      <w:r>
        <w:t xml:space="preserve"> dove sono documentati tutti i prodotti utilizzati e le relative date di esecuzione dei trattamenti.</w:t>
      </w:r>
      <w:r>
        <w:t xml:space="preserve"> In </w:t>
      </w:r>
      <w:r>
        <w:rPr>
          <w:i/>
          <w:iCs/>
        </w:rPr>
        <w:t xml:space="preserve">D 06.01 Lista fornitori materie prime e imballaggi valutati </w:t>
      </w:r>
      <w:r>
        <w:t xml:space="preserve">è presente una sezione per i </w:t>
      </w:r>
      <w:r>
        <w:rPr>
          <w:u w:val="single"/>
        </w:rPr>
        <w:t xml:space="preserve">fornitori di prodotti DOP/IGP</w:t>
      </w:r>
      <w:r>
        <w:t xml:space="preserve">. Nel caso in cui il fornitore invia una copia dell’Autorizzazione, in corso di validità, attestando così il suo assoggettamento ai Consorzi IGP/DOP, otterrà l’indicazione di </w:t>
      </w:r>
      <w:r>
        <w:rPr>
          <w:b/>
          <w:bCs/>
          <w:i/>
          <w:iCs/>
        </w:rPr>
        <w:t xml:space="preserve">Fornitore approvato per DOP/IGP</w:t>
      </w:r>
      <w:r>
        <w:t xml:space="preserve">. In questo campo si indica la data del rilascio dell’Autorizzazione DOP/IGP.</w:t>
      </w:r>
      <w:r/>
    </w:p>
    <w:p>
      <w:pPr>
        <w:pBdr/>
        <w:spacing/>
        <w:ind/>
        <w:jc w:val="both"/>
        <w:rPr/>
      </w:pPr>
      <w:r/>
      <w:r/>
    </w:p>
    <w:p>
      <w:pPr>
        <w:pStyle w:val="834"/>
        <w:numPr>
          <w:ilvl w:val="1"/>
          <w:numId w:val="2"/>
        </w:numPr>
        <w:pBdr/>
        <w:spacing/>
        <w:ind/>
        <w:jc w:val="both"/>
        <w:rPr>
          <w:b/>
          <w:bCs/>
        </w:rPr>
      </w:pPr>
      <w:r>
        <w:rPr>
          <w:b/>
          <w:bCs/>
        </w:rPr>
        <w:t xml:space="preserve">FORNITORI DI SERVIZI</w:t>
      </w:r>
      <w:r>
        <w:rPr>
          <w:b/>
          <w:bCs/>
        </w:rPr>
      </w:r>
    </w:p>
    <w:p>
      <w:pPr>
        <w:pBdr/>
        <w:spacing/>
        <w:ind/>
        <w:jc w:val="both"/>
        <w:rPr/>
      </w:pPr>
      <w:r>
        <w:t xml:space="preserve">Ne</w:t>
      </w:r>
      <w:r>
        <w:t xml:space="preserve">l caso dei fornitori di servizi essi vengono qualificati in base alle competenze tecniche dimostrate attraverso certificazioni e/o accreditamenti e, nel caso di personale, anche in base al curriculum vitae e alla comprovata esperienza e competenza tecnica.</w:t>
      </w:r>
      <w:r>
        <w:t xml:space="preserve"> In </w:t>
      </w:r>
      <w:r>
        <w:rPr>
          <w:i/>
          <w:iCs/>
        </w:rPr>
        <w:t xml:space="preserve">D 06.03 Lista fornitori di servizio valutati</w:t>
      </w:r>
      <w:r>
        <w:t xml:space="preserve"> viene indicata anche una valutazione basata sul rischio dei fornitori di servizi. I punti presi in considerazione sono i seguenti:</w:t>
      </w:r>
      <w:r/>
    </w:p>
    <w:tbl>
      <w:tblPr>
        <w:tblW w:w="0" w:type="auto"/>
        <w:tblBorders/>
        <w:tblLook w:val="04A0" w:firstRow="1" w:lastRow="0" w:firstColumn="1" w:lastColumn="0" w:noHBand="0" w:noVBand="1"/>
        <w:tblStyle w:val="839"/>
      </w:tblPr>
      <w:tblGrid>
        <w:gridCol w:w="2407"/>
        <w:gridCol w:w="2407"/>
        <w:gridCol w:w="2407"/>
        <w:gridCol w:w="2407"/>
      </w:tblGrid>
      <w:tr>
        <w:trPr/>
        <w:tc>
          <w:tcPr>
            <w:shd w:val="clear" w:color="auto" w:fill="fabf8f" w:themeFill="accent6" w:themeFillTint="99"/>
            <w:tcBorders/>
            <w:tcW w:w="2407" w:type="dxa"/>
            <w:textDirection w:val="lrTb"/>
            <w:noWrap w:val="false"/>
          </w:tcPr>
          <w:p>
            <w:pPr>
              <w:pBdr/>
              <w:spacing/>
              <w:ind/>
              <w:jc w:val="center"/>
              <w:rPr>
                <w:b/>
                <w:bCs/>
              </w:rPr>
            </w:pPr>
            <w:r>
              <w:rPr>
                <w:b/>
                <w:bCs/>
              </w:rPr>
              <w:t xml:space="preserve">Chiarezza nelle informazioni</w:t>
            </w:r>
            <w:r>
              <w:rPr>
                <w:b/>
                <w:bCs/>
              </w:rPr>
            </w:r>
          </w:p>
        </w:tc>
        <w:tc>
          <w:tcPr>
            <w:shd w:val="clear" w:color="auto" w:fill="fabf8f" w:themeFill="accent6" w:themeFillTint="99"/>
            <w:tcBorders/>
            <w:tcW w:w="2407" w:type="dxa"/>
            <w:textDirection w:val="lrTb"/>
            <w:noWrap w:val="false"/>
          </w:tcPr>
          <w:p>
            <w:pPr>
              <w:pBdr/>
              <w:spacing/>
              <w:ind/>
              <w:jc w:val="center"/>
              <w:rPr>
                <w:b/>
                <w:bCs/>
              </w:rPr>
            </w:pPr>
            <w:r>
              <w:rPr>
                <w:b/>
                <w:bCs/>
              </w:rPr>
              <w:t xml:space="preserve">Puntualità, rispetto tempistica contrattuale</w:t>
            </w:r>
            <w:r>
              <w:rPr>
                <w:b/>
                <w:bCs/>
              </w:rPr>
            </w:r>
          </w:p>
        </w:tc>
        <w:tc>
          <w:tcPr>
            <w:shd w:val="clear" w:color="auto" w:fill="fabf8f" w:themeFill="accent6" w:themeFillTint="99"/>
            <w:tcBorders/>
            <w:tcW w:w="2407" w:type="dxa"/>
            <w:vAlign w:val="center"/>
            <w:textDirection w:val="lrTb"/>
            <w:noWrap w:val="false"/>
          </w:tcPr>
          <w:p>
            <w:pPr>
              <w:pBdr/>
              <w:spacing/>
              <w:ind/>
              <w:jc w:val="center"/>
              <w:rPr>
                <w:b/>
                <w:bCs/>
              </w:rPr>
            </w:pPr>
            <w:r>
              <w:rPr>
                <w:b/>
                <w:bCs/>
              </w:rPr>
              <w:t xml:space="preserve">Attività non conforme</w:t>
            </w:r>
            <w:r>
              <w:rPr>
                <w:b/>
                <w:bCs/>
              </w:rPr>
            </w:r>
          </w:p>
        </w:tc>
        <w:tc>
          <w:tcPr>
            <w:shd w:val="clear" w:color="auto" w:fill="fabf8f" w:themeFill="accent6" w:themeFillTint="99"/>
            <w:tcBorders/>
            <w:tcW w:w="2407" w:type="dxa"/>
            <w:vAlign w:val="center"/>
            <w:textDirection w:val="lrTb"/>
            <w:noWrap w:val="false"/>
          </w:tcPr>
          <w:p>
            <w:pPr>
              <w:pBdr/>
              <w:spacing/>
              <w:ind/>
              <w:jc w:val="center"/>
              <w:rPr>
                <w:b/>
                <w:bCs/>
              </w:rPr>
            </w:pPr>
            <w:r>
              <w:rPr>
                <w:b/>
                <w:bCs/>
              </w:rPr>
              <w:t xml:space="preserve">Reclamo non gestito</w:t>
            </w:r>
            <w:r>
              <w:rPr>
                <w:b/>
                <w:bCs/>
              </w:rPr>
            </w:r>
          </w:p>
        </w:tc>
      </w:tr>
    </w:tbl>
    <w:p>
      <w:pPr>
        <w:pBdr/>
        <w:spacing/>
        <w:ind/>
        <w:jc w:val="both"/>
        <w:rPr/>
      </w:pPr>
      <w:r>
        <w:t xml:space="preserve">Le modalità di valutazione a punteggio sono indicate direttamente sul modulo.</w:t>
      </w:r>
      <w:r/>
    </w:p>
    <w:p>
      <w:pPr>
        <w:pBdr/>
        <w:spacing/>
        <w:ind/>
        <w:jc w:val="both"/>
        <w:rPr/>
      </w:pPr>
      <w:r/>
      <w:r/>
    </w:p>
    <w:p>
      <w:pPr>
        <w:pBdr/>
        <w:spacing/>
        <w:ind/>
        <w:jc w:val="both"/>
        <w:rPr/>
      </w:pPr>
      <w:r/>
      <w:r/>
    </w:p>
    <w:p>
      <w:pPr>
        <w:pBdr/>
        <w:spacing/>
        <w:ind/>
        <w:jc w:val="both"/>
        <w:rPr/>
      </w:pPr>
      <w:r/>
      <w:r/>
    </w:p>
    <w:p>
      <w:pPr>
        <w:pBdr/>
        <w:spacing/>
        <w:ind/>
        <w:jc w:val="both"/>
        <w:rPr/>
      </w:pPr>
      <w:r/>
      <w:r/>
    </w:p>
    <w:p>
      <w:pPr>
        <w:pBdr/>
        <w:spacing/>
        <w:ind/>
        <w:jc w:val="both"/>
        <w:rPr/>
      </w:pPr>
      <w:r/>
      <w:r/>
    </w:p>
    <w:p>
      <w:pPr>
        <w:pBdr/>
        <w:spacing/>
        <w:ind/>
        <w:jc w:val="both"/>
        <w:rPr/>
      </w:pPr>
      <w:r/>
      <w:r/>
    </w:p>
    <w:p>
      <w:pPr>
        <w:pBdr/>
        <w:spacing/>
        <w:ind/>
        <w:jc w:val="both"/>
        <w:rPr/>
      </w:pPr>
      <w:r/>
      <w:r/>
    </w:p>
    <w:p>
      <w:pPr>
        <w:pBdr/>
        <w:spacing/>
        <w:ind/>
        <w:jc w:val="both"/>
        <w:rPr/>
      </w:pPr>
      <w:r/>
      <w:r/>
    </w:p>
    <w:p>
      <w:pPr>
        <w:pBdr/>
        <w:spacing/>
        <w:ind/>
        <w:jc w:val="both"/>
        <w:rPr/>
      </w:pPr>
      <w:r/>
      <w:r/>
    </w:p>
    <w:p>
      <w:pPr>
        <w:pBdr/>
        <w:spacing/>
        <w:ind/>
        <w:jc w:val="both"/>
        <w:rPr/>
      </w:pPr>
      <w:r/>
      <w:r/>
    </w:p>
    <w:p>
      <w:pPr>
        <w:pBdr/>
        <w:spacing/>
        <w:ind/>
        <w:jc w:val="both"/>
        <w:rPr/>
      </w:pPr>
      <w:r/>
      <w:r/>
    </w:p>
    <w:p>
      <w:pPr>
        <w:pBdr/>
        <w:spacing/>
        <w:ind/>
        <w:jc w:val="both"/>
        <w:rPr/>
      </w:pPr>
      <w:r/>
      <w:r/>
    </w:p>
    <w:p>
      <w:pPr>
        <w:pBdr/>
        <w:spacing/>
        <w:ind/>
        <w:jc w:val="both"/>
        <w:rPr/>
      </w:pPr>
      <w:r/>
      <w:r/>
    </w:p>
    <w:p>
      <w:pPr>
        <w:pBdr/>
        <w:spacing/>
        <w:ind/>
        <w:jc w:val="both"/>
        <w:rPr/>
      </w:pPr>
      <w:r/>
      <w:r/>
    </w:p>
    <w:p>
      <w:pPr>
        <w:pBdr/>
        <w:spacing/>
        <w:ind/>
        <w:jc w:val="both"/>
        <w:rPr/>
      </w:pPr>
      <w:r/>
      <w:r/>
    </w:p>
    <w:p>
      <w:pPr>
        <w:pBdr/>
        <w:spacing/>
        <w:ind/>
        <w:jc w:val="both"/>
        <w:rPr/>
      </w:pPr>
      <w:r/>
      <w:r/>
    </w:p>
    <w:p>
      <w:pPr>
        <w:pBdr/>
        <w:spacing/>
        <w:ind/>
        <w:jc w:val="both"/>
        <w:rPr/>
      </w:pPr>
      <w:r/>
      <w:r/>
    </w:p>
    <w:p>
      <w:pPr>
        <w:pBdr/>
        <w:spacing/>
        <w:ind/>
        <w:jc w:val="both"/>
        <w:rPr/>
      </w:pPr>
      <w:r/>
      <w:r/>
    </w:p>
    <w:p>
      <w:pPr>
        <w:pBdr/>
        <w:spacing/>
        <w:ind/>
        <w:jc w:val="both"/>
        <w:rPr/>
      </w:pPr>
      <w:r/>
      <w:r/>
    </w:p>
    <w:p>
      <w:pPr>
        <w:pBdr/>
        <w:spacing/>
        <w:ind/>
        <w:jc w:val="both"/>
        <w:rPr/>
      </w:pPr>
      <w:r/>
      <w:r/>
    </w:p>
    <w:p>
      <w:pPr>
        <w:pBdr/>
        <w:spacing/>
        <w:ind/>
        <w:jc w:val="both"/>
        <w:rPr/>
      </w:pPr>
      <w:r/>
      <w:r/>
    </w:p>
    <w:p>
      <w:pPr>
        <w:pStyle w:val="834"/>
        <w:pBdr/>
        <w:spacing/>
        <w:ind/>
        <w:jc w:val="both"/>
        <w:rPr>
          <w:b/>
          <w:bCs/>
        </w:rPr>
      </w:pPr>
      <w:r>
        <w:rPr>
          <w:b/>
          <w:bCs/>
        </w:rPr>
        <w:t xml:space="preserve">2. </w:t>
      </w:r>
      <w:r>
        <w:rPr>
          <w:b/>
          <w:bCs/>
        </w:rPr>
        <w:t xml:space="preserve">INFORMAZIONI PER L’APPROVVIGIONAMENTO</w:t>
      </w:r>
      <w:r>
        <w:rPr>
          <w:b/>
          <w:bCs/>
        </w:rPr>
      </w:r>
    </w:p>
    <w:p>
      <w:pPr>
        <w:pBdr/>
        <w:spacing/>
        <w:ind/>
        <w:jc w:val="both"/>
        <w:rPr/>
      </w:pPr>
      <w:r>
        <w:t xml:space="preserve">Gli acquisti di prodotti e/o servizi aventi influenza sulla qualità e sicurezza del prodotto realizzato da </w:t>
      </w:r>
      <w:r>
        <w:rPr>
          <w:i/>
          <w:iCs/>
        </w:rPr>
        <w:t xml:space="preserve">Agrumi-Gel S.r.l. </w:t>
      </w:r>
      <w:r>
        <w:t xml:space="preserve">vengono effettuati da RSA/DP o da AU nel caso di acquisti straordinari (macchinari e strumenti di misure). Gli acquisti piccoli di materie prime, ausiliare e di imballaggi vengono effettuati da RAC (Responsabile acquisti), in funzione dei seguenti:</w:t>
      </w:r>
      <w:r/>
    </w:p>
    <w:p>
      <w:pPr>
        <w:pStyle w:val="834"/>
        <w:numPr>
          <w:ilvl w:val="0"/>
          <w:numId w:val="1"/>
        </w:numPr>
        <w:pBdr/>
        <w:spacing/>
        <w:ind/>
        <w:jc w:val="both"/>
        <w:rPr/>
      </w:pPr>
      <w:r>
        <w:t xml:space="preserve">Scorte di magazzino;</w:t>
      </w:r>
      <w:r/>
    </w:p>
    <w:p>
      <w:pPr>
        <w:pStyle w:val="834"/>
        <w:numPr>
          <w:ilvl w:val="0"/>
          <w:numId w:val="1"/>
        </w:numPr>
        <w:pBdr/>
        <w:spacing/>
        <w:ind/>
        <w:jc w:val="both"/>
        <w:rPr/>
      </w:pPr>
      <w:r>
        <w:t xml:space="preserve">Previsioni di vendita;</w:t>
      </w:r>
      <w:r/>
    </w:p>
    <w:p>
      <w:pPr>
        <w:pStyle w:val="834"/>
        <w:numPr>
          <w:ilvl w:val="0"/>
          <w:numId w:val="1"/>
        </w:numPr>
        <w:pBdr/>
        <w:spacing/>
        <w:ind/>
        <w:jc w:val="both"/>
        <w:rPr/>
      </w:pPr>
      <w:r>
        <w:t xml:space="preserve">Contratti chiusi.</w:t>
      </w:r>
      <w:r/>
    </w:p>
    <w:p>
      <w:pPr>
        <w:pBdr/>
        <w:spacing/>
        <w:ind/>
        <w:jc w:val="both"/>
        <w:rPr>
          <w:i/>
          <w:iCs/>
        </w:rPr>
      </w:pPr>
      <w:r>
        <w:t xml:space="preserve">Pertanto RSA, consultando</w:t>
      </w:r>
      <w:r>
        <w:t xml:space="preserve"> RAC e monitorando la situazione di magazzino, predispone una documentazione d’acquisto che deve contenere tutte le indicazioni necessarie affinché il prodotto oggetto dell’acquisto sia chiaramente descritto e perfettamente rispondente alle esigenze della </w:t>
      </w:r>
      <w:r>
        <w:rPr>
          <w:i/>
          <w:iCs/>
        </w:rPr>
        <w:t xml:space="preserve">Agrumi-Gel S.r.l.</w:t>
      </w:r>
      <w:r>
        <w:rPr>
          <w:i/>
          <w:iCs/>
        </w:rPr>
      </w:r>
    </w:p>
    <w:p>
      <w:pPr>
        <w:pBdr/>
        <w:spacing/>
        <w:ind/>
        <w:jc w:val="both"/>
        <w:rPr>
          <w:b/>
          <w:bCs/>
        </w:rPr>
      </w:pPr>
      <w:r>
        <w:tab/>
      </w:r>
      <w:r>
        <w:rPr>
          <w:b/>
          <w:bCs/>
        </w:rPr>
        <w:t xml:space="preserve">2.1</w:t>
      </w:r>
      <w:r>
        <w:rPr>
          <w:b/>
          <w:bCs/>
        </w:rPr>
        <w:t xml:space="preserve"> </w:t>
      </w:r>
      <w:r>
        <w:rPr>
          <w:b/>
          <w:bCs/>
        </w:rPr>
        <w:t xml:space="preserve">FLUSSO OPERATIVO</w:t>
      </w:r>
      <w:r>
        <w:rPr>
          <w:b/>
          <w:bCs/>
        </w:rPr>
        <w:t xml:space="preserve"> DI APPROVVIGIONAMENTO</w:t>
      </w:r>
      <w:r>
        <w:rPr>
          <w:b/>
          <w:bCs/>
        </w:rPr>
      </w:r>
    </w:p>
    <w:p>
      <w:pPr>
        <w:pBdr/>
        <w:spacing/>
        <w:ind/>
        <w:jc w:val="both"/>
        <w:rPr/>
      </w:pPr>
      <w:r>
        <w:t xml:space="preserve">La merce acquistata giunge in azienda con automezzo. L’ufficio acce</w:t>
      </w:r>
      <w:r>
        <w:t xml:space="preserve">ttazione, che risponde al citofono posto al primo dei due cancelli in ingresso, verifica i documenti di acquisto della merce in arrivo. Nel caso di frutta, o di altro materiale di cui egli è responsabile, fa attendere al mezzo l’ordine di ingresso secondo </w:t>
      </w:r>
      <w:r>
        <w:rPr>
          <w:i/>
          <w:iCs/>
        </w:rPr>
        <w:t xml:space="preserve">M 06.02 Programma di massima conferimento agrumi </w:t>
      </w:r>
      <w:r>
        <w:t xml:space="preserve">e </w:t>
      </w:r>
      <w:r>
        <w:rPr>
          <w:i/>
          <w:iCs/>
        </w:rPr>
        <w:t xml:space="preserve">M 06.03 Programma di massima conferimento melograno</w:t>
      </w:r>
      <w:r>
        <w:t xml:space="preserve">, diversamente, comunica all’addetto carico/scarico il carico in arrivo.</w:t>
      </w:r>
      <w:r/>
    </w:p>
    <w:p>
      <w:pPr>
        <w:pBdr/>
        <w:spacing/>
        <w:ind/>
        <w:jc w:val="both"/>
        <w:rPr/>
      </w:pPr>
      <w:r>
        <w:t xml:space="preserve">RSA</w:t>
      </w:r>
      <w:r>
        <w:t xml:space="preserve"> può in qualsiasi momento decidere di sospendere o eliminare un fornitore, qualora dovessero emergere anomalie gravi a suo carico (es. mancato rispetto delle specifiche di prodotto, condizioni igienico-sanitarie non conformi, allergeni mai segnalati, etc.)</w:t>
      </w:r>
      <w:r/>
    </w:p>
    <w:p>
      <w:pPr>
        <w:pBdr/>
        <w:spacing/>
        <w:ind/>
        <w:jc w:val="both"/>
        <w:rPr/>
      </w:pPr>
      <w:r/>
      <w:r/>
    </w:p>
    <w:p>
      <w:pPr>
        <w:pBdr/>
        <w:spacing/>
        <w:ind/>
        <w:jc w:val="both"/>
        <w:rPr/>
      </w:pPr>
      <w:r/>
      <w:r/>
    </w:p>
    <w:p>
      <w:pPr>
        <w:pBdr/>
        <w:spacing/>
        <w:ind/>
        <w:jc w:val="both"/>
        <w:rPr/>
      </w:pPr>
      <w:r/>
      <w:r/>
    </w:p>
    <w:p>
      <w:pPr>
        <w:pBdr/>
        <w:spacing/>
        <w:ind/>
        <w:jc w:val="both"/>
        <w:rPr/>
      </w:pPr>
      <w:r/>
      <w:r/>
    </w:p>
    <w:p>
      <w:pPr>
        <w:pBdr/>
        <w:spacing/>
        <w:ind/>
        <w:jc w:val="both"/>
        <w:rPr/>
      </w:pPr>
      <w:r/>
      <w:r/>
    </w:p>
    <w:p>
      <w:pPr>
        <w:pBdr/>
        <w:spacing/>
        <w:ind/>
        <w:jc w:val="both"/>
        <w:rPr/>
      </w:pPr>
      <w:r/>
      <w:r/>
    </w:p>
    <w:p>
      <w:pPr>
        <w:pBdr/>
        <w:spacing/>
        <w:ind/>
        <w:jc w:val="both"/>
        <w:rPr/>
      </w:pPr>
      <w:r/>
      <w:r/>
    </w:p>
    <w:p>
      <w:pPr>
        <w:pBdr/>
        <w:spacing/>
        <w:ind/>
        <w:jc w:val="both"/>
        <w:rPr/>
      </w:pPr>
      <w:r/>
      <w:r/>
    </w:p>
    <w:p>
      <w:pPr>
        <w:pBdr/>
        <w:spacing/>
        <w:ind/>
        <w:jc w:val="both"/>
        <w:rPr/>
      </w:pPr>
      <w:r/>
      <w:r/>
    </w:p>
    <w:p>
      <w:pPr>
        <w:pBdr/>
        <w:spacing/>
        <w:ind/>
        <w:jc w:val="both"/>
        <w:rPr/>
      </w:pPr>
      <w:r/>
      <w:r/>
    </w:p>
    <w:p>
      <w:pPr>
        <w:pBdr/>
        <w:spacing/>
        <w:ind/>
        <w:jc w:val="both"/>
        <w:rPr/>
      </w:pPr>
      <w:r/>
      <w:r/>
    </w:p>
    <w:p>
      <w:pPr>
        <w:pBdr/>
        <w:spacing/>
        <w:ind/>
        <w:jc w:val="both"/>
        <w:rPr/>
      </w:pPr>
      <w:r/>
      <w:r/>
    </w:p>
    <w:p>
      <w:pPr>
        <w:pBdr/>
        <w:spacing/>
        <w:ind/>
        <w:jc w:val="both"/>
        <w:rPr>
          <w:b/>
          <w:bCs/>
        </w:rPr>
      </w:pPr>
      <w:r>
        <w:tab/>
      </w:r>
      <w:r>
        <w:rPr>
          <w:b/>
          <w:bCs/>
        </w:rPr>
        <w:t xml:space="preserve">2.1.1</w:t>
      </w:r>
      <w:r>
        <w:rPr>
          <w:b/>
          <w:bCs/>
        </w:rPr>
        <w:t xml:space="preserve"> CONTROLLI AL RICEVIMENTO DELLE MATERIE PRIME E DEI MATERIALI DI CONFEZIONAMENTO</w:t>
      </w:r>
      <w:r>
        <w:rPr>
          <w:b/>
          <w:bCs/>
        </w:rPr>
      </w:r>
    </w:p>
    <w:p>
      <w:pPr>
        <w:pBdr/>
        <w:spacing/>
        <w:ind/>
        <w:jc w:val="both"/>
        <w:rPr/>
      </w:pPr>
      <w:r>
        <w:t xml:space="preserve">I controlli effettuati al ricevimento dell’azienda sono </w:t>
      </w:r>
      <w:r>
        <w:t xml:space="preserve">eseguiti dall’addetto al bilico e sono </w:t>
      </w:r>
      <w:r>
        <w:t xml:space="preserve">suddivisi in:</w:t>
      </w:r>
      <w:r/>
    </w:p>
    <w:tbl>
      <w:tblPr>
        <w:tblW w:w="0" w:type="auto"/>
        <w:tblBorders/>
        <w:tblLook w:val="04A0" w:firstRow="1" w:lastRow="0" w:firstColumn="1" w:lastColumn="0" w:noHBand="0" w:noVBand="1"/>
        <w:tblStyle w:val="839"/>
      </w:tblPr>
      <w:tblGrid>
        <w:gridCol w:w="2547"/>
        <w:gridCol w:w="5386"/>
        <w:gridCol w:w="1695"/>
      </w:tblGrid>
      <w:tr>
        <w:trPr/>
        <w:tc>
          <w:tcPr>
            <w:gridSpan w:val="3"/>
            <w:shd w:val="clear" w:color="auto" w:fill="fabf8f" w:themeFill="accent6" w:themeFillTint="99"/>
            <w:tcBorders/>
            <w:tcW w:w="9628" w:type="dxa"/>
            <w:textDirection w:val="lrTb"/>
            <w:noWrap w:val="false"/>
          </w:tcPr>
          <w:p>
            <w:pPr>
              <w:pBdr/>
              <w:spacing/>
              <w:ind/>
              <w:jc w:val="center"/>
              <w:rPr>
                <w:b/>
                <w:bCs/>
              </w:rPr>
            </w:pPr>
            <w:r>
              <w:rPr>
                <w:b/>
                <w:bCs/>
              </w:rPr>
              <w:t xml:space="preserve">CONTROLLI IN ACCETTAZIONE</w:t>
            </w:r>
            <w:r>
              <w:rPr>
                <w:b/>
                <w:bCs/>
              </w:rPr>
            </w:r>
          </w:p>
        </w:tc>
      </w:tr>
      <w:tr>
        <w:trPr/>
        <w:tc>
          <w:tcPr>
            <w:gridSpan w:val="2"/>
            <w:shd w:val="clear" w:color="auto" w:fill="fabf8f" w:themeFill="accent6" w:themeFillTint="99"/>
            <w:tcBorders/>
            <w:tcW w:w="7933" w:type="dxa"/>
            <w:textDirection w:val="lrTb"/>
            <w:noWrap w:val="false"/>
          </w:tcPr>
          <w:p>
            <w:pPr>
              <w:pBdr/>
              <w:spacing/>
              <w:ind/>
              <w:jc w:val="center"/>
              <w:rPr>
                <w:b/>
                <w:bCs/>
              </w:rPr>
            </w:pPr>
            <w:r>
              <w:rPr>
                <w:b/>
                <w:bCs/>
              </w:rPr>
            </w:r>
            <w:r>
              <w:rPr>
                <w:b/>
                <w:bCs/>
              </w:rPr>
            </w:r>
          </w:p>
        </w:tc>
        <w:tc>
          <w:tcPr>
            <w:shd w:val="clear" w:color="auto" w:fill="fabf8f" w:themeFill="accent6" w:themeFillTint="99"/>
            <w:tcBorders/>
            <w:tcW w:w="1695" w:type="dxa"/>
            <w:textDirection w:val="lrTb"/>
            <w:noWrap w:val="false"/>
          </w:tcPr>
          <w:p>
            <w:pPr>
              <w:pBdr/>
              <w:spacing/>
              <w:ind/>
              <w:jc w:val="center"/>
              <w:rPr>
                <w:b/>
                <w:bCs/>
              </w:rPr>
            </w:pPr>
            <w:r>
              <w:rPr>
                <w:b/>
                <w:bCs/>
              </w:rPr>
              <w:t xml:space="preserve">REGISTRAZIONE</w:t>
            </w:r>
            <w:r>
              <w:rPr>
                <w:b/>
                <w:bCs/>
              </w:rPr>
            </w:r>
          </w:p>
        </w:tc>
      </w:tr>
      <w:tr>
        <w:trPr/>
        <w:tc>
          <w:tcPr>
            <w:tcBorders/>
            <w:tcW w:w="2547" w:type="dxa"/>
            <w:textDirection w:val="lrTb"/>
            <w:noWrap w:val="false"/>
          </w:tcPr>
          <w:p>
            <w:pPr>
              <w:pBdr/>
              <w:spacing/>
              <w:ind/>
              <w:jc w:val="both"/>
              <w:rPr>
                <w:b/>
                <w:bCs/>
              </w:rPr>
            </w:pPr>
            <w:r>
              <w:rPr>
                <w:b/>
                <w:bCs/>
              </w:rPr>
              <w:t xml:space="preserve">A. </w:t>
            </w:r>
            <w:r>
              <w:rPr>
                <w:b/>
                <w:bCs/>
              </w:rPr>
              <w:t xml:space="preserve">Controlli documentali</w:t>
            </w:r>
            <w:r>
              <w:rPr>
                <w:b/>
                <w:bCs/>
              </w:rPr>
            </w:r>
          </w:p>
        </w:tc>
        <w:tc>
          <w:tcPr>
            <w:tcBorders/>
            <w:tcW w:w="5386" w:type="dxa"/>
            <w:textDirection w:val="lrTb"/>
            <w:noWrap w:val="false"/>
          </w:tcPr>
          <w:p>
            <w:pPr>
              <w:pBdr/>
              <w:spacing/>
              <w:ind/>
              <w:jc w:val="both"/>
              <w:rPr/>
            </w:pPr>
            <w:r>
              <w:t xml:space="preserve">Verifica della presenza e della conformità dei documenti agli ordini d’acquisto.</w:t>
            </w:r>
            <w:r/>
          </w:p>
        </w:tc>
        <w:tc>
          <w:tcPr>
            <w:tcBorders/>
            <w:tcW w:w="1695" w:type="dxa"/>
            <w:textDirection w:val="lrTb"/>
            <w:noWrap w:val="false"/>
          </w:tcPr>
          <w:p>
            <w:pPr>
              <w:pBdr/>
              <w:spacing/>
              <w:ind/>
              <w:jc w:val="both"/>
              <w:rPr/>
            </w:pPr>
            <w:r/>
            <w:r/>
          </w:p>
        </w:tc>
      </w:tr>
      <w:tr>
        <w:trPr/>
        <w:tc>
          <w:tcPr>
            <w:tcBorders/>
            <w:tcW w:w="2547" w:type="dxa"/>
            <w:textDirection w:val="lrTb"/>
            <w:noWrap w:val="false"/>
          </w:tcPr>
          <w:p>
            <w:pPr>
              <w:pBdr/>
              <w:spacing/>
              <w:ind/>
              <w:jc w:val="both"/>
              <w:rPr>
                <w:b/>
                <w:bCs/>
              </w:rPr>
            </w:pPr>
            <w:r>
              <w:rPr>
                <w:b/>
                <w:bCs/>
              </w:rPr>
              <w:t xml:space="preserve">B. </w:t>
            </w:r>
            <w:r>
              <w:rPr>
                <w:b/>
                <w:bCs/>
              </w:rPr>
              <w:t xml:space="preserve">Controlli visivi</w:t>
            </w:r>
            <w:r>
              <w:rPr>
                <w:b/>
                <w:bCs/>
              </w:rPr>
            </w:r>
          </w:p>
          <w:p>
            <w:pPr>
              <w:pBdr/>
              <w:spacing/>
              <w:ind/>
              <w:jc w:val="both"/>
              <w:rPr>
                <w:b/>
                <w:bCs/>
              </w:rPr>
            </w:pPr>
            <w:r>
              <w:rPr>
                <w:b/>
                <w:bCs/>
              </w:rPr>
            </w:r>
            <w:r>
              <w:rPr>
                <w:b/>
                <w:bCs/>
              </w:rPr>
            </w:r>
          </w:p>
          <w:p>
            <w:pPr>
              <w:pBdr/>
              <w:spacing/>
              <w:ind/>
              <w:jc w:val="both"/>
              <w:rPr>
                <w:b/>
                <w:bCs/>
              </w:rPr>
            </w:pPr>
            <w:r>
              <w:rPr>
                <w:b/>
                <w:bCs/>
              </w:rPr>
            </w:r>
            <w:r>
              <w:rPr>
                <w:b/>
                <w:bCs/>
              </w:rPr>
            </w:r>
          </w:p>
        </w:tc>
        <w:tc>
          <w:tcPr>
            <w:tcBorders/>
            <w:tcW w:w="5386" w:type="dxa"/>
            <w:textDirection w:val="lrTb"/>
            <w:noWrap w:val="false"/>
          </w:tcPr>
          <w:p>
            <w:pPr>
              <w:pStyle w:val="834"/>
              <w:numPr>
                <w:ilvl w:val="0"/>
                <w:numId w:val="1"/>
              </w:numPr>
              <w:pBdr/>
              <w:spacing/>
              <w:ind/>
              <w:jc w:val="both"/>
              <w:rPr/>
            </w:pPr>
            <w:r>
              <w:t xml:space="preserve">Verifica delle condizioni del mezzo di trasporto e stato igienico del prodotto</w:t>
            </w:r>
            <w:r/>
          </w:p>
          <w:p>
            <w:pPr>
              <w:pStyle w:val="834"/>
              <w:numPr>
                <w:ilvl w:val="0"/>
                <w:numId w:val="1"/>
              </w:numPr>
              <w:pBdr/>
              <w:spacing/>
              <w:ind/>
              <w:jc w:val="both"/>
              <w:rPr/>
            </w:pPr>
            <w:r>
              <w:t xml:space="preserve">Controllo di assenza di trasporto promiscuo</w:t>
            </w:r>
            <w:r/>
          </w:p>
          <w:p>
            <w:pPr>
              <w:pStyle w:val="834"/>
              <w:numPr>
                <w:ilvl w:val="0"/>
                <w:numId w:val="1"/>
              </w:numPr>
              <w:pBdr/>
              <w:spacing/>
              <w:ind/>
              <w:jc w:val="both"/>
              <w:rPr/>
            </w:pPr>
            <w:r>
              <w:t xml:space="preserve">Controllo di integrità </w:t>
            </w:r>
            <w:r/>
          </w:p>
          <w:p>
            <w:pPr>
              <w:pStyle w:val="834"/>
              <w:numPr>
                <w:ilvl w:val="0"/>
                <w:numId w:val="1"/>
              </w:numPr>
              <w:pBdr/>
              <w:spacing/>
              <w:ind/>
              <w:jc w:val="both"/>
              <w:rPr/>
            </w:pPr>
            <w:r>
              <w:t xml:space="preserve">Regolare etichettatura e conformità all’ordine.</w:t>
            </w:r>
            <w:r/>
          </w:p>
          <w:p>
            <w:pPr>
              <w:pStyle w:val="834"/>
              <w:numPr>
                <w:ilvl w:val="0"/>
                <w:numId w:val="1"/>
              </w:numPr>
              <w:pBdr/>
              <w:spacing/>
              <w:ind/>
              <w:jc w:val="both"/>
              <w:rPr/>
            </w:pPr>
            <w:r>
              <w:t xml:space="preserve">Controllo sulla conformità e igiene dei materiali di confezionamento primario</w:t>
            </w:r>
            <w:r/>
          </w:p>
          <w:p>
            <w:pPr>
              <w:pStyle w:val="834"/>
              <w:numPr>
                <w:ilvl w:val="0"/>
                <w:numId w:val="1"/>
              </w:numPr>
              <w:pBdr/>
              <w:spacing/>
              <w:ind/>
              <w:jc w:val="both"/>
              <w:rPr/>
            </w:pPr>
            <w:r>
              <w:t xml:space="preserve">Controllo dei prodotti e dei pallet/pedane per la verifica dell’assenza di infestanti di prodotto ed ambientali e contaminanti (es. ruggine)</w:t>
            </w:r>
            <w:r/>
          </w:p>
        </w:tc>
        <w:tc>
          <w:tcPr>
            <w:tcBorders/>
            <w:tcW w:w="1695" w:type="dxa"/>
            <w:textDirection w:val="lrTb"/>
            <w:noWrap w:val="false"/>
          </w:tcPr>
          <w:p>
            <w:pPr>
              <w:pBdr/>
              <w:spacing/>
              <w:ind/>
              <w:jc w:val="both"/>
              <w:rPr/>
            </w:pPr>
            <w:r>
              <w:rPr>
                <w:i/>
                <w:iCs/>
              </w:rPr>
              <w:t xml:space="preserve">M 10.06.02 Controllo in accettazione imballi</w:t>
            </w:r>
            <w:r/>
          </w:p>
        </w:tc>
      </w:tr>
      <w:tr>
        <w:trPr/>
        <w:tc>
          <w:tcPr>
            <w:tcBorders/>
            <w:tcW w:w="2547" w:type="dxa"/>
            <w:textDirection w:val="lrTb"/>
            <w:noWrap w:val="false"/>
          </w:tcPr>
          <w:p>
            <w:pPr>
              <w:pBdr/>
              <w:spacing/>
              <w:ind/>
              <w:jc w:val="both"/>
              <w:rPr>
                <w:b/>
                <w:bCs/>
              </w:rPr>
            </w:pPr>
            <w:r>
              <w:rPr>
                <w:b/>
                <w:bCs/>
              </w:rPr>
              <w:t xml:space="preserve">C. </w:t>
            </w:r>
            <w:r>
              <w:rPr>
                <w:b/>
                <w:bCs/>
              </w:rPr>
              <w:t xml:space="preserve">Controlli sulla frutta</w:t>
            </w:r>
            <w:r>
              <w:rPr>
                <w:b/>
                <w:bCs/>
              </w:rPr>
            </w:r>
          </w:p>
          <w:p>
            <w:pPr>
              <w:pBdr/>
              <w:spacing/>
              <w:ind/>
              <w:jc w:val="both"/>
              <w:rPr>
                <w:b/>
                <w:bCs/>
              </w:rPr>
            </w:pPr>
            <w:r>
              <w:rPr>
                <w:b/>
                <w:bCs/>
              </w:rPr>
            </w:r>
            <w:r>
              <w:rPr>
                <w:b/>
                <w:bCs/>
              </w:rPr>
            </w:r>
          </w:p>
          <w:p>
            <w:pPr>
              <w:pBdr/>
              <w:spacing/>
              <w:ind/>
              <w:jc w:val="both"/>
              <w:rPr>
                <w:b/>
                <w:bCs/>
              </w:rPr>
            </w:pPr>
            <w:r>
              <w:rPr>
                <w:b/>
                <w:bCs/>
              </w:rPr>
            </w:r>
            <w:r>
              <w:rPr>
                <w:b/>
                <w:bCs/>
              </w:rPr>
            </w:r>
          </w:p>
        </w:tc>
        <w:tc>
          <w:tcPr>
            <w:tcBorders/>
            <w:tcW w:w="5386" w:type="dxa"/>
            <w:textDirection w:val="lrTb"/>
            <w:noWrap w:val="false"/>
          </w:tcPr>
          <w:p>
            <w:pPr>
              <w:pBdr/>
              <w:spacing/>
              <w:ind/>
              <w:jc w:val="both"/>
              <w:rPr/>
            </w:pPr>
            <w:r>
              <w:t xml:space="preserve">Verifica di tipo visivo da parte degli addetti del laboratorio, da parte degli operatori addetti</w:t>
            </w:r>
            <w:r>
              <w:t xml:space="preserve"> alla selezione frutta che eliminano i prodotti marci, ammuffiti, anneriti, etc. Al ricevimento si verifica il prodotto indicando quanto prodotto non è da considerarsi lavorabile per la trasformazione e viene definito come “scarto” e comunicato al cliente.</w:t>
            </w:r>
            <w:r/>
          </w:p>
        </w:tc>
        <w:tc>
          <w:tcPr>
            <w:tcBorders/>
            <w:tcW w:w="1695" w:type="dxa"/>
            <w:textDirection w:val="lrTb"/>
            <w:noWrap w:val="false"/>
          </w:tcPr>
          <w:p>
            <w:pPr>
              <w:pBdr/>
              <w:spacing/>
              <w:ind/>
              <w:jc w:val="both"/>
              <w:rPr/>
            </w:pPr>
            <w:r>
              <w:rPr>
                <w:i/>
                <w:iCs/>
              </w:rPr>
              <w:t xml:space="preserve">M 10.06.01 Controllo in accettazione frutta</w:t>
            </w:r>
            <w:r/>
          </w:p>
        </w:tc>
      </w:tr>
    </w:tbl>
    <w:p>
      <w:pPr>
        <w:pBdr/>
        <w:spacing/>
        <w:ind/>
        <w:jc w:val="both"/>
        <w:rPr/>
      </w:pPr>
      <w:r/>
      <w:r/>
    </w:p>
    <w:p>
      <w:pPr>
        <w:pBdr/>
        <w:spacing/>
        <w:ind/>
        <w:jc w:val="both"/>
        <w:rPr/>
      </w:pPr>
      <w:r>
        <w:t xml:space="preserve">In caso di non conformità del punto A., B., C. le azioni correttive sono le seguenti:</w:t>
      </w:r>
      <w:r/>
    </w:p>
    <w:p>
      <w:pPr>
        <w:pStyle w:val="834"/>
        <w:numPr>
          <w:ilvl w:val="0"/>
          <w:numId w:val="1"/>
        </w:numPr>
        <w:pBdr/>
        <w:spacing/>
        <w:ind/>
        <w:jc w:val="both"/>
        <w:rPr/>
      </w:pPr>
      <w:r>
        <w:t xml:space="preserve">Rifiuto totale o parziale della merce;</w:t>
      </w:r>
      <w:r/>
    </w:p>
    <w:p>
      <w:pPr>
        <w:pStyle w:val="834"/>
        <w:numPr>
          <w:ilvl w:val="0"/>
          <w:numId w:val="1"/>
        </w:numPr>
        <w:pBdr/>
        <w:spacing/>
        <w:ind/>
        <w:jc w:val="both"/>
        <w:rPr/>
      </w:pPr>
      <w:r>
        <w:t xml:space="preserve">Accettazione con riserva;</w:t>
      </w:r>
      <w:r/>
    </w:p>
    <w:p>
      <w:pPr>
        <w:pStyle w:val="834"/>
        <w:numPr>
          <w:ilvl w:val="0"/>
          <w:numId w:val="1"/>
        </w:numPr>
        <w:pBdr/>
        <w:spacing/>
        <w:ind/>
        <w:jc w:val="both"/>
        <w:rPr/>
      </w:pPr>
      <w:r>
        <w:t xml:space="preserve">Contestazione scritta al fornitore delle non conformità riscontrate;</w:t>
      </w:r>
      <w:r/>
    </w:p>
    <w:p>
      <w:pPr>
        <w:pStyle w:val="834"/>
        <w:numPr>
          <w:ilvl w:val="0"/>
          <w:numId w:val="1"/>
        </w:numPr>
        <w:pBdr/>
        <w:spacing/>
        <w:ind/>
        <w:jc w:val="both"/>
        <w:rPr/>
      </w:pPr>
      <w:r>
        <w:t xml:space="preserve">Sostituzione del fornitore in caso di non conformità gravi o ripetute.</w:t>
      </w:r>
      <w:r/>
    </w:p>
    <w:p>
      <w:pPr>
        <w:pBdr/>
        <w:spacing/>
        <w:ind/>
        <w:jc w:val="both"/>
        <w:rPr/>
      </w:pPr>
      <w:r>
        <w:t xml:space="preserve">In caso di non conformità rilevata a seguito di analisi sia microbiologiche sia chimiche, cioè dopo l’accettazione della fornitura e quando le materie prime sono state già utilizzate nel processo produttivo, la procedura prevede:</w:t>
      </w:r>
      <w:r/>
    </w:p>
    <w:p>
      <w:pPr>
        <w:pStyle w:val="834"/>
        <w:numPr>
          <w:ilvl w:val="0"/>
          <w:numId w:val="8"/>
        </w:numPr>
        <w:pBdr/>
        <w:spacing/>
        <w:ind/>
        <w:jc w:val="both"/>
        <w:rPr/>
      </w:pPr>
      <w:r>
        <w:t xml:space="preserve">La segnalazione al fornitore della non conformità riscontrata;</w:t>
      </w:r>
      <w:r/>
    </w:p>
    <w:p>
      <w:pPr>
        <w:pStyle w:val="834"/>
        <w:numPr>
          <w:ilvl w:val="0"/>
          <w:numId w:val="8"/>
        </w:numPr>
        <w:pBdr/>
        <w:spacing/>
        <w:ind/>
        <w:jc w:val="both"/>
        <w:rPr/>
      </w:pPr>
      <w:r>
        <w:t xml:space="preserve">La sostituzione del fornitore;</w:t>
      </w:r>
      <w:r/>
    </w:p>
    <w:p>
      <w:pPr>
        <w:pStyle w:val="834"/>
        <w:numPr>
          <w:ilvl w:val="0"/>
          <w:numId w:val="8"/>
        </w:numPr>
        <w:pBdr/>
        <w:spacing/>
        <w:ind/>
        <w:jc w:val="both"/>
        <w:rPr/>
      </w:pPr>
      <w:r>
        <w:t xml:space="preserve">L’individuazione e l’isolamento dei lotti prodotti ottenuti con le materie prime risultate analiticamente non conformi;</w:t>
      </w:r>
      <w:r/>
    </w:p>
    <w:p>
      <w:pPr>
        <w:pStyle w:val="834"/>
        <w:numPr>
          <w:ilvl w:val="0"/>
          <w:numId w:val="8"/>
        </w:numPr>
        <w:pBdr/>
        <w:spacing/>
        <w:ind/>
        <w:jc w:val="both"/>
        <w:rPr/>
      </w:pPr>
      <w:r>
        <w:t xml:space="preserve">L’analisi del prodotto finito preparato con le materie prime non conformi;</w:t>
      </w:r>
      <w:r/>
    </w:p>
    <w:p>
      <w:pPr>
        <w:pStyle w:val="834"/>
        <w:numPr>
          <w:ilvl w:val="0"/>
          <w:numId w:val="8"/>
        </w:numPr>
        <w:pBdr/>
        <w:spacing/>
        <w:ind/>
        <w:jc w:val="both"/>
        <w:rPr/>
      </w:pPr>
      <w:r>
        <w:t xml:space="preserve">Il declassamento della merce prodotta. </w:t>
      </w:r>
      <w:r/>
    </w:p>
    <w:p>
      <w:pPr>
        <w:pBdr/>
        <w:spacing/>
        <w:ind/>
        <w:jc w:val="both"/>
        <w:rPr/>
      </w:pPr>
      <w:r>
        <w:t xml:space="preserve">Per i materiali di confezionamento viene richiesta, ogni tre anni, la certificazione di id</w:t>
      </w:r>
      <w:r>
        <w:t xml:space="preserve">oneità a venire a contatto con gli alimenti (dichiarazione MOCA) oltre che la scheda tecnica ed i test di cessione. I materiali di confezionamento sono scelti in base alla loro composizione, in modo da evitare l’utilizzo di materiali contenenti allergeni. </w:t>
      </w:r>
      <w:r/>
    </w:p>
    <w:p>
      <w:pPr>
        <w:pBdr/>
        <w:spacing/>
        <w:ind w:left="708"/>
        <w:jc w:val="both"/>
        <w:rPr>
          <w:b/>
          <w:bCs/>
        </w:rPr>
      </w:pPr>
      <w:r>
        <w:rPr>
          <w:b/>
          <w:bCs/>
        </w:rPr>
        <w:t xml:space="preserve">2.1.2</w:t>
      </w:r>
      <w:r>
        <w:rPr>
          <w:b/>
          <w:bCs/>
        </w:rPr>
        <w:t xml:space="preserve"> ATTIVITÀ DI CONTROLLO</w:t>
      </w:r>
      <w:r>
        <w:rPr>
          <w:b/>
          <w:bCs/>
        </w:rPr>
      </w:r>
    </w:p>
    <w:tbl>
      <w:tblPr>
        <w:tblW w:w="5000" w:type="pct"/>
        <w:tblBorders/>
        <w:tblLook w:val="04A0" w:firstRow="1" w:lastRow="0" w:firstColumn="1" w:lastColumn="0" w:noHBand="0" w:noVBand="1"/>
        <w:tblStyle w:val="839"/>
      </w:tblPr>
      <w:tblGrid>
        <w:gridCol w:w="1926"/>
        <w:gridCol w:w="1754"/>
        <w:gridCol w:w="1702"/>
        <w:gridCol w:w="2411"/>
        <w:gridCol w:w="1835"/>
      </w:tblGrid>
      <w:tr>
        <w:trPr/>
        <w:tc>
          <w:tcPr>
            <w:shd w:val="clear" w:color="auto" w:fill="fabf8f" w:themeFill="accent6" w:themeFillTint="99"/>
            <w:tcBorders/>
            <w:tcW w:w="1000" w:type="pct"/>
            <w:textDirection w:val="lrTb"/>
            <w:noWrap w:val="false"/>
          </w:tcPr>
          <w:p>
            <w:pPr>
              <w:pBdr/>
              <w:spacing/>
              <w:ind/>
              <w:jc w:val="both"/>
              <w:rPr>
                <w:b/>
                <w:bCs/>
              </w:rPr>
            </w:pPr>
            <w:r>
              <w:rPr>
                <w:b/>
                <w:bCs/>
              </w:rPr>
              <w:t xml:space="preserve">PRODOTTO</w:t>
            </w:r>
            <w:r>
              <w:rPr>
                <w:b/>
                <w:bCs/>
              </w:rPr>
            </w:r>
          </w:p>
        </w:tc>
        <w:tc>
          <w:tcPr>
            <w:shd w:val="clear" w:color="auto" w:fill="fabf8f" w:themeFill="accent6" w:themeFillTint="99"/>
            <w:tcBorders/>
            <w:tcW w:w="911" w:type="pct"/>
            <w:textDirection w:val="lrTb"/>
            <w:noWrap w:val="false"/>
          </w:tcPr>
          <w:p>
            <w:pPr>
              <w:pBdr/>
              <w:spacing/>
              <w:ind/>
              <w:jc w:val="both"/>
              <w:rPr>
                <w:b/>
                <w:bCs/>
              </w:rPr>
            </w:pPr>
            <w:r>
              <w:rPr>
                <w:b/>
                <w:bCs/>
              </w:rPr>
              <w:t xml:space="preserve">MEZZO</w:t>
            </w:r>
            <w:r>
              <w:rPr>
                <w:b/>
                <w:bCs/>
              </w:rPr>
            </w:r>
          </w:p>
        </w:tc>
        <w:tc>
          <w:tcPr>
            <w:shd w:val="clear" w:color="auto" w:fill="fabf8f" w:themeFill="accent6" w:themeFillTint="99"/>
            <w:tcBorders/>
            <w:tcW w:w="884" w:type="pct"/>
            <w:textDirection w:val="lrTb"/>
            <w:noWrap w:val="false"/>
          </w:tcPr>
          <w:p>
            <w:pPr>
              <w:pBdr/>
              <w:spacing/>
              <w:ind/>
              <w:jc w:val="both"/>
              <w:rPr>
                <w:b/>
                <w:bCs/>
              </w:rPr>
            </w:pPr>
            <w:r>
              <w:rPr>
                <w:b/>
                <w:bCs/>
              </w:rPr>
              <w:t xml:space="preserve">IMBALLO</w:t>
            </w:r>
            <w:r>
              <w:rPr>
                <w:b/>
                <w:bCs/>
              </w:rPr>
            </w:r>
          </w:p>
        </w:tc>
        <w:tc>
          <w:tcPr>
            <w:shd w:val="clear" w:color="auto" w:fill="fabf8f" w:themeFill="accent6" w:themeFillTint="99"/>
            <w:tcBorders/>
            <w:tcW w:w="1252" w:type="pct"/>
            <w:textDirection w:val="lrTb"/>
            <w:noWrap w:val="false"/>
          </w:tcPr>
          <w:p>
            <w:pPr>
              <w:pBdr/>
              <w:spacing/>
              <w:ind/>
              <w:jc w:val="both"/>
              <w:rPr>
                <w:b/>
                <w:bCs/>
              </w:rPr>
            </w:pPr>
            <w:r>
              <w:rPr>
                <w:b/>
                <w:bCs/>
              </w:rPr>
              <w:t xml:space="preserve">VERIFICHE SPECIFICHE</w:t>
            </w:r>
            <w:r>
              <w:rPr>
                <w:b/>
                <w:bCs/>
              </w:rPr>
            </w:r>
          </w:p>
        </w:tc>
        <w:tc>
          <w:tcPr>
            <w:shd w:val="clear" w:color="auto" w:fill="fabf8f" w:themeFill="accent6" w:themeFillTint="99"/>
            <w:tcBorders/>
            <w:tcW w:w="953" w:type="pct"/>
            <w:textDirection w:val="lrTb"/>
            <w:noWrap w:val="false"/>
          </w:tcPr>
          <w:p>
            <w:pPr>
              <w:pBdr/>
              <w:spacing/>
              <w:ind/>
              <w:jc w:val="both"/>
              <w:rPr>
                <w:b/>
                <w:bCs/>
              </w:rPr>
            </w:pPr>
            <w:r>
              <w:rPr>
                <w:b/>
                <w:bCs/>
              </w:rPr>
              <w:t xml:space="preserve">PESO</w:t>
            </w:r>
            <w:r>
              <w:rPr>
                <w:b/>
                <w:bCs/>
              </w:rPr>
            </w:r>
          </w:p>
        </w:tc>
      </w:tr>
      <w:tr>
        <w:trPr/>
        <w:tc>
          <w:tcPr>
            <w:tcBorders/>
            <w:tcW w:w="1000" w:type="pct"/>
            <w:textDirection w:val="lrTb"/>
            <w:noWrap w:val="false"/>
          </w:tcPr>
          <w:p>
            <w:pPr>
              <w:pBdr/>
              <w:spacing/>
              <w:ind/>
              <w:rPr/>
            </w:pPr>
            <w:r>
              <w:t xml:space="preserve">FRUTTA</w:t>
            </w:r>
            <w:r/>
          </w:p>
        </w:tc>
        <w:tc>
          <w:tcPr>
            <w:tcBorders/>
            <w:tcW w:w="911" w:type="pct"/>
            <w:textDirection w:val="lrTb"/>
            <w:noWrap w:val="false"/>
          </w:tcPr>
          <w:p>
            <w:pPr>
              <w:pBdr/>
              <w:spacing/>
              <w:ind/>
              <w:jc w:val="both"/>
              <w:rPr/>
            </w:pPr>
            <w:r>
              <w:t xml:space="preserve">Autotrasportatore deve essere in regime HACCP</w:t>
            </w:r>
            <w:r/>
          </w:p>
        </w:tc>
        <w:tc>
          <w:tcPr>
            <w:tcBorders/>
            <w:tcW w:w="884" w:type="pct"/>
            <w:textDirection w:val="lrTb"/>
            <w:noWrap w:val="false"/>
          </w:tcPr>
          <w:p>
            <w:pPr>
              <w:pBdr/>
              <w:spacing/>
              <w:ind/>
              <w:jc w:val="both"/>
              <w:rPr/>
            </w:pPr>
            <w:r>
              <w:t xml:space="preserve">N/A</w:t>
            </w:r>
            <w:r/>
          </w:p>
        </w:tc>
        <w:tc>
          <w:tcPr>
            <w:tcBorders/>
            <w:tcW w:w="1252" w:type="pct"/>
            <w:textDirection w:val="lrTb"/>
            <w:noWrap w:val="false"/>
          </w:tcPr>
          <w:p>
            <w:pPr>
              <w:pBdr/>
              <w:spacing/>
              <w:ind/>
              <w:jc w:val="both"/>
              <w:rPr/>
            </w:pPr>
            <w:r>
              <w:t xml:space="preserve">Stato dei </w:t>
            </w:r>
            <w:r>
              <w:t xml:space="preserve">prodotti (</w:t>
            </w:r>
            <w:r>
              <w:rPr>
                <w:u w:val="single"/>
              </w:rPr>
              <w:t xml:space="preserve">controllo visivo</w:t>
            </w:r>
            <w:r>
              <w:t xml:space="preserve">)</w:t>
            </w:r>
            <w:r>
              <w:t xml:space="preserve">, assenza di muffe, marciume, macchie</w:t>
            </w:r>
            <w:r>
              <w:t xml:space="preserve">, origine e varietà</w:t>
            </w:r>
            <w:r>
              <w:t xml:space="preserve">.</w:t>
            </w:r>
            <w:r/>
          </w:p>
        </w:tc>
        <w:tc>
          <w:tcPr>
            <w:tcBorders/>
            <w:tcW w:w="953" w:type="pct"/>
            <w:textDirection w:val="lrTb"/>
            <w:noWrap w:val="false"/>
          </w:tcPr>
          <w:p>
            <w:pPr>
              <w:pBdr/>
              <w:spacing/>
              <w:ind/>
              <w:jc w:val="both"/>
              <w:rPr/>
            </w:pPr>
            <w:r>
              <w:t xml:space="preserve">Misurazione tramite bilico.</w:t>
            </w:r>
            <w:r/>
          </w:p>
        </w:tc>
      </w:tr>
      <w:tr>
        <w:trPr/>
        <w:tc>
          <w:tcPr>
            <w:tcBorders/>
            <w:tcW w:w="1000" w:type="pct"/>
            <w:textDirection w:val="lrTb"/>
            <w:noWrap w:val="false"/>
          </w:tcPr>
          <w:p>
            <w:pPr>
              <w:pBdr/>
              <w:spacing/>
              <w:ind/>
              <w:rPr/>
            </w:pPr>
            <w:r>
              <w:t xml:space="preserve">FRUTTA BIOLOGICA – IGP/DOP</w:t>
            </w:r>
            <w:r/>
          </w:p>
        </w:tc>
        <w:tc>
          <w:tcPr>
            <w:tcBorders/>
            <w:tcW w:w="911" w:type="pct"/>
            <w:textDirection w:val="lrTb"/>
            <w:noWrap w:val="false"/>
          </w:tcPr>
          <w:p>
            <w:pPr>
              <w:pBdr/>
              <w:spacing/>
              <w:ind/>
              <w:jc w:val="both"/>
              <w:rPr/>
            </w:pPr>
            <w:r>
              <w:t xml:space="preserve">Autotrasportatore deve essere in regime HACCP</w:t>
            </w:r>
            <w:r/>
          </w:p>
        </w:tc>
        <w:tc>
          <w:tcPr>
            <w:tcBorders/>
            <w:tcW w:w="884" w:type="pct"/>
            <w:textDirection w:val="lrTb"/>
            <w:noWrap w:val="false"/>
          </w:tcPr>
          <w:p>
            <w:pPr>
              <w:pBdr/>
              <w:spacing/>
              <w:ind/>
              <w:jc w:val="both"/>
              <w:rPr/>
            </w:pPr>
            <w:r>
              <w:t xml:space="preserve">N/A</w:t>
            </w:r>
            <w:r/>
          </w:p>
        </w:tc>
        <w:tc>
          <w:tcPr>
            <w:tcBorders/>
            <w:tcW w:w="1252" w:type="pct"/>
            <w:textDirection w:val="lrTb"/>
            <w:noWrap w:val="false"/>
          </w:tcPr>
          <w:p>
            <w:pPr>
              <w:pBdr/>
              <w:spacing/>
              <w:ind/>
              <w:jc w:val="both"/>
              <w:rPr/>
            </w:pPr>
            <w:r>
              <w:t xml:space="preserve">Stato dei prodotti (</w:t>
            </w:r>
            <w:r>
              <w:rPr>
                <w:u w:val="single"/>
              </w:rPr>
              <w:t xml:space="preserve">controllo visivo</w:t>
            </w:r>
            <w:r>
              <w:t xml:space="preserve">), assenza di muffe, marciume, macchie, origine biologica e varietà. Assenza fitofarmaci e allergeni (documentale)</w:t>
            </w:r>
            <w:r/>
          </w:p>
        </w:tc>
        <w:tc>
          <w:tcPr>
            <w:tcBorders/>
            <w:tcW w:w="953" w:type="pct"/>
            <w:textDirection w:val="lrTb"/>
            <w:noWrap w:val="false"/>
          </w:tcPr>
          <w:p>
            <w:pPr>
              <w:pBdr/>
              <w:spacing/>
              <w:ind/>
              <w:jc w:val="both"/>
              <w:rPr/>
            </w:pPr>
            <w:r>
              <w:t xml:space="preserve">Misurazione tramite bilico.</w:t>
            </w:r>
            <w:r/>
          </w:p>
        </w:tc>
      </w:tr>
      <w:tr>
        <w:trPr/>
        <w:tc>
          <w:tcPr>
            <w:tcBorders/>
            <w:tcW w:w="1000" w:type="pct"/>
            <w:textDirection w:val="lrTb"/>
            <w:noWrap w:val="false"/>
          </w:tcPr>
          <w:p>
            <w:pPr>
              <w:pBdr/>
              <w:spacing/>
              <w:ind/>
              <w:jc w:val="both"/>
              <w:rPr/>
            </w:pPr>
            <w:r>
              <w:t xml:space="preserve">PRODOTTI CHIMICI / ALTRI</w:t>
            </w:r>
            <w:r/>
          </w:p>
        </w:tc>
        <w:tc>
          <w:tcPr>
            <w:tcBorders/>
            <w:tcW w:w="911" w:type="pct"/>
            <w:textDirection w:val="lrTb"/>
            <w:noWrap w:val="false"/>
          </w:tcPr>
          <w:p>
            <w:pPr>
              <w:pBdr/>
              <w:spacing/>
              <w:ind/>
              <w:jc w:val="both"/>
              <w:rPr/>
            </w:pPr>
            <w:r>
              <w:t xml:space="preserve">N/A</w:t>
            </w:r>
            <w:r/>
          </w:p>
        </w:tc>
        <w:tc>
          <w:tcPr>
            <w:tcBorders/>
            <w:tcW w:w="884" w:type="pct"/>
            <w:textDirection w:val="lrTb"/>
            <w:noWrap w:val="false"/>
          </w:tcPr>
          <w:p>
            <w:pPr>
              <w:pBdr/>
              <w:spacing/>
              <w:ind/>
              <w:jc w:val="both"/>
              <w:rPr/>
            </w:pPr>
            <w:r>
              <w:t xml:space="preserve">Controllo visivo: integrità del</w:t>
            </w:r>
            <w:r>
              <w:t xml:space="preserve"> prodotto</w:t>
            </w:r>
            <w:r/>
          </w:p>
        </w:tc>
        <w:tc>
          <w:tcPr>
            <w:tcBorders/>
            <w:tcW w:w="1252" w:type="pct"/>
            <w:textDirection w:val="lrTb"/>
            <w:noWrap w:val="false"/>
          </w:tcPr>
          <w:p>
            <w:pPr>
              <w:pBdr/>
              <w:spacing/>
              <w:ind/>
              <w:jc w:val="both"/>
              <w:rPr/>
            </w:pPr>
            <w:r>
              <w:t xml:space="preserve">Controllo visivo, scheda tecnica e scheda di sicurezza.</w:t>
            </w:r>
            <w:r/>
          </w:p>
        </w:tc>
        <w:tc>
          <w:tcPr>
            <w:tcBorders/>
            <w:tcW w:w="953" w:type="pct"/>
            <w:textDirection w:val="lrTb"/>
            <w:noWrap w:val="false"/>
          </w:tcPr>
          <w:p>
            <w:pPr>
              <w:pBdr/>
              <w:spacing/>
              <w:ind/>
              <w:jc w:val="both"/>
              <w:rPr/>
            </w:pPr>
            <w:r>
              <w:t xml:space="preserve">Controllo numero colli</w:t>
            </w:r>
            <w:r/>
          </w:p>
        </w:tc>
      </w:tr>
      <w:tr>
        <w:trPr/>
        <w:tc>
          <w:tcPr>
            <w:tcBorders/>
            <w:tcW w:w="1000" w:type="pct"/>
            <w:textDirection w:val="lrTb"/>
            <w:noWrap w:val="false"/>
          </w:tcPr>
          <w:p>
            <w:pPr>
              <w:pBdr/>
              <w:spacing/>
              <w:ind/>
              <w:jc w:val="both"/>
              <w:rPr/>
            </w:pPr>
            <w:r>
              <w:t xml:space="preserve">IMBALLAGGI</w:t>
            </w:r>
            <w:r/>
          </w:p>
        </w:tc>
        <w:tc>
          <w:tcPr>
            <w:tcBorders/>
            <w:tcW w:w="911" w:type="pct"/>
            <w:textDirection w:val="lrTb"/>
            <w:noWrap w:val="false"/>
          </w:tcPr>
          <w:p>
            <w:pPr>
              <w:pBdr/>
              <w:spacing/>
              <w:ind/>
              <w:jc w:val="both"/>
              <w:rPr/>
            </w:pPr>
            <w:r>
              <w:t xml:space="preserve">N/A</w:t>
            </w:r>
            <w:r/>
          </w:p>
        </w:tc>
        <w:tc>
          <w:tcPr>
            <w:tcBorders/>
            <w:tcW w:w="884" w:type="pct"/>
            <w:textDirection w:val="lrTb"/>
            <w:noWrap w:val="false"/>
          </w:tcPr>
          <w:p>
            <w:pPr>
              <w:pBdr/>
              <w:spacing/>
              <w:ind/>
              <w:jc w:val="both"/>
              <w:rPr>
                <w:b/>
                <w:bCs/>
              </w:rPr>
            </w:pPr>
            <w:r>
              <w:t xml:space="preserve">Controllo visivo: integrità dell’imballo</w:t>
            </w:r>
            <w:r>
              <w:rPr>
                <w:b/>
                <w:bCs/>
              </w:rPr>
            </w:r>
          </w:p>
        </w:tc>
        <w:tc>
          <w:tcPr>
            <w:tcBorders/>
            <w:tcW w:w="1252" w:type="pct"/>
            <w:textDirection w:val="lrTb"/>
            <w:noWrap w:val="false"/>
          </w:tcPr>
          <w:p>
            <w:pPr>
              <w:pBdr/>
              <w:spacing/>
              <w:ind/>
              <w:jc w:val="both"/>
              <w:rPr/>
            </w:pPr>
            <w:r>
              <w:t xml:space="preserve">Assenza di infestanti e contaminanti</w:t>
            </w:r>
            <w:r/>
          </w:p>
        </w:tc>
        <w:tc>
          <w:tcPr>
            <w:tcBorders/>
            <w:tcW w:w="953" w:type="pct"/>
            <w:textDirection w:val="lrTb"/>
            <w:noWrap w:val="false"/>
          </w:tcPr>
          <w:p>
            <w:pPr>
              <w:pBdr/>
              <w:spacing/>
              <w:ind/>
              <w:jc w:val="both"/>
              <w:rPr>
                <w:b/>
                <w:bCs/>
              </w:rPr>
            </w:pPr>
            <w:r>
              <w:t xml:space="preserve">Controllo numero colli</w:t>
            </w:r>
            <w:r>
              <w:rPr>
                <w:b/>
                <w:bCs/>
              </w:rPr>
            </w:r>
          </w:p>
        </w:tc>
      </w:tr>
    </w:tbl>
    <w:p>
      <w:pPr>
        <w:pBdr/>
        <w:spacing/>
        <w:ind/>
        <w:jc w:val="both"/>
        <w:rPr/>
      </w:pPr>
      <w:r>
        <w:t xml:space="preserve">I controlli indicati nella tabella devono essere effettuati dall’addetto al bilico in accettazione per ogni acquisto. Per gli imballaggi, tali controlli sono ripetuti ogni qualvolta si effettua un prelievo dall’area di stoccaggio.</w:t>
      </w:r>
      <w:r/>
    </w:p>
    <w:p>
      <w:pPr>
        <w:pBdr/>
        <w:spacing/>
        <w:ind w:left="708"/>
        <w:jc w:val="both"/>
        <w:rPr>
          <w:b/>
          <w:bCs/>
        </w:rPr>
      </w:pPr>
      <w:r>
        <w:rPr>
          <w:b/>
          <w:bCs/>
        </w:rPr>
        <w:t xml:space="preserve">3. </w:t>
      </w:r>
      <w:r>
        <w:rPr>
          <w:b/>
          <w:bCs/>
        </w:rPr>
        <w:t xml:space="preserve">ATTIVITÀ DI STOCCAGGIO E CONSERVAZIONE</w:t>
      </w:r>
      <w:r>
        <w:rPr>
          <w:b/>
          <w:bCs/>
        </w:rPr>
      </w:r>
    </w:p>
    <w:p>
      <w:pPr>
        <w:pBdr/>
        <w:spacing/>
        <w:ind/>
        <w:jc w:val="both"/>
        <w:rPr/>
      </w:pPr>
      <w:r>
        <w:t xml:space="preserve">Le materie prime, in bins di plastica da 275 </w:t>
      </w:r>
      <w:r>
        <w:rPr>
          <w:rFonts w:cstheme="minorHAnsi"/>
        </w:rPr>
        <w:t xml:space="preserve">±</w:t>
      </w:r>
      <w:r>
        <w:t xml:space="preserve"> 15 kg, una volta ricevute e validate al ricevimento </w:t>
      </w:r>
      <w:r>
        <w:t xml:space="preserve">merc</w:t>
      </w:r>
      <w:r>
        <w:t xml:space="preserve">i, vengono lavorate nell’arco delle 24 ore dall’arrivo. Qualora ci sia la necessità di scaricare i bins dal camion, questi vengono disposti in maniera ordinata su più file e contrassegnati con cartelli sui quali viene riportato il fornitore di provenienza.</w:t>
      </w:r>
      <w:r/>
    </w:p>
    <w:p>
      <w:pPr>
        <w:pStyle w:val="834"/>
        <w:numPr>
          <w:ilvl w:val="1"/>
          <w:numId w:val="12"/>
        </w:numPr>
        <w:pBdr/>
        <w:spacing/>
        <w:ind/>
        <w:jc w:val="both"/>
        <w:rPr>
          <w:b/>
          <w:bCs/>
        </w:rPr>
      </w:pPr>
      <w:r>
        <w:rPr>
          <w:b/>
          <w:bCs/>
        </w:rPr>
        <w:t xml:space="preserve">STOCCAGGIO DI MATERIALI DI CONFEZIONAMENTO</w:t>
      </w:r>
      <w:r>
        <w:rPr>
          <w:b/>
          <w:bCs/>
        </w:rPr>
      </w:r>
    </w:p>
    <w:p>
      <w:pPr>
        <w:pBdr/>
        <w:spacing/>
        <w:ind/>
        <w:jc w:val="both"/>
        <w:rPr/>
      </w:pPr>
      <w:r>
        <w:t xml:space="preserve">Il buon esito delle operazioni di ricevimento comporta lo stoccaggio in luogo dedicato dei materiali di confezionamento, correttamente identificati</w:t>
      </w:r>
      <w:r>
        <w:t xml:space="preserve"> (affinché possa essere garantita la tracciabilità del prodotto finito)</w:t>
      </w:r>
      <w:r>
        <w:t xml:space="preserve"> e rispettando il FI.FO. </w:t>
      </w:r>
      <w:r>
        <w:t xml:space="preserve">L</w:t>
      </w:r>
      <w:r>
        <w:t xml:space="preserve">o stoccaggio</w:t>
      </w:r>
      <w:r>
        <w:t xml:space="preserve"> viene effettuato in apposta area</w:t>
      </w:r>
      <w:r>
        <w:t xml:space="preserve"> sottoposta a pest control e regolare processo di pulizia</w:t>
      </w:r>
      <w:r>
        <w:t xml:space="preserve">. Gli imballi utilizzati dall’azienda sono:</w:t>
      </w:r>
      <w:r/>
    </w:p>
    <w:p>
      <w:pPr>
        <w:pStyle w:val="834"/>
        <w:numPr>
          <w:ilvl w:val="0"/>
          <w:numId w:val="1"/>
        </w:numPr>
        <w:pBdr/>
        <w:spacing/>
        <w:ind/>
        <w:jc w:val="both"/>
        <w:rPr/>
        <w:sectPr>
          <w:footnotePr/>
          <w:endnotePr/>
          <w:type w:val="nextPage"/>
          <w:pgSz w:h="16838" w:orient="portrait" w:w="11906"/>
          <w:pgMar w:top="1417" w:right="1134" w:bottom="1134" w:left="1134" w:header="708" w:footer="708" w:gutter="0"/>
          <w:cols w:num="1" w:sep="0" w:space="708" w:equalWidth="1"/>
        </w:sectPr>
      </w:pPr>
      <w:r/>
      <w:r/>
    </w:p>
    <w:p>
      <w:pPr>
        <w:pStyle w:val="834"/>
        <w:numPr>
          <w:ilvl w:val="0"/>
          <w:numId w:val="1"/>
        </w:numPr>
        <w:pBdr/>
        <w:spacing/>
        <w:ind/>
        <w:jc w:val="both"/>
        <w:rPr/>
      </w:pPr>
      <w:r>
        <w:t xml:space="preserve">Pedane in legno;</w:t>
      </w:r>
      <w:r/>
    </w:p>
    <w:p>
      <w:pPr>
        <w:pStyle w:val="834"/>
        <w:numPr>
          <w:ilvl w:val="0"/>
          <w:numId w:val="1"/>
        </w:numPr>
        <w:pBdr/>
        <w:spacing/>
        <w:ind/>
        <w:jc w:val="both"/>
        <w:rPr/>
      </w:pPr>
      <w:r>
        <w:t xml:space="preserve">Fusti da 200 lt. o 50 lt.</w:t>
      </w:r>
      <w:r/>
    </w:p>
    <w:p>
      <w:pPr>
        <w:pStyle w:val="834"/>
        <w:numPr>
          <w:ilvl w:val="0"/>
          <w:numId w:val="1"/>
        </w:numPr>
        <w:pBdr/>
        <w:spacing/>
        <w:ind/>
        <w:jc w:val="both"/>
        <w:rPr/>
      </w:pPr>
      <w:r>
        <w:t xml:space="preserve">Sacchi in polietilene;</w:t>
      </w:r>
      <w:r/>
    </w:p>
    <w:p>
      <w:pPr>
        <w:pStyle w:val="834"/>
        <w:numPr>
          <w:ilvl w:val="0"/>
          <w:numId w:val="1"/>
        </w:numPr>
        <w:pBdr/>
        <w:spacing/>
        <w:ind/>
        <w:jc w:val="both"/>
        <w:rPr/>
      </w:pPr>
      <w:r>
        <w:t xml:space="preserve">Secchielli o bidoncini in plastica;</w:t>
      </w:r>
      <w:r/>
    </w:p>
    <w:p>
      <w:pPr>
        <w:pStyle w:val="834"/>
        <w:numPr>
          <w:ilvl w:val="0"/>
          <w:numId w:val="1"/>
        </w:numPr>
        <w:pBdr/>
        <w:spacing/>
        <w:ind/>
        <w:jc w:val="both"/>
        <w:rPr/>
      </w:pPr>
      <w:r>
        <w:t xml:space="preserve">Tinetti da 1000 lt. in plastica;</w:t>
      </w:r>
      <w:r/>
    </w:p>
    <w:p>
      <w:pPr>
        <w:pStyle w:val="834"/>
        <w:numPr>
          <w:ilvl w:val="0"/>
          <w:numId w:val="1"/>
        </w:numPr>
        <w:pBdr/>
        <w:spacing/>
        <w:ind/>
        <w:jc w:val="both"/>
        <w:rPr/>
      </w:pPr>
      <w:r>
        <w:t xml:space="preserve">Etichette e sigilli</w:t>
      </w:r>
      <w:r>
        <w:t xml:space="preserve">.</w:t>
      </w:r>
      <w:r/>
    </w:p>
    <w:p>
      <w:pPr>
        <w:pBdr/>
        <w:spacing/>
        <w:ind/>
        <w:jc w:val="both"/>
        <w:rPr/>
        <w:sectPr>
          <w:footnotePr/>
          <w:endnotePr/>
          <w:type w:val="continuous"/>
          <w:pgSz w:h="16838" w:orient="portrait" w:w="11906"/>
          <w:pgMar w:top="1417" w:right="1134" w:bottom="1134" w:left="1134" w:header="708" w:footer="708" w:gutter="0"/>
          <w:cols w:num="2" w:sep="0" w:space="708" w:equalWidth="1"/>
        </w:sectPr>
      </w:pPr>
      <w:r/>
      <w:r/>
    </w:p>
    <w:p>
      <w:pPr>
        <w:pStyle w:val="834"/>
        <w:numPr>
          <w:ilvl w:val="1"/>
          <w:numId w:val="12"/>
        </w:numPr>
        <w:pBdr/>
        <w:spacing/>
        <w:ind/>
        <w:jc w:val="both"/>
        <w:rPr>
          <w:b/>
          <w:bCs/>
        </w:rPr>
      </w:pPr>
      <w:r>
        <w:rPr>
          <w:b/>
          <w:bCs/>
        </w:rPr>
        <w:t xml:space="preserve">STOCCAGGIO DEI PRODOTTI FINITI</w:t>
      </w:r>
      <w:r>
        <w:rPr>
          <w:b/>
          <w:bCs/>
        </w:rPr>
      </w:r>
    </w:p>
    <w:p>
      <w:pPr>
        <w:pBdr/>
        <w:spacing/>
        <w:ind/>
        <w:jc w:val="both"/>
        <w:rPr/>
      </w:pPr>
      <w:r>
        <w:t xml:space="preserve">I prodotti realizzati sono stoccati nelle celle frigo a temperatura variabile a seconda del prodotto. Tutti vengono conservati alla temperatura di – 18 </w:t>
      </w:r>
      <w:r>
        <w:rPr>
          <w:rFonts w:cstheme="minorHAnsi"/>
        </w:rPr>
        <w:t xml:space="preserve">±</w:t>
      </w:r>
      <w:r>
        <w:t xml:space="preserve"> 2°C ad eccezione del prodotto confezionato in asettico, il quale ha una temperatura di conservazione compresa tra 0°C e +5°C. </w:t>
      </w:r>
      <w:r>
        <w:t xml:space="preserve">Essi sono stoccati ben identificati su pedane. </w:t>
      </w:r>
      <w:r/>
    </w:p>
    <w:p>
      <w:pPr>
        <w:pBdr/>
        <w:spacing/>
        <w:ind/>
        <w:jc w:val="both"/>
        <w:rPr/>
      </w:pPr>
      <w:r/>
      <w:r/>
    </w:p>
    <w:p>
      <w:pPr>
        <w:pBdr/>
        <w:spacing/>
        <w:ind/>
        <w:jc w:val="both"/>
        <w:rPr/>
      </w:pPr>
      <w:r/>
      <w:r/>
    </w:p>
    <w:p>
      <w:pPr>
        <w:pBdr/>
        <w:spacing/>
        <w:ind w:left="360"/>
        <w:jc w:val="both"/>
        <w:rPr>
          <w:b/>
          <w:bCs/>
        </w:rPr>
      </w:pPr>
      <w:r>
        <w:rPr>
          <w:b/>
          <w:bCs/>
        </w:rPr>
        <w:t xml:space="preserve">4</w:t>
      </w:r>
      <w:r>
        <w:rPr>
          <w:b/>
          <w:bCs/>
        </w:rPr>
        <w:t xml:space="preserve">. USCITA MERCE (PROCEDURA DI RILASCIO)</w:t>
      </w:r>
      <w:r>
        <w:rPr>
          <w:b/>
          <w:bCs/>
        </w:rPr>
      </w:r>
    </w:p>
    <w:p>
      <w:pPr>
        <w:pBdr/>
        <w:spacing/>
        <w:ind/>
        <w:jc w:val="both"/>
        <w:rPr/>
      </w:pPr>
      <w:r>
        <w:t xml:space="preserve">Il presente documento illustr</w:t>
      </w:r>
      <w:r>
        <w:t xml:space="preserve">a le prescrizioni operative che l’azienda deve effettuare prima dell’avvio per la commercializzazione dei prodotti, al fine di garantire che tutti i prodotti siano stati controllati e verificati. La presente procedura si applica nella fase di uscita merce.</w:t>
      </w:r>
      <w:r>
        <w:t xml:space="preserve"> Il documento che attesta il rilascio è il </w:t>
      </w:r>
      <w:r>
        <w:rPr>
          <w:i/>
          <w:iCs/>
        </w:rPr>
        <w:t xml:space="preserve">CoA </w:t>
      </w:r>
      <w:r>
        <w:t xml:space="preserve">(certificato di analisi </w:t>
      </w:r>
      <w:r>
        <w:rPr>
          <w:i/>
          <w:iCs/>
        </w:rPr>
        <w:t xml:space="preserve">M 10.01 A – M 10.01 BS</w:t>
      </w:r>
      <w:r>
        <w:t xml:space="preserve">) ed il responsabile della presente procedura è il responsabile di laboratorio</w:t>
      </w:r>
      <w:r>
        <w:t xml:space="preserve">. Si controllerà:</w:t>
      </w:r>
      <w:r/>
    </w:p>
    <w:p>
      <w:pPr>
        <w:pStyle w:val="834"/>
        <w:numPr>
          <w:ilvl w:val="0"/>
          <w:numId w:val="1"/>
        </w:numPr>
        <w:pBdr/>
        <w:spacing/>
        <w:ind/>
        <w:jc w:val="both"/>
        <w:rPr/>
      </w:pPr>
      <w:r>
        <w:rPr>
          <w:b/>
          <w:bCs/>
        </w:rPr>
        <w:t xml:space="preserve">CCP documentati sul prodotto</w:t>
      </w:r>
      <w:r>
        <w:t xml:space="preserve"> (</w:t>
      </w:r>
      <w:r>
        <w:t xml:space="preserve">Pastorizzazione, Filtrazione e pH nel caso di prodotto non pastorizzato);</w:t>
      </w:r>
      <w:r/>
    </w:p>
    <w:p>
      <w:pPr>
        <w:pStyle w:val="834"/>
        <w:numPr>
          <w:ilvl w:val="0"/>
          <w:numId w:val="1"/>
        </w:numPr>
        <w:pBdr/>
        <w:spacing/>
        <w:ind/>
        <w:jc w:val="both"/>
        <w:rPr/>
      </w:pPr>
      <w:r>
        <w:rPr>
          <w:b/>
          <w:bCs/>
        </w:rPr>
        <w:t xml:space="preserve">Integrità confezionamento ed imballo</w:t>
      </w:r>
      <w:r>
        <w:t xml:space="preserve">;</w:t>
      </w:r>
      <w:r/>
    </w:p>
    <w:p>
      <w:pPr>
        <w:pStyle w:val="834"/>
        <w:numPr>
          <w:ilvl w:val="0"/>
          <w:numId w:val="1"/>
        </w:numPr>
        <w:pBdr/>
        <w:spacing/>
        <w:ind/>
        <w:jc w:val="both"/>
        <w:rPr/>
      </w:pPr>
      <w:r>
        <w:rPr>
          <w:b/>
          <w:bCs/>
        </w:rPr>
        <w:t xml:space="preserve">Conformità etichetta;</w:t>
      </w:r>
      <w:r/>
    </w:p>
    <w:p>
      <w:pPr>
        <w:pStyle w:val="834"/>
        <w:numPr>
          <w:ilvl w:val="0"/>
          <w:numId w:val="1"/>
        </w:numPr>
        <w:pBdr/>
        <w:spacing/>
        <w:ind/>
        <w:jc w:val="both"/>
        <w:rPr/>
      </w:pPr>
      <w:r>
        <w:rPr>
          <w:b/>
          <w:bCs/>
        </w:rPr>
        <w:t xml:space="preserve">Conformità igienica del mezzo, stoccaggio e separazione adeguata delle merci e rispetto delle temperature</w:t>
      </w:r>
      <w:r>
        <w:t xml:space="preserve">.</w:t>
      </w:r>
      <w:r/>
    </w:p>
    <w:p>
      <w:pPr>
        <w:pBdr/>
        <w:spacing/>
        <w:ind/>
        <w:jc w:val="both"/>
        <w:rPr/>
      </w:pPr>
      <w:r>
        <w:t xml:space="preserve">In caso di anomalie riscontrate il prodotto non verrà spedito e si aprirà una non conformità per discuterne il destino e adottare le necessarie azioni correttive.</w:t>
      </w:r>
      <w:r/>
    </w:p>
    <w:p>
      <w:pPr>
        <w:pBdr/>
        <w:spacing/>
        <w:ind w:left="708"/>
        <w:jc w:val="both"/>
        <w:rPr>
          <w:b/>
          <w:bCs/>
        </w:rPr>
      </w:pPr>
      <w:r>
        <w:rPr>
          <w:b/>
          <w:bCs/>
        </w:rPr>
        <w:t xml:space="preserve">5</w:t>
      </w:r>
      <w:r>
        <w:rPr>
          <w:b/>
          <w:bCs/>
        </w:rPr>
        <w:t xml:space="preserve">.</w:t>
      </w:r>
      <w:r>
        <w:t xml:space="preserve"> </w:t>
      </w:r>
      <w:r>
        <w:rPr>
          <w:b/>
          <w:bCs/>
        </w:rPr>
        <w:t xml:space="preserve">ARCHIVIAZIONE</w:t>
      </w:r>
      <w:r>
        <w:rPr>
          <w:b/>
          <w:bCs/>
        </w:rPr>
      </w:r>
    </w:p>
    <w:p>
      <w:pPr>
        <w:pBdr/>
        <w:spacing/>
        <w:ind/>
        <w:jc w:val="both"/>
        <w:rPr/>
      </w:pPr>
      <w:r>
        <w:t xml:space="preserve">I documenti ed i moduli sopra citati sono considerati documenti di registrazione della Qualità e sono conservati presso gli uffici amministrativi e SGQ per almeno 4 anni.</w:t>
      </w:r>
      <w:r/>
    </w:p>
    <w:sectPr>
      <w:footnotePr/>
      <w:endnotePr/>
      <w:type w:val="continuous"/>
      <w:pgSz w:h="16838" w:orient="portrait" w:w="11906"/>
      <w:pgMar w:top="1417" w:right="1134" w:bottom="1134" w:left="1134"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Symbol">
    <w:panose1 w:val="05010000000000000000"/>
  </w:font>
  <w:font w:name="Wingdings">
    <w:panose1 w:val="05010000000000000000"/>
  </w:font>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Borders>
        <w:left w:val="none" w:color="auto" w:sz="0" w:space="0"/>
        <w:right w:val="none" w:color="auto" w:sz="0" w:space="0"/>
        <w:insideH w:val="none" w:color="auto" w:sz="0" w:space="0"/>
        <w:insideV w:val="none" w:color="auto" w:sz="0" w:space="0"/>
      </w:tblBorders>
      <w:tblLook w:val="04A0" w:firstRow="1" w:lastRow="0" w:firstColumn="1" w:lastColumn="0" w:noHBand="0" w:noVBand="1"/>
      <w:tblStyle w:val="839"/>
    </w:tblPr>
    <w:tblGrid>
      <w:gridCol w:w="2427"/>
      <w:gridCol w:w="4250"/>
      <w:gridCol w:w="2961"/>
    </w:tblGrid>
    <w:tr>
      <w:trPr>
        <w:trHeight w:val="977"/>
      </w:trPr>
      <w:tc>
        <w:tcPr>
          <w:tcBorders>
            <w:top w:val="single" w:color="auto" w:sz="12" w:space="0"/>
            <w:left w:val="none" w:color="000000" w:sz="4" w:space="0"/>
            <w:bottom w:val="single" w:color="auto" w:sz="12" w:space="0"/>
            <w:right w:val="none" w:color="000000" w:sz="4" w:space="0"/>
          </w:tcBorders>
          <w:tcW w:w="1259" w:type="pct"/>
          <w:vAlign w:val="center"/>
          <w:textDirection w:val="lrTb"/>
          <w:noWrap w:val="false"/>
        </w:tcPr>
        <w:p>
          <w:pPr>
            <w:pStyle w:val="840"/>
            <w:pBdr/>
            <w:spacing/>
            <w:ind/>
            <w:rPr/>
          </w:pPr>
          <w:r/>
          <w:r>
            <mc:AlternateContent>
              <mc:Choice Requires="wpg">
                <w:drawing>
                  <wp:inline xmlns:wp="http://schemas.openxmlformats.org/drawingml/2006/wordprocessingDrawing" distT="0" distB="0" distL="0" distR="0">
                    <wp:extent cx="1079205" cy="51216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85341" name=""/>
                            <pic:cNvPicPr>
                              <a:picLocks noChangeAspect="1"/>
                            </pic:cNvPicPr>
                            <pic:nvPr/>
                          </pic:nvPicPr>
                          <pic:blipFill>
                            <a:blip r:embed="rId1"/>
                            <a:stretch/>
                          </pic:blipFill>
                          <pic:spPr bwMode="auto">
                            <a:xfrm flipH="0" flipV="0">
                              <a:off x="0" y="0"/>
                              <a:ext cx="1079204" cy="5121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84.98pt;height:40.33pt;mso-wrap-distance-left:0.00pt;mso-wrap-distance-top:0.00pt;mso-wrap-distance-right:0.00pt;mso-wrap-distance-bottom:0.00pt;z-index:1;" stroked="false">
                    <v:imagedata r:id="rId1" o:title=""/>
                    <o:lock v:ext="edit" rotation="t"/>
                  </v:shape>
                </w:pict>
              </mc:Fallback>
            </mc:AlternateContent>
          </w:r>
          <w:r/>
          <w:r/>
        </w:p>
      </w:tc>
      <w:tc>
        <w:tcPr>
          <w:tcBorders>
            <w:top w:val="single" w:color="auto" w:sz="12" w:space="0"/>
            <w:left w:val="none" w:color="000000" w:sz="4" w:space="0"/>
            <w:bottom w:val="single" w:color="auto" w:sz="12" w:space="0"/>
            <w:right w:val="none" w:color="000000" w:sz="4" w:space="0"/>
          </w:tcBorders>
          <w:tcW w:w="2205" w:type="pct"/>
          <w:vAlign w:val="center"/>
          <w:textDirection w:val="lrTb"/>
          <w:noWrap w:val="false"/>
        </w:tcPr>
        <w:p>
          <w:pPr>
            <w:pStyle w:val="840"/>
            <w:pBdr/>
            <w:spacing/>
            <w:ind/>
            <w:jc w:val="center"/>
            <w:rPr>
              <w:b/>
              <w:bCs/>
              <w:sz w:val="24"/>
              <w:szCs w:val="24"/>
            </w:rPr>
          </w:pPr>
          <w:r>
            <w:rPr>
              <w:b/>
              <w:bCs/>
              <w:sz w:val="24"/>
              <w:szCs w:val="24"/>
            </w:rPr>
            <w:t xml:space="preserve">QUALIFICA DEI FORNITORI</w:t>
          </w:r>
          <w:r>
            <w:rPr>
              <w:b/>
              <w:bCs/>
              <w:sz w:val="24"/>
              <w:szCs w:val="24"/>
            </w:rPr>
            <w:t xml:space="preserve">, METODO DI VALUTAZIONE DEL QUESTIONARIO</w:t>
          </w:r>
          <w:r>
            <w:rPr>
              <w:b/>
              <w:bCs/>
              <w:sz w:val="24"/>
              <w:szCs w:val="24"/>
            </w:rPr>
          </w:r>
        </w:p>
        <w:p>
          <w:pPr>
            <w:pStyle w:val="840"/>
            <w:pBdr/>
            <w:spacing/>
            <w:ind/>
            <w:jc w:val="center"/>
            <w:rPr>
              <w:b/>
              <w:bCs/>
            </w:rPr>
          </w:pPr>
          <w:r>
            <w:rPr>
              <w:b/>
              <w:bCs/>
              <w:sz w:val="24"/>
              <w:szCs w:val="24"/>
            </w:rPr>
            <w:t xml:space="preserve">E APPRO</w:t>
          </w:r>
          <w:r>
            <w:rPr>
              <w:b/>
              <w:bCs/>
              <w:sz w:val="24"/>
              <w:szCs w:val="24"/>
            </w:rPr>
            <w:t xml:space="preserve">V</w:t>
          </w:r>
          <w:r>
            <w:rPr>
              <w:b/>
              <w:bCs/>
              <w:sz w:val="24"/>
              <w:szCs w:val="24"/>
            </w:rPr>
            <w:t xml:space="preserve">VIGIONAMENTO</w:t>
          </w:r>
          <w:r>
            <w:rPr>
              <w:b/>
              <w:bCs/>
            </w:rPr>
          </w:r>
        </w:p>
      </w:tc>
      <w:tc>
        <w:tcPr>
          <w:tcBorders>
            <w:top w:val="single" w:color="auto" w:sz="12" w:space="0"/>
            <w:left w:val="none" w:color="000000" w:sz="4" w:space="0"/>
            <w:bottom w:val="single" w:color="auto" w:sz="12" w:space="0"/>
            <w:right w:val="none" w:color="000000" w:sz="4" w:space="0"/>
          </w:tcBorders>
          <w:tcW w:w="1536" w:type="pct"/>
          <w:vAlign w:val="center"/>
          <w:textDirection w:val="lrTb"/>
          <w:noWrap w:val="false"/>
        </w:tcPr>
        <w:p>
          <w:pPr>
            <w:pStyle w:val="840"/>
            <w:pBdr/>
            <w:spacing/>
            <w:ind/>
            <w:rPr/>
          </w:pPr>
          <w:r>
            <w:t xml:space="preserve">P</w:t>
          </w:r>
          <w:r>
            <w:t xml:space="preserve"> 06.0</w:t>
          </w:r>
          <w:r>
            <w:t xml:space="preserve">1</w:t>
          </w:r>
          <w:r>
            <w:t xml:space="preserve"> </w:t>
          </w:r>
          <w:r/>
        </w:p>
        <w:p>
          <w:pPr>
            <w:pStyle w:val="840"/>
            <w:pBdr/>
            <w:spacing/>
            <w:ind/>
            <w:rPr/>
          </w:pPr>
          <w:r>
            <w:t xml:space="preserve">REV. 1</w:t>
          </w:r>
          <w:r>
            <w:t xml:space="preserve">3</w:t>
          </w:r>
          <w:r>
            <w:t xml:space="preserve"> del 1</w:t>
          </w:r>
          <w:r>
            <w:t xml:space="preserve">6</w:t>
          </w:r>
          <w:r>
            <w:t xml:space="preserve">-0</w:t>
          </w:r>
          <w:r>
            <w:t xml:space="preserve">9</w:t>
          </w:r>
          <w:r>
            <w:t xml:space="preserve">-2025</w:t>
          </w:r>
          <w:r/>
        </w:p>
        <w:p>
          <w:pPr>
            <w:pStyle w:val="840"/>
            <w:pBdr/>
            <w:spacing/>
            <w:ind/>
            <w:rPr/>
          </w:pPr>
          <w:r>
            <w:t xml:space="preserve">Pag. </w:t>
          </w:r>
          <w:r>
            <w:fldChar w:fldCharType="begin"/>
          </w:r>
          <w:r>
            <w:instrText xml:space="preserve">PAGE   \* MERGEFORMAT</w:instrText>
          </w:r>
          <w:r>
            <w:fldChar w:fldCharType="separate"/>
          </w:r>
          <w:r>
            <w:t xml:space="preserve">1</w:t>
          </w:r>
          <w:r>
            <w:fldChar w:fldCharType="end"/>
          </w:r>
          <w:r/>
        </w:p>
      </w:tc>
    </w:tr>
  </w:tbl>
  <w:p>
    <w:pPr>
      <w:pStyle w:val="840"/>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360"/>
      </w:pPr>
      <w:rPr>
        <w:rFonts w:hint="default"/>
      </w:rPr>
      <w:start w:val="3"/>
      <w:suff w:val="tab"/>
    </w:lvl>
    <w:lvl w:ilvl="1">
      <w:isLgl w:val="false"/>
      <w:lvlJc w:val="left"/>
      <w:lvlText w:val="%1.%2"/>
      <w:numFmt w:val="decimal"/>
      <w:pPr>
        <w:pBdr/>
        <w:spacing/>
        <w:ind w:hanging="360" w:left="360"/>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720" w:left="72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080" w:left="108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1">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lvl w:ilvl="0">
      <w:isLgl w:val="false"/>
      <w:lvlJc w:val="left"/>
      <w:lvlText w:val="-"/>
      <w:numFmt w:val="bullet"/>
      <w:pPr>
        <w:pBdr/>
        <w:spacing/>
        <w:ind w:hanging="360" w:left="720"/>
      </w:pPr>
      <w:rPr>
        <w:rFonts w:hint="default" w:ascii="Calibri" w:hAnsi="Calibri" w:cs="Calibri" w:eastAsiaTheme="minorHAnsi"/>
      </w:rPr>
      <w:start w:val="0"/>
      <w:suff w:val="tab"/>
    </w:lvl>
    <w:lvl w:ilvl="1">
      <w:isLgl w:val="false"/>
      <w:lvlJc w:val="left"/>
      <w:lvlText w:val="-"/>
      <w:numFmt w:val="bullet"/>
      <w:pPr>
        <w:pBdr/>
        <w:spacing/>
        <w:ind w:hanging="360" w:left="1440"/>
      </w:pPr>
      <w:rPr>
        <w:rFonts w:hint="default" w:ascii="Calibri" w:hAnsi="Calibri" w:cs="Calibri" w:eastAsiaTheme="minorHAnsi"/>
      </w:rPr>
      <w:start w:val="0"/>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lvl w:ilvl="0">
      <w:isLgl w:val="false"/>
      <w:lvlJc w:val="left"/>
      <w:lvlText w:val="%1."/>
      <w:numFmt w:val="decimal"/>
      <w:pPr>
        <w:pBdr/>
        <w:spacing/>
        <w:ind w:hanging="360" w:left="1800"/>
      </w:pPr>
      <w:rPr>
        <w:rFonts w:hint="default"/>
      </w:rPr>
      <w:start w:val="1"/>
      <w:suff w:val="tab"/>
    </w:lvl>
    <w:lvl w:ilvl="1">
      <w:isLgl w:val="false"/>
      <w:lvlJc w:val="left"/>
      <w:lvlText w:val="%2."/>
      <w:numFmt w:val="lowerLetter"/>
      <w:pPr>
        <w:pBdr/>
        <w:spacing/>
        <w:ind w:hanging="360" w:left="2520"/>
      </w:pPr>
      <w:rPr/>
      <w:start w:val="1"/>
      <w:suff w:val="tab"/>
    </w:lvl>
    <w:lvl w:ilvl="2">
      <w:isLgl w:val="false"/>
      <w:lvlJc w:val="right"/>
      <w:lvlText w:val="%3."/>
      <w:numFmt w:val="lowerRoman"/>
      <w:pPr>
        <w:pBdr/>
        <w:spacing/>
        <w:ind w:hanging="180" w:left="3240"/>
      </w:pPr>
      <w:rPr/>
      <w:start w:val="1"/>
      <w:suff w:val="tab"/>
    </w:lvl>
    <w:lvl w:ilvl="3">
      <w:isLgl w:val="false"/>
      <w:lvlJc w:val="left"/>
      <w:lvlText w:val="%4."/>
      <w:numFmt w:val="decimal"/>
      <w:pPr>
        <w:pBdr/>
        <w:spacing/>
        <w:ind w:hanging="360" w:left="3960"/>
      </w:pPr>
      <w:rPr/>
      <w:start w:val="1"/>
      <w:suff w:val="tab"/>
    </w:lvl>
    <w:lvl w:ilvl="4">
      <w:isLgl w:val="false"/>
      <w:lvlJc w:val="left"/>
      <w:lvlText w:val="%5."/>
      <w:numFmt w:val="lowerLetter"/>
      <w:pPr>
        <w:pBdr/>
        <w:spacing/>
        <w:ind w:hanging="360" w:left="4680"/>
      </w:pPr>
      <w:rPr/>
      <w:start w:val="1"/>
      <w:suff w:val="tab"/>
    </w:lvl>
    <w:lvl w:ilvl="5">
      <w:isLgl w:val="false"/>
      <w:lvlJc w:val="right"/>
      <w:lvlText w:val="%6."/>
      <w:numFmt w:val="lowerRoman"/>
      <w:pPr>
        <w:pBdr/>
        <w:spacing/>
        <w:ind w:hanging="180" w:left="5400"/>
      </w:pPr>
      <w:rPr/>
      <w:start w:val="1"/>
      <w:suff w:val="tab"/>
    </w:lvl>
    <w:lvl w:ilvl="6">
      <w:isLgl w:val="false"/>
      <w:lvlJc w:val="left"/>
      <w:lvlText w:val="%7."/>
      <w:numFmt w:val="decimal"/>
      <w:pPr>
        <w:pBdr/>
        <w:spacing/>
        <w:ind w:hanging="360" w:left="6120"/>
      </w:pPr>
      <w:rPr/>
      <w:start w:val="1"/>
      <w:suff w:val="tab"/>
    </w:lvl>
    <w:lvl w:ilvl="7">
      <w:isLgl w:val="false"/>
      <w:lvlJc w:val="left"/>
      <w:lvlText w:val="%8."/>
      <w:numFmt w:val="lowerLetter"/>
      <w:pPr>
        <w:pBdr/>
        <w:spacing/>
        <w:ind w:hanging="360" w:left="6840"/>
      </w:pPr>
      <w:rPr/>
      <w:start w:val="1"/>
      <w:suff w:val="tab"/>
    </w:lvl>
    <w:lvl w:ilvl="8">
      <w:isLgl w:val="false"/>
      <w:lvlJc w:val="right"/>
      <w:lvlText w:val="%9."/>
      <w:numFmt w:val="lowerRoman"/>
      <w:pPr>
        <w:pBdr/>
        <w:spacing/>
        <w:ind w:hanging="180" w:left="7560"/>
      </w:pPr>
      <w:rPr/>
      <w:start w:val="1"/>
      <w:suff w:val="tab"/>
    </w:lvl>
  </w:abstractNum>
  <w:abstractNum w:abstractNumId="6">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lvl w:ilvl="0">
      <w:isLgl w:val="false"/>
      <w:lvlJc w:val="left"/>
      <w:lvlText w:val="%1"/>
      <w:numFmt w:val="decimal"/>
      <w:pPr>
        <w:pBdr/>
        <w:spacing/>
        <w:ind w:hanging="360" w:left="360"/>
      </w:pPr>
      <w:rPr>
        <w:rFonts w:hint="default"/>
      </w:rPr>
      <w:start w:val="3"/>
      <w:suff w:val="tab"/>
    </w:lvl>
    <w:lvl w:ilvl="1">
      <w:isLgl w:val="false"/>
      <w:lvlJc w:val="left"/>
      <w:lvlText w:val="%1.%2"/>
      <w:numFmt w:val="decimal"/>
      <w:pPr>
        <w:pBdr/>
        <w:spacing/>
        <w:ind w:hanging="360" w:left="720"/>
      </w:pPr>
      <w:rPr>
        <w:rFonts w:hint="default"/>
      </w:rPr>
      <w:start w:val="1"/>
      <w:suff w:val="tab"/>
    </w:lvl>
    <w:lvl w:ilvl="2">
      <w:isLgl w:val="false"/>
      <w:lvlJc w:val="left"/>
      <w:lvlText w:val="%1.%2.%3"/>
      <w:numFmt w:val="decimal"/>
      <w:pPr>
        <w:pBdr/>
        <w:spacing/>
        <w:ind w:hanging="720" w:left="1440"/>
      </w:pPr>
      <w:rPr>
        <w:rFonts w:hint="default"/>
      </w:rPr>
      <w:start w:val="1"/>
      <w:suff w:val="tab"/>
    </w:lvl>
    <w:lvl w:ilvl="3">
      <w:isLgl w:val="false"/>
      <w:lvlJc w:val="left"/>
      <w:lvlText w:val="%1.%2.%3.%4"/>
      <w:numFmt w:val="decimal"/>
      <w:pPr>
        <w:pBdr/>
        <w:spacing/>
        <w:ind w:hanging="720" w:left="1800"/>
      </w:pPr>
      <w:rPr>
        <w:rFonts w:hint="default"/>
      </w:rPr>
      <w:start w:val="1"/>
      <w:suff w:val="tab"/>
    </w:lvl>
    <w:lvl w:ilvl="4">
      <w:isLgl w:val="false"/>
      <w:lvlJc w:val="left"/>
      <w:lvlText w:val="%1.%2.%3.%4.%5"/>
      <w:numFmt w:val="decimal"/>
      <w:pPr>
        <w:pBdr/>
        <w:spacing/>
        <w:ind w:hanging="1080" w:left="2520"/>
      </w:pPr>
      <w:rPr>
        <w:rFonts w:hint="default"/>
      </w:rPr>
      <w:start w:val="1"/>
      <w:suff w:val="tab"/>
    </w:lvl>
    <w:lvl w:ilvl="5">
      <w:isLgl w:val="false"/>
      <w:lvlJc w:val="left"/>
      <w:lvlText w:val="%1.%2.%3.%4.%5.%6"/>
      <w:numFmt w:val="decimal"/>
      <w:pPr>
        <w:pBdr/>
        <w:spacing/>
        <w:ind w:hanging="1080" w:left="2880"/>
      </w:pPr>
      <w:rPr>
        <w:rFonts w:hint="default"/>
      </w:rPr>
      <w:start w:val="1"/>
      <w:suff w:val="tab"/>
    </w:lvl>
    <w:lvl w:ilvl="6">
      <w:isLgl w:val="false"/>
      <w:lvlJc w:val="left"/>
      <w:lvlText w:val="%1.%2.%3.%4.%5.%6.%7"/>
      <w:numFmt w:val="decimal"/>
      <w:pPr>
        <w:pBdr/>
        <w:spacing/>
        <w:ind w:hanging="1440" w:left="3600"/>
      </w:pPr>
      <w:rPr>
        <w:rFonts w:hint="default"/>
      </w:rPr>
      <w:start w:val="1"/>
      <w:suff w:val="tab"/>
    </w:lvl>
    <w:lvl w:ilvl="7">
      <w:isLgl w:val="false"/>
      <w:lvlJc w:val="left"/>
      <w:lvlText w:val="%1.%2.%3.%4.%5.%6.%7.%8"/>
      <w:numFmt w:val="decimal"/>
      <w:pPr>
        <w:pBdr/>
        <w:spacing/>
        <w:ind w:hanging="1440" w:left="3960"/>
      </w:pPr>
      <w:rPr>
        <w:rFonts w:hint="default"/>
      </w:rPr>
      <w:start w:val="1"/>
      <w:suff w:val="tab"/>
    </w:lvl>
    <w:lvl w:ilvl="8">
      <w:isLgl w:val="false"/>
      <w:lvlJc w:val="left"/>
      <w:lvlText w:val="%1.%2.%3.%4.%5.%6.%7.%8.%9"/>
      <w:numFmt w:val="decimal"/>
      <w:pPr>
        <w:pBdr/>
        <w:spacing/>
        <w:ind w:hanging="1800" w:left="4680"/>
      </w:pPr>
      <w:rPr>
        <w:rFonts w:hint="default"/>
      </w:rPr>
      <w:start w:val="1"/>
      <w:suff w:val="tab"/>
    </w:lvl>
  </w:abstractNum>
  <w:abstractNum w:abstractNumId="8">
    <w:lvl w:ilvl="0">
      <w:isLgl w:val="false"/>
      <w:lvlJc w:val="left"/>
      <w:lvlText w:val="%1"/>
      <w:numFmt w:val="decimal"/>
      <w:pPr>
        <w:pBdr/>
        <w:spacing/>
        <w:ind w:hanging="360" w:left="360"/>
      </w:pPr>
      <w:rPr>
        <w:rFonts w:hint="default"/>
      </w:rPr>
      <w:start w:val="3"/>
      <w:suff w:val="tab"/>
    </w:lvl>
    <w:lvl w:ilvl="1">
      <w:isLgl w:val="false"/>
      <w:lvlJc w:val="left"/>
      <w:lvlText w:val="%1.%2"/>
      <w:numFmt w:val="decimal"/>
      <w:pPr>
        <w:pBdr/>
        <w:spacing/>
        <w:ind w:hanging="360" w:left="1080"/>
      </w:pPr>
      <w:rPr>
        <w:rFonts w:hint="default"/>
      </w:rPr>
      <w:start w:val="1"/>
      <w:suff w:val="tab"/>
    </w:lvl>
    <w:lvl w:ilvl="2">
      <w:isLgl w:val="false"/>
      <w:lvlJc w:val="left"/>
      <w:lvlText w:val="%1.%2.%3"/>
      <w:numFmt w:val="decimal"/>
      <w:pPr>
        <w:pBdr/>
        <w:spacing/>
        <w:ind w:hanging="720" w:left="2160"/>
      </w:pPr>
      <w:rPr>
        <w:rFonts w:hint="default"/>
      </w:rPr>
      <w:start w:val="1"/>
      <w:suff w:val="tab"/>
    </w:lvl>
    <w:lvl w:ilvl="3">
      <w:isLgl w:val="false"/>
      <w:lvlJc w:val="left"/>
      <w:lvlText w:val="%1.%2.%3.%4"/>
      <w:numFmt w:val="decimal"/>
      <w:pPr>
        <w:pBdr/>
        <w:spacing/>
        <w:ind w:hanging="720" w:left="2880"/>
      </w:pPr>
      <w:rPr>
        <w:rFonts w:hint="default"/>
      </w:rPr>
      <w:start w:val="1"/>
      <w:suff w:val="tab"/>
    </w:lvl>
    <w:lvl w:ilvl="4">
      <w:isLgl w:val="false"/>
      <w:lvlJc w:val="left"/>
      <w:lvlText w:val="%1.%2.%3.%4.%5"/>
      <w:numFmt w:val="decimal"/>
      <w:pPr>
        <w:pBdr/>
        <w:spacing/>
        <w:ind w:hanging="1080" w:left="3960"/>
      </w:pPr>
      <w:rPr>
        <w:rFonts w:hint="default"/>
      </w:rPr>
      <w:start w:val="1"/>
      <w:suff w:val="tab"/>
    </w:lvl>
    <w:lvl w:ilvl="5">
      <w:isLgl w:val="false"/>
      <w:lvlJc w:val="left"/>
      <w:lvlText w:val="%1.%2.%3.%4.%5.%6"/>
      <w:numFmt w:val="decimal"/>
      <w:pPr>
        <w:pBdr/>
        <w:spacing/>
        <w:ind w:hanging="1080" w:left="4680"/>
      </w:pPr>
      <w:rPr>
        <w:rFonts w:hint="default"/>
      </w:rPr>
      <w:start w:val="1"/>
      <w:suff w:val="tab"/>
    </w:lvl>
    <w:lvl w:ilvl="6">
      <w:isLgl w:val="false"/>
      <w:lvlJc w:val="left"/>
      <w:lvlText w:val="%1.%2.%3.%4.%5.%6.%7"/>
      <w:numFmt w:val="decimal"/>
      <w:pPr>
        <w:pBdr/>
        <w:spacing/>
        <w:ind w:hanging="1440" w:left="5760"/>
      </w:pPr>
      <w:rPr>
        <w:rFonts w:hint="default"/>
      </w:rPr>
      <w:start w:val="1"/>
      <w:suff w:val="tab"/>
    </w:lvl>
    <w:lvl w:ilvl="7">
      <w:isLgl w:val="false"/>
      <w:lvlJc w:val="left"/>
      <w:lvlText w:val="%1.%2.%3.%4.%5.%6.%7.%8"/>
      <w:numFmt w:val="decimal"/>
      <w:pPr>
        <w:pBdr/>
        <w:spacing/>
        <w:ind w:hanging="1440" w:left="6480"/>
      </w:pPr>
      <w:rPr>
        <w:rFonts w:hint="default"/>
      </w:rPr>
      <w:start w:val="1"/>
      <w:suff w:val="tab"/>
    </w:lvl>
    <w:lvl w:ilvl="8">
      <w:isLgl w:val="false"/>
      <w:lvlJc w:val="left"/>
      <w:lvlText w:val="%1.%2.%3.%4.%5.%6.%7.%8.%9"/>
      <w:numFmt w:val="decimal"/>
      <w:pPr>
        <w:pBdr/>
        <w:spacing/>
        <w:ind w:hanging="1800" w:left="7560"/>
      </w:pPr>
      <w:rPr>
        <w:rFonts w:hint="default"/>
      </w:rPr>
      <w:start w:val="1"/>
      <w:suff w:val="tab"/>
    </w:lvl>
  </w:abstractNum>
  <w:abstractNum w:abstractNumId="9">
    <w:lvl w:ilvl="0">
      <w:isLgl w:val="false"/>
      <w:lvlJc w:val="left"/>
      <w:lvlText w:val="%1"/>
      <w:numFmt w:val="decimal"/>
      <w:pPr>
        <w:pBdr/>
        <w:spacing/>
        <w:ind w:hanging="360" w:left="360"/>
      </w:pPr>
      <w:rPr>
        <w:rFonts w:hint="default"/>
      </w:rPr>
      <w:start w:val="3"/>
      <w:suff w:val="tab"/>
    </w:lvl>
    <w:lvl w:ilvl="1">
      <w:isLgl w:val="false"/>
      <w:lvlJc w:val="left"/>
      <w:lvlText w:val="%1.%2"/>
      <w:numFmt w:val="decimal"/>
      <w:pPr>
        <w:pBdr/>
        <w:spacing/>
        <w:ind w:hanging="360" w:left="360"/>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720" w:left="72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080" w:left="108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1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lvl w:ilvl="0">
      <w:isLgl w:val="false"/>
      <w:lvlJc w:val="left"/>
      <w:lvlText w:val="%1."/>
      <w:numFmt w:val="decimal"/>
      <w:pPr>
        <w:pBdr/>
        <w:spacing/>
        <w:ind w:hanging="360" w:left="720"/>
      </w:pPr>
      <w:rPr>
        <w:rFonts w:hint="default"/>
      </w:rPr>
      <w:start w:val="1"/>
      <w:suff w:val="tab"/>
    </w:lvl>
    <w:lvl w:ilvl="1">
      <w:isLgl w:val="true"/>
      <w:lvlJc w:val="left"/>
      <w:lvlText w:val="%1.%2"/>
      <w:numFmt w:val="decimal"/>
      <w:pPr>
        <w:pBdr/>
        <w:spacing/>
        <w:ind w:hanging="360" w:left="720"/>
      </w:pPr>
      <w:rPr>
        <w:rFonts w:hint="default"/>
      </w:rPr>
      <w:start w:val="1"/>
      <w:suff w:val="tab"/>
    </w:lvl>
    <w:lvl w:ilvl="2">
      <w:isLgl w:val="true"/>
      <w:lvlJc w:val="left"/>
      <w:lvlText w:val="%1.%2.%3"/>
      <w:numFmt w:val="decimal"/>
      <w:pPr>
        <w:pBdr/>
        <w:spacing/>
        <w:ind w:hanging="720" w:left="1080"/>
      </w:pPr>
      <w:rPr>
        <w:rFonts w:hint="default"/>
      </w:rPr>
      <w:start w:val="1"/>
      <w:suff w:val="tab"/>
    </w:lvl>
    <w:lvl w:ilvl="3">
      <w:isLgl w:val="true"/>
      <w:lvlJc w:val="left"/>
      <w:lvlText w:val="%1.%2.%3.%4"/>
      <w:numFmt w:val="decimal"/>
      <w:pPr>
        <w:pBdr/>
        <w:spacing/>
        <w:ind w:hanging="720" w:left="1080"/>
      </w:pPr>
      <w:rPr>
        <w:rFonts w:hint="default"/>
      </w:rPr>
      <w:start w:val="1"/>
      <w:suff w:val="tab"/>
    </w:lvl>
    <w:lvl w:ilvl="4">
      <w:isLgl w:val="true"/>
      <w:lvlJc w:val="left"/>
      <w:lvlText w:val="%1.%2.%3.%4.%5"/>
      <w:numFmt w:val="decimal"/>
      <w:pPr>
        <w:pBdr/>
        <w:spacing/>
        <w:ind w:hanging="1080" w:left="1440"/>
      </w:pPr>
      <w:rPr>
        <w:rFonts w:hint="default"/>
      </w:rPr>
      <w:start w:val="1"/>
      <w:suff w:val="tab"/>
    </w:lvl>
    <w:lvl w:ilvl="5">
      <w:isLgl w:val="true"/>
      <w:lvlJc w:val="left"/>
      <w:lvlText w:val="%1.%2.%3.%4.%5.%6"/>
      <w:numFmt w:val="decimal"/>
      <w:pPr>
        <w:pBdr/>
        <w:spacing/>
        <w:ind w:hanging="1080" w:left="1440"/>
      </w:pPr>
      <w:rPr>
        <w:rFonts w:hint="default"/>
      </w:rPr>
      <w:start w:val="1"/>
      <w:suff w:val="tab"/>
    </w:lvl>
    <w:lvl w:ilvl="6">
      <w:isLgl w:val="true"/>
      <w:lvlJc w:val="left"/>
      <w:lvlText w:val="%1.%2.%3.%4.%5.%6.%7"/>
      <w:numFmt w:val="decimal"/>
      <w:pPr>
        <w:pBdr/>
        <w:spacing/>
        <w:ind w:hanging="1440" w:left="1800"/>
      </w:pPr>
      <w:rPr>
        <w:rFonts w:hint="default"/>
      </w:rPr>
      <w:start w:val="1"/>
      <w:suff w:val="tab"/>
    </w:lvl>
    <w:lvl w:ilvl="7">
      <w:isLgl w:val="true"/>
      <w:lvlJc w:val="left"/>
      <w:lvlText w:val="%1.%2.%3.%4.%5.%6.%7.%8"/>
      <w:numFmt w:val="decimal"/>
      <w:pPr>
        <w:pBdr/>
        <w:spacing/>
        <w:ind w:hanging="1440" w:left="1800"/>
      </w:pPr>
      <w:rPr>
        <w:rFonts w:hint="default"/>
      </w:rPr>
      <w:start w:val="1"/>
      <w:suff w:val="tab"/>
    </w:lvl>
    <w:lvl w:ilvl="8">
      <w:isLgl w:val="true"/>
      <w:lvlJc w:val="left"/>
      <w:lvlText w:val="%1.%2.%3.%4.%5.%6.%7.%8.%9"/>
      <w:numFmt w:val="decimal"/>
      <w:pPr>
        <w:pBdr/>
        <w:spacing/>
        <w:ind w:hanging="1800" w:left="2160"/>
      </w:pPr>
      <w:rPr>
        <w:rFonts w:hint="default"/>
      </w:rPr>
      <w:start w:val="1"/>
      <w:suff w:val="tab"/>
    </w:lvl>
  </w:abstractNum>
  <w:num w:numId="1">
    <w:abstractNumId w:val="3"/>
  </w:num>
  <w:num w:numId="2">
    <w:abstractNumId w:val="11"/>
  </w:num>
  <w:num w:numId="3">
    <w:abstractNumId w:val="6"/>
  </w:num>
  <w:num w:numId="4">
    <w:abstractNumId w:val="2"/>
  </w:num>
  <w:num w:numId="5">
    <w:abstractNumId w:val="10"/>
  </w:num>
  <w:num w:numId="6">
    <w:abstractNumId w:val="5"/>
  </w:num>
  <w:num w:numId="7">
    <w:abstractNumId w:val="4"/>
  </w:num>
  <w:num w:numId="8">
    <w:abstractNumId w:val="1"/>
  </w:num>
  <w:num w:numId="9">
    <w:abstractNumId w:val="7"/>
  </w:num>
  <w:num w:numId="10">
    <w:abstractNumId w:val="0"/>
  </w:num>
  <w:num w:numId="11">
    <w:abstractNumId w:val="9"/>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autoHyphenation w:val="true"/>
  <w:hyphenationZone w:val="283"/>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it-IT" w:eastAsia="en-US" w:bidi="ar-SA"/>
        <w14:ligatures w14:val="standardContextual"/>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81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81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81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81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81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81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81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81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81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81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81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81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81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81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81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81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81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81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81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81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81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81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81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81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81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81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81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81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81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81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81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81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81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81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8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8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8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8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8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8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8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81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81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81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81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81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81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81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81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81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81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81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81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81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81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8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8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8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8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8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8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8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81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81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81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81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81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81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81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81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81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81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81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81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81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81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81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81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81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81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81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81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81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81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81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81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81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81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81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81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81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81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81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81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81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81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81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81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81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1">
    <w:name w:val="List Table 7 Colorful - Accent 2"/>
    <w:basedOn w:val="81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2">
    <w:name w:val="List Table 7 Colorful - Accent 3"/>
    <w:basedOn w:val="81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3">
    <w:name w:val="List Table 7 Colorful - Accent 4"/>
    <w:basedOn w:val="81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4">
    <w:name w:val="List Table 7 Colorful - Accent 5"/>
    <w:basedOn w:val="81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5">
    <w:name w:val="List Table 7 Colorful - Accent 6"/>
    <w:basedOn w:val="81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16">
    <w:name w:val="Lined - Accent"/>
    <w:basedOn w:val="8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8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8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8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8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8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8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81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81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81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81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81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81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81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81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81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81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81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81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81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81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49">
    <w:name w:val="Heading 1 Char"/>
    <w:basedOn w:val="816"/>
    <w:link w:val="807"/>
    <w:uiPriority w:val="9"/>
    <w:pPr>
      <w:pBdr/>
      <w:spacing/>
      <w:ind/>
    </w:pPr>
    <w:rPr>
      <w:rFonts w:ascii="Arial" w:hAnsi="Arial" w:eastAsia="Arial" w:cs="Arial"/>
      <w:color w:val="0f4761" w:themeColor="accent1" w:themeShade="BF"/>
      <w:sz w:val="40"/>
      <w:szCs w:val="40"/>
    </w:rPr>
  </w:style>
  <w:style w:type="character" w:styleId="150">
    <w:name w:val="Heading 2 Char"/>
    <w:basedOn w:val="816"/>
    <w:link w:val="808"/>
    <w:uiPriority w:val="9"/>
    <w:pPr>
      <w:pBdr/>
      <w:spacing/>
      <w:ind/>
    </w:pPr>
    <w:rPr>
      <w:rFonts w:ascii="Arial" w:hAnsi="Arial" w:eastAsia="Arial" w:cs="Arial"/>
      <w:color w:val="0f4761" w:themeColor="accent1" w:themeShade="BF"/>
      <w:sz w:val="32"/>
      <w:szCs w:val="32"/>
    </w:rPr>
  </w:style>
  <w:style w:type="character" w:styleId="151">
    <w:name w:val="Heading 3 Char"/>
    <w:basedOn w:val="816"/>
    <w:link w:val="809"/>
    <w:uiPriority w:val="9"/>
    <w:pPr>
      <w:pBdr/>
      <w:spacing/>
      <w:ind/>
    </w:pPr>
    <w:rPr>
      <w:rFonts w:ascii="Arial" w:hAnsi="Arial" w:eastAsia="Arial" w:cs="Arial"/>
      <w:color w:val="0f4761" w:themeColor="accent1" w:themeShade="BF"/>
      <w:sz w:val="28"/>
      <w:szCs w:val="28"/>
    </w:rPr>
  </w:style>
  <w:style w:type="character" w:styleId="152">
    <w:name w:val="Heading 4 Char"/>
    <w:basedOn w:val="816"/>
    <w:link w:val="810"/>
    <w:uiPriority w:val="9"/>
    <w:pPr>
      <w:pBdr/>
      <w:spacing/>
      <w:ind/>
    </w:pPr>
    <w:rPr>
      <w:rFonts w:ascii="Arial" w:hAnsi="Arial" w:eastAsia="Arial" w:cs="Arial"/>
      <w:i/>
      <w:iCs/>
      <w:color w:val="0f4761" w:themeColor="accent1" w:themeShade="BF"/>
    </w:rPr>
  </w:style>
  <w:style w:type="character" w:styleId="153">
    <w:name w:val="Heading 5 Char"/>
    <w:basedOn w:val="816"/>
    <w:link w:val="811"/>
    <w:uiPriority w:val="9"/>
    <w:pPr>
      <w:pBdr/>
      <w:spacing/>
      <w:ind/>
    </w:pPr>
    <w:rPr>
      <w:rFonts w:ascii="Arial" w:hAnsi="Arial" w:eastAsia="Arial" w:cs="Arial"/>
      <w:color w:val="0f4761" w:themeColor="accent1" w:themeShade="BF"/>
    </w:rPr>
  </w:style>
  <w:style w:type="character" w:styleId="154">
    <w:name w:val="Heading 6 Char"/>
    <w:basedOn w:val="816"/>
    <w:link w:val="812"/>
    <w:uiPriority w:val="9"/>
    <w:pPr>
      <w:pBdr/>
      <w:spacing/>
      <w:ind/>
    </w:pPr>
    <w:rPr>
      <w:rFonts w:ascii="Arial" w:hAnsi="Arial" w:eastAsia="Arial" w:cs="Arial"/>
      <w:i/>
      <w:iCs/>
      <w:color w:val="595959" w:themeColor="text1" w:themeTint="A6"/>
    </w:rPr>
  </w:style>
  <w:style w:type="character" w:styleId="155">
    <w:name w:val="Heading 7 Char"/>
    <w:basedOn w:val="816"/>
    <w:link w:val="813"/>
    <w:uiPriority w:val="9"/>
    <w:pPr>
      <w:pBdr/>
      <w:spacing/>
      <w:ind/>
    </w:pPr>
    <w:rPr>
      <w:rFonts w:ascii="Arial" w:hAnsi="Arial" w:eastAsia="Arial" w:cs="Arial"/>
      <w:color w:val="595959" w:themeColor="text1" w:themeTint="A6"/>
    </w:rPr>
  </w:style>
  <w:style w:type="character" w:styleId="156">
    <w:name w:val="Heading 8 Char"/>
    <w:basedOn w:val="816"/>
    <w:link w:val="814"/>
    <w:uiPriority w:val="9"/>
    <w:pPr>
      <w:pBdr/>
      <w:spacing/>
      <w:ind/>
    </w:pPr>
    <w:rPr>
      <w:rFonts w:ascii="Arial" w:hAnsi="Arial" w:eastAsia="Arial" w:cs="Arial"/>
      <w:i/>
      <w:iCs/>
      <w:color w:val="272727" w:themeColor="text1" w:themeTint="D8"/>
    </w:rPr>
  </w:style>
  <w:style w:type="character" w:styleId="157">
    <w:name w:val="Heading 9 Char"/>
    <w:basedOn w:val="816"/>
    <w:link w:val="815"/>
    <w:uiPriority w:val="9"/>
    <w:pPr>
      <w:pBdr/>
      <w:spacing/>
      <w:ind/>
    </w:pPr>
    <w:rPr>
      <w:rFonts w:ascii="Arial" w:hAnsi="Arial" w:eastAsia="Arial" w:cs="Arial"/>
      <w:i/>
      <w:iCs/>
      <w:color w:val="272727" w:themeColor="text1" w:themeTint="D8"/>
    </w:rPr>
  </w:style>
  <w:style w:type="character" w:styleId="159">
    <w:name w:val="Title Char"/>
    <w:basedOn w:val="816"/>
    <w:link w:val="828"/>
    <w:uiPriority w:val="10"/>
    <w:pPr>
      <w:pBdr/>
      <w:spacing/>
      <w:ind/>
    </w:pPr>
    <w:rPr>
      <w:rFonts w:ascii="Arial" w:hAnsi="Arial" w:eastAsia="Arial" w:cs="Arial"/>
      <w:spacing w:val="-10"/>
      <w:sz w:val="56"/>
      <w:szCs w:val="56"/>
    </w:rPr>
  </w:style>
  <w:style w:type="character" w:styleId="161">
    <w:name w:val="Subtitle Char"/>
    <w:basedOn w:val="816"/>
    <w:link w:val="830"/>
    <w:uiPriority w:val="11"/>
    <w:pPr>
      <w:pBdr/>
      <w:spacing/>
      <w:ind/>
    </w:pPr>
    <w:rPr>
      <w:color w:val="595959" w:themeColor="text1" w:themeTint="A6"/>
      <w:spacing w:val="15"/>
      <w:sz w:val="28"/>
      <w:szCs w:val="28"/>
    </w:rPr>
  </w:style>
  <w:style w:type="character" w:styleId="163">
    <w:name w:val="Quote Char"/>
    <w:basedOn w:val="816"/>
    <w:link w:val="832"/>
    <w:uiPriority w:val="29"/>
    <w:pPr>
      <w:pBdr/>
      <w:spacing/>
      <w:ind/>
    </w:pPr>
    <w:rPr>
      <w:i/>
      <w:iCs/>
      <w:color w:val="404040" w:themeColor="text1" w:themeTint="BF"/>
    </w:rPr>
  </w:style>
  <w:style w:type="character" w:styleId="167">
    <w:name w:val="Intense Quote Char"/>
    <w:basedOn w:val="816"/>
    <w:link w:val="836"/>
    <w:uiPriority w:val="30"/>
    <w:pPr>
      <w:pBdr/>
      <w:spacing/>
      <w:ind/>
    </w:pPr>
    <w:rPr>
      <w:i/>
      <w:iCs/>
      <w:color w:val="0f4761" w:themeColor="accent1" w:themeShade="BF"/>
    </w:rPr>
  </w:style>
  <w:style w:type="paragraph" w:styleId="169">
    <w:name w:val="No Spacing"/>
    <w:basedOn w:val="806"/>
    <w:uiPriority w:val="1"/>
    <w:qFormat/>
    <w:pPr>
      <w:pBdr/>
      <w:spacing w:after="0" w:line="240" w:lineRule="auto"/>
      <w:ind/>
    </w:pPr>
  </w:style>
  <w:style w:type="character" w:styleId="170">
    <w:name w:val="Subtle Emphasis"/>
    <w:basedOn w:val="816"/>
    <w:uiPriority w:val="19"/>
    <w:qFormat/>
    <w:pPr>
      <w:pBdr/>
      <w:spacing/>
      <w:ind/>
    </w:pPr>
    <w:rPr>
      <w:i/>
      <w:iCs/>
      <w:color w:val="404040" w:themeColor="text1" w:themeTint="BF"/>
    </w:rPr>
  </w:style>
  <w:style w:type="character" w:styleId="171">
    <w:name w:val="Emphasis"/>
    <w:basedOn w:val="816"/>
    <w:uiPriority w:val="20"/>
    <w:qFormat/>
    <w:pPr>
      <w:pBdr/>
      <w:spacing/>
      <w:ind/>
    </w:pPr>
    <w:rPr>
      <w:i/>
      <w:iCs/>
    </w:rPr>
  </w:style>
  <w:style w:type="character" w:styleId="172">
    <w:name w:val="Strong"/>
    <w:basedOn w:val="816"/>
    <w:uiPriority w:val="22"/>
    <w:qFormat/>
    <w:pPr>
      <w:pBdr/>
      <w:spacing/>
      <w:ind/>
    </w:pPr>
    <w:rPr>
      <w:b/>
      <w:bCs/>
    </w:rPr>
  </w:style>
  <w:style w:type="character" w:styleId="173">
    <w:name w:val="Subtle Reference"/>
    <w:basedOn w:val="816"/>
    <w:uiPriority w:val="31"/>
    <w:qFormat/>
    <w:pPr>
      <w:pBdr/>
      <w:spacing/>
      <w:ind/>
    </w:pPr>
    <w:rPr>
      <w:smallCaps/>
      <w:color w:val="5a5a5a" w:themeColor="text1" w:themeTint="A5"/>
    </w:rPr>
  </w:style>
  <w:style w:type="character" w:styleId="174">
    <w:name w:val="Book Title"/>
    <w:basedOn w:val="816"/>
    <w:uiPriority w:val="33"/>
    <w:qFormat/>
    <w:pPr>
      <w:pBdr/>
      <w:spacing/>
      <w:ind/>
    </w:pPr>
    <w:rPr>
      <w:b/>
      <w:bCs/>
      <w:i/>
      <w:iCs/>
      <w:spacing w:val="5"/>
    </w:rPr>
  </w:style>
  <w:style w:type="character" w:styleId="176">
    <w:name w:val="Header Char"/>
    <w:basedOn w:val="816"/>
    <w:link w:val="840"/>
    <w:uiPriority w:val="99"/>
    <w:pPr>
      <w:pBdr/>
      <w:spacing/>
      <w:ind/>
    </w:pPr>
  </w:style>
  <w:style w:type="character" w:styleId="178">
    <w:name w:val="Footer Char"/>
    <w:basedOn w:val="816"/>
    <w:link w:val="842"/>
    <w:uiPriority w:val="99"/>
    <w:pPr>
      <w:pBdr/>
      <w:spacing/>
      <w:ind/>
    </w:pPr>
  </w:style>
  <w:style w:type="paragraph" w:styleId="179">
    <w:name w:val="Caption"/>
    <w:basedOn w:val="806"/>
    <w:next w:val="806"/>
    <w:uiPriority w:val="35"/>
    <w:unhideWhenUsed/>
    <w:qFormat/>
    <w:pPr>
      <w:pBdr/>
      <w:spacing w:after="200" w:line="240" w:lineRule="auto"/>
      <w:ind/>
    </w:pPr>
    <w:rPr>
      <w:i/>
      <w:iCs/>
      <w:color w:val="0e2841" w:themeColor="text2"/>
      <w:sz w:val="18"/>
      <w:szCs w:val="18"/>
    </w:rPr>
  </w:style>
  <w:style w:type="paragraph" w:styleId="180">
    <w:name w:val="footnote text"/>
    <w:basedOn w:val="806"/>
    <w:link w:val="181"/>
    <w:uiPriority w:val="99"/>
    <w:semiHidden/>
    <w:unhideWhenUsed/>
    <w:pPr>
      <w:pBdr/>
      <w:spacing w:after="0" w:line="240" w:lineRule="auto"/>
      <w:ind/>
    </w:pPr>
    <w:rPr>
      <w:sz w:val="20"/>
      <w:szCs w:val="20"/>
    </w:rPr>
  </w:style>
  <w:style w:type="character" w:styleId="181">
    <w:name w:val="Footnote Text Char"/>
    <w:basedOn w:val="816"/>
    <w:link w:val="180"/>
    <w:uiPriority w:val="99"/>
    <w:semiHidden/>
    <w:pPr>
      <w:pBdr/>
      <w:spacing/>
      <w:ind/>
    </w:pPr>
    <w:rPr>
      <w:sz w:val="20"/>
      <w:szCs w:val="20"/>
    </w:rPr>
  </w:style>
  <w:style w:type="character" w:styleId="182">
    <w:name w:val="footnote reference"/>
    <w:basedOn w:val="816"/>
    <w:uiPriority w:val="99"/>
    <w:semiHidden/>
    <w:unhideWhenUsed/>
    <w:pPr>
      <w:pBdr/>
      <w:spacing/>
      <w:ind/>
    </w:pPr>
    <w:rPr>
      <w:vertAlign w:val="superscript"/>
    </w:rPr>
  </w:style>
  <w:style w:type="paragraph" w:styleId="183">
    <w:name w:val="endnote text"/>
    <w:basedOn w:val="806"/>
    <w:link w:val="184"/>
    <w:uiPriority w:val="99"/>
    <w:semiHidden/>
    <w:unhideWhenUsed/>
    <w:pPr>
      <w:pBdr/>
      <w:spacing w:after="0" w:line="240" w:lineRule="auto"/>
      <w:ind/>
    </w:pPr>
    <w:rPr>
      <w:sz w:val="20"/>
      <w:szCs w:val="20"/>
    </w:rPr>
  </w:style>
  <w:style w:type="character" w:styleId="184">
    <w:name w:val="Endnote Text Char"/>
    <w:basedOn w:val="816"/>
    <w:link w:val="183"/>
    <w:uiPriority w:val="99"/>
    <w:semiHidden/>
    <w:pPr>
      <w:pBdr/>
      <w:spacing/>
      <w:ind/>
    </w:pPr>
    <w:rPr>
      <w:sz w:val="20"/>
      <w:szCs w:val="20"/>
    </w:rPr>
  </w:style>
  <w:style w:type="character" w:styleId="185">
    <w:name w:val="endnote reference"/>
    <w:basedOn w:val="816"/>
    <w:uiPriority w:val="99"/>
    <w:semiHidden/>
    <w:unhideWhenUsed/>
    <w:pPr>
      <w:pBdr/>
      <w:spacing/>
      <w:ind/>
    </w:pPr>
    <w:rPr>
      <w:vertAlign w:val="superscript"/>
    </w:rPr>
  </w:style>
  <w:style w:type="character" w:styleId="186">
    <w:name w:val="Hyperlink"/>
    <w:basedOn w:val="816"/>
    <w:uiPriority w:val="99"/>
    <w:unhideWhenUsed/>
    <w:pPr>
      <w:pBdr/>
      <w:spacing/>
      <w:ind/>
    </w:pPr>
    <w:rPr>
      <w:color w:val="0563c1" w:themeColor="hyperlink"/>
      <w:u w:val="single"/>
    </w:rPr>
  </w:style>
  <w:style w:type="character" w:styleId="187">
    <w:name w:val="FollowedHyperlink"/>
    <w:basedOn w:val="816"/>
    <w:uiPriority w:val="99"/>
    <w:semiHidden/>
    <w:unhideWhenUsed/>
    <w:pPr>
      <w:pBdr/>
      <w:spacing/>
      <w:ind/>
    </w:pPr>
    <w:rPr>
      <w:color w:val="954f72" w:themeColor="followedHyperlink"/>
      <w:u w:val="single"/>
    </w:rPr>
  </w:style>
  <w:style w:type="paragraph" w:styleId="188">
    <w:name w:val="toc 1"/>
    <w:basedOn w:val="806"/>
    <w:next w:val="806"/>
    <w:uiPriority w:val="39"/>
    <w:unhideWhenUsed/>
    <w:pPr>
      <w:pBdr/>
      <w:spacing w:after="100"/>
      <w:ind/>
    </w:pPr>
  </w:style>
  <w:style w:type="paragraph" w:styleId="189">
    <w:name w:val="toc 2"/>
    <w:basedOn w:val="806"/>
    <w:next w:val="806"/>
    <w:uiPriority w:val="39"/>
    <w:unhideWhenUsed/>
    <w:pPr>
      <w:pBdr/>
      <w:spacing w:after="100"/>
      <w:ind w:left="220"/>
    </w:pPr>
  </w:style>
  <w:style w:type="paragraph" w:styleId="190">
    <w:name w:val="toc 3"/>
    <w:basedOn w:val="806"/>
    <w:next w:val="806"/>
    <w:uiPriority w:val="39"/>
    <w:unhideWhenUsed/>
    <w:pPr>
      <w:pBdr/>
      <w:spacing w:after="100"/>
      <w:ind w:left="440"/>
    </w:pPr>
  </w:style>
  <w:style w:type="paragraph" w:styleId="191">
    <w:name w:val="toc 4"/>
    <w:basedOn w:val="806"/>
    <w:next w:val="806"/>
    <w:uiPriority w:val="39"/>
    <w:unhideWhenUsed/>
    <w:pPr>
      <w:pBdr/>
      <w:spacing w:after="100"/>
      <w:ind w:left="660"/>
    </w:pPr>
  </w:style>
  <w:style w:type="paragraph" w:styleId="192">
    <w:name w:val="toc 5"/>
    <w:basedOn w:val="806"/>
    <w:next w:val="806"/>
    <w:uiPriority w:val="39"/>
    <w:unhideWhenUsed/>
    <w:pPr>
      <w:pBdr/>
      <w:spacing w:after="100"/>
      <w:ind w:left="880"/>
    </w:pPr>
  </w:style>
  <w:style w:type="paragraph" w:styleId="193">
    <w:name w:val="toc 6"/>
    <w:basedOn w:val="806"/>
    <w:next w:val="806"/>
    <w:uiPriority w:val="39"/>
    <w:unhideWhenUsed/>
    <w:pPr>
      <w:pBdr/>
      <w:spacing w:after="100"/>
      <w:ind w:left="1100"/>
    </w:pPr>
  </w:style>
  <w:style w:type="paragraph" w:styleId="194">
    <w:name w:val="toc 7"/>
    <w:basedOn w:val="806"/>
    <w:next w:val="806"/>
    <w:uiPriority w:val="39"/>
    <w:unhideWhenUsed/>
    <w:pPr>
      <w:pBdr/>
      <w:spacing w:after="100"/>
      <w:ind w:left="1320"/>
    </w:pPr>
  </w:style>
  <w:style w:type="paragraph" w:styleId="195">
    <w:name w:val="toc 8"/>
    <w:basedOn w:val="806"/>
    <w:next w:val="806"/>
    <w:uiPriority w:val="39"/>
    <w:unhideWhenUsed/>
    <w:pPr>
      <w:pBdr/>
      <w:spacing w:after="100"/>
      <w:ind w:left="1540"/>
    </w:pPr>
  </w:style>
  <w:style w:type="paragraph" w:styleId="196">
    <w:name w:val="toc 9"/>
    <w:basedOn w:val="806"/>
    <w:next w:val="806"/>
    <w:uiPriority w:val="39"/>
    <w:unhideWhenUsed/>
    <w:pPr>
      <w:pBdr/>
      <w:spacing w:after="100"/>
      <w:ind w:left="1760"/>
    </w:pPr>
  </w:style>
  <w:style w:type="character" w:styleId="197">
    <w:name w:val="Placeholder Text"/>
    <w:basedOn w:val="816"/>
    <w:uiPriority w:val="99"/>
    <w:semiHidden/>
    <w:pPr>
      <w:pBdr/>
      <w:spacing/>
      <w:ind/>
    </w:pPr>
    <w:rPr>
      <w:color w:val="666666"/>
    </w:rPr>
  </w:style>
  <w:style w:type="paragraph" w:styleId="207">
    <w:name w:val="TOC Heading"/>
    <w:uiPriority w:val="39"/>
    <w:unhideWhenUsed/>
    <w:pPr>
      <w:pBdr/>
      <w:spacing/>
      <w:ind/>
    </w:pPr>
  </w:style>
  <w:style w:type="paragraph" w:styleId="208">
    <w:name w:val="table of figures"/>
    <w:basedOn w:val="806"/>
    <w:next w:val="806"/>
    <w:uiPriority w:val="99"/>
    <w:unhideWhenUsed/>
    <w:pPr>
      <w:pBdr/>
      <w:spacing w:after="0" w:afterAutospacing="0"/>
      <w:ind/>
    </w:pPr>
  </w:style>
  <w:style w:type="paragraph" w:styleId="806" w:default="1">
    <w:name w:val="Normal"/>
    <w:qFormat/>
    <w:pPr>
      <w:pBdr/>
      <w:spacing/>
      <w:ind/>
    </w:pPr>
  </w:style>
  <w:style w:type="paragraph" w:styleId="807">
    <w:name w:val="Heading 1"/>
    <w:basedOn w:val="806"/>
    <w:next w:val="806"/>
    <w:link w:val="819"/>
    <w:uiPriority w:val="9"/>
    <w:qFormat/>
    <w:pPr>
      <w:keepNext w:val="true"/>
      <w:keepLines w:val="true"/>
      <w:pBdr/>
      <w:spacing w:after="80" w:before="360"/>
      <w:ind/>
      <w:outlineLvl w:val="0"/>
    </w:pPr>
    <w:rPr>
      <w:rFonts w:asciiTheme="majorHAnsi" w:hAnsiTheme="majorHAnsi" w:eastAsiaTheme="majorEastAsia" w:cstheme="majorBidi"/>
      <w:color w:val="365f91" w:themeColor="accent1" w:themeShade="BF"/>
      <w:sz w:val="40"/>
      <w:szCs w:val="40"/>
    </w:rPr>
  </w:style>
  <w:style w:type="paragraph" w:styleId="808">
    <w:name w:val="Heading 2"/>
    <w:basedOn w:val="806"/>
    <w:next w:val="806"/>
    <w:link w:val="820"/>
    <w:uiPriority w:val="9"/>
    <w:semiHidden/>
    <w:unhideWhenUsed/>
    <w:qFormat/>
    <w:pPr>
      <w:keepNext w:val="true"/>
      <w:keepLines w:val="true"/>
      <w:pBdr/>
      <w:spacing w:after="80" w:before="160"/>
      <w:ind/>
      <w:outlineLvl w:val="1"/>
    </w:pPr>
    <w:rPr>
      <w:rFonts w:asciiTheme="majorHAnsi" w:hAnsiTheme="majorHAnsi" w:eastAsiaTheme="majorEastAsia" w:cstheme="majorBidi"/>
      <w:color w:val="365f91" w:themeColor="accent1" w:themeShade="BF"/>
      <w:sz w:val="32"/>
      <w:szCs w:val="32"/>
    </w:rPr>
  </w:style>
  <w:style w:type="paragraph" w:styleId="809">
    <w:name w:val="Heading 3"/>
    <w:basedOn w:val="806"/>
    <w:next w:val="806"/>
    <w:link w:val="821"/>
    <w:uiPriority w:val="9"/>
    <w:semiHidden/>
    <w:unhideWhenUsed/>
    <w:qFormat/>
    <w:pPr>
      <w:keepNext w:val="true"/>
      <w:keepLines w:val="true"/>
      <w:pBdr/>
      <w:spacing w:after="80" w:before="160"/>
      <w:ind/>
      <w:outlineLvl w:val="2"/>
    </w:pPr>
    <w:rPr>
      <w:rFonts w:eastAsiaTheme="majorEastAsia" w:cstheme="majorBidi"/>
      <w:color w:val="365f91" w:themeColor="accent1" w:themeShade="BF"/>
      <w:sz w:val="28"/>
      <w:szCs w:val="28"/>
    </w:rPr>
  </w:style>
  <w:style w:type="paragraph" w:styleId="810">
    <w:name w:val="Heading 4"/>
    <w:basedOn w:val="806"/>
    <w:next w:val="806"/>
    <w:link w:val="822"/>
    <w:uiPriority w:val="9"/>
    <w:semiHidden/>
    <w:unhideWhenUsed/>
    <w:qFormat/>
    <w:pPr>
      <w:keepNext w:val="true"/>
      <w:keepLines w:val="true"/>
      <w:pBdr/>
      <w:spacing w:after="40" w:before="80"/>
      <w:ind/>
      <w:outlineLvl w:val="3"/>
    </w:pPr>
    <w:rPr>
      <w:rFonts w:eastAsiaTheme="majorEastAsia" w:cstheme="majorBidi"/>
      <w:i/>
      <w:iCs/>
      <w:color w:val="365f91" w:themeColor="accent1" w:themeShade="BF"/>
    </w:rPr>
  </w:style>
  <w:style w:type="paragraph" w:styleId="811">
    <w:name w:val="Heading 5"/>
    <w:basedOn w:val="806"/>
    <w:next w:val="806"/>
    <w:link w:val="823"/>
    <w:uiPriority w:val="9"/>
    <w:semiHidden/>
    <w:unhideWhenUsed/>
    <w:qFormat/>
    <w:pPr>
      <w:keepNext w:val="true"/>
      <w:keepLines w:val="true"/>
      <w:pBdr/>
      <w:spacing w:after="40" w:before="80"/>
      <w:ind/>
      <w:outlineLvl w:val="4"/>
    </w:pPr>
    <w:rPr>
      <w:rFonts w:eastAsiaTheme="majorEastAsia" w:cstheme="majorBidi"/>
      <w:color w:val="365f91" w:themeColor="accent1" w:themeShade="BF"/>
    </w:rPr>
  </w:style>
  <w:style w:type="paragraph" w:styleId="812">
    <w:name w:val="Heading 6"/>
    <w:basedOn w:val="806"/>
    <w:next w:val="806"/>
    <w:link w:val="824"/>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13">
    <w:name w:val="Heading 7"/>
    <w:basedOn w:val="806"/>
    <w:next w:val="806"/>
    <w:link w:val="825"/>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14">
    <w:name w:val="Heading 8"/>
    <w:basedOn w:val="806"/>
    <w:next w:val="806"/>
    <w:link w:val="826"/>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815">
    <w:name w:val="Heading 9"/>
    <w:basedOn w:val="806"/>
    <w:next w:val="806"/>
    <w:link w:val="827"/>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816" w:default="1">
    <w:name w:val="Default Paragraph Font"/>
    <w:uiPriority w:val="1"/>
    <w:semiHidden/>
    <w:unhideWhenUsed/>
    <w:pPr>
      <w:pBdr/>
      <w:spacing/>
      <w:ind/>
    </w:pPr>
  </w:style>
  <w:style w:type="table" w:styleId="81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18" w:default="1">
    <w:name w:val="No List"/>
    <w:uiPriority w:val="99"/>
    <w:semiHidden/>
    <w:unhideWhenUsed/>
    <w:pPr>
      <w:pBdr/>
      <w:spacing/>
      <w:ind/>
    </w:pPr>
  </w:style>
  <w:style w:type="character" w:styleId="819" w:customStyle="1">
    <w:name w:val="Titolo 1 Carattere"/>
    <w:basedOn w:val="816"/>
    <w:link w:val="807"/>
    <w:uiPriority w:val="9"/>
    <w:pPr>
      <w:pBdr/>
      <w:spacing/>
      <w:ind/>
    </w:pPr>
    <w:rPr>
      <w:rFonts w:asciiTheme="majorHAnsi" w:hAnsiTheme="majorHAnsi" w:eastAsiaTheme="majorEastAsia" w:cstheme="majorBidi"/>
      <w:color w:val="365f91" w:themeColor="accent1" w:themeShade="BF"/>
      <w:sz w:val="40"/>
      <w:szCs w:val="40"/>
    </w:rPr>
  </w:style>
  <w:style w:type="character" w:styleId="820" w:customStyle="1">
    <w:name w:val="Titolo 2 Carattere"/>
    <w:basedOn w:val="816"/>
    <w:link w:val="808"/>
    <w:uiPriority w:val="9"/>
    <w:semiHidden/>
    <w:pPr>
      <w:pBdr/>
      <w:spacing/>
      <w:ind/>
    </w:pPr>
    <w:rPr>
      <w:rFonts w:asciiTheme="majorHAnsi" w:hAnsiTheme="majorHAnsi" w:eastAsiaTheme="majorEastAsia" w:cstheme="majorBidi"/>
      <w:color w:val="365f91" w:themeColor="accent1" w:themeShade="BF"/>
      <w:sz w:val="32"/>
      <w:szCs w:val="32"/>
    </w:rPr>
  </w:style>
  <w:style w:type="character" w:styleId="821" w:customStyle="1">
    <w:name w:val="Titolo 3 Carattere"/>
    <w:basedOn w:val="816"/>
    <w:link w:val="809"/>
    <w:uiPriority w:val="9"/>
    <w:semiHidden/>
    <w:pPr>
      <w:pBdr/>
      <w:spacing/>
      <w:ind/>
    </w:pPr>
    <w:rPr>
      <w:rFonts w:eastAsiaTheme="majorEastAsia" w:cstheme="majorBidi"/>
      <w:color w:val="365f91" w:themeColor="accent1" w:themeShade="BF"/>
      <w:sz w:val="28"/>
      <w:szCs w:val="28"/>
    </w:rPr>
  </w:style>
  <w:style w:type="character" w:styleId="822" w:customStyle="1">
    <w:name w:val="Titolo 4 Carattere"/>
    <w:basedOn w:val="816"/>
    <w:link w:val="810"/>
    <w:uiPriority w:val="9"/>
    <w:semiHidden/>
    <w:pPr>
      <w:pBdr/>
      <w:spacing/>
      <w:ind/>
    </w:pPr>
    <w:rPr>
      <w:rFonts w:eastAsiaTheme="majorEastAsia" w:cstheme="majorBidi"/>
      <w:i/>
      <w:iCs/>
      <w:color w:val="365f91" w:themeColor="accent1" w:themeShade="BF"/>
    </w:rPr>
  </w:style>
  <w:style w:type="character" w:styleId="823" w:customStyle="1">
    <w:name w:val="Titolo 5 Carattere"/>
    <w:basedOn w:val="816"/>
    <w:link w:val="811"/>
    <w:uiPriority w:val="9"/>
    <w:semiHidden/>
    <w:pPr>
      <w:pBdr/>
      <w:spacing/>
      <w:ind/>
    </w:pPr>
    <w:rPr>
      <w:rFonts w:eastAsiaTheme="majorEastAsia" w:cstheme="majorBidi"/>
      <w:color w:val="365f91" w:themeColor="accent1" w:themeShade="BF"/>
    </w:rPr>
  </w:style>
  <w:style w:type="character" w:styleId="824" w:customStyle="1">
    <w:name w:val="Titolo 6 Carattere"/>
    <w:basedOn w:val="816"/>
    <w:link w:val="812"/>
    <w:uiPriority w:val="9"/>
    <w:semiHidden/>
    <w:pPr>
      <w:pBdr/>
      <w:spacing/>
      <w:ind/>
    </w:pPr>
    <w:rPr>
      <w:rFonts w:eastAsiaTheme="majorEastAsia" w:cstheme="majorBidi"/>
      <w:i/>
      <w:iCs/>
      <w:color w:val="595959" w:themeColor="text1" w:themeTint="A6"/>
    </w:rPr>
  </w:style>
  <w:style w:type="character" w:styleId="825" w:customStyle="1">
    <w:name w:val="Titolo 7 Carattere"/>
    <w:basedOn w:val="816"/>
    <w:link w:val="813"/>
    <w:uiPriority w:val="9"/>
    <w:semiHidden/>
    <w:pPr>
      <w:pBdr/>
      <w:spacing/>
      <w:ind/>
    </w:pPr>
    <w:rPr>
      <w:rFonts w:eastAsiaTheme="majorEastAsia" w:cstheme="majorBidi"/>
      <w:color w:val="595959" w:themeColor="text1" w:themeTint="A6"/>
    </w:rPr>
  </w:style>
  <w:style w:type="character" w:styleId="826" w:customStyle="1">
    <w:name w:val="Titolo 8 Carattere"/>
    <w:basedOn w:val="816"/>
    <w:link w:val="814"/>
    <w:uiPriority w:val="9"/>
    <w:semiHidden/>
    <w:pPr>
      <w:pBdr/>
      <w:spacing/>
      <w:ind/>
    </w:pPr>
    <w:rPr>
      <w:rFonts w:eastAsiaTheme="majorEastAsia" w:cstheme="majorBidi"/>
      <w:i/>
      <w:iCs/>
      <w:color w:val="272727" w:themeColor="text1" w:themeTint="D8"/>
    </w:rPr>
  </w:style>
  <w:style w:type="character" w:styleId="827" w:customStyle="1">
    <w:name w:val="Titolo 9 Carattere"/>
    <w:basedOn w:val="816"/>
    <w:link w:val="815"/>
    <w:uiPriority w:val="9"/>
    <w:semiHidden/>
    <w:pPr>
      <w:pBdr/>
      <w:spacing/>
      <w:ind/>
    </w:pPr>
    <w:rPr>
      <w:rFonts w:eastAsiaTheme="majorEastAsia" w:cstheme="majorBidi"/>
      <w:color w:val="272727" w:themeColor="text1" w:themeTint="D8"/>
    </w:rPr>
  </w:style>
  <w:style w:type="paragraph" w:styleId="828">
    <w:name w:val="Title"/>
    <w:basedOn w:val="806"/>
    <w:next w:val="806"/>
    <w:link w:val="829"/>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829" w:customStyle="1">
    <w:name w:val="Titolo Carattere"/>
    <w:basedOn w:val="816"/>
    <w:link w:val="828"/>
    <w:uiPriority w:val="10"/>
    <w:pPr>
      <w:pBdr/>
      <w:spacing/>
      <w:ind/>
    </w:pPr>
    <w:rPr>
      <w:rFonts w:asciiTheme="majorHAnsi" w:hAnsiTheme="majorHAnsi" w:eastAsiaTheme="majorEastAsia" w:cstheme="majorBidi"/>
      <w:spacing w:val="-10"/>
      <w:sz w:val="56"/>
      <w:szCs w:val="56"/>
    </w:rPr>
  </w:style>
  <w:style w:type="paragraph" w:styleId="830">
    <w:name w:val="Subtitle"/>
    <w:basedOn w:val="806"/>
    <w:next w:val="806"/>
    <w:link w:val="831"/>
    <w:uiPriority w:val="11"/>
    <w:qFormat/>
    <w:pPr>
      <w:numPr>
        <w:ilvl w:val="1"/>
      </w:numPr>
      <w:pBdr/>
      <w:spacing w:after="160"/>
      <w:ind/>
    </w:pPr>
    <w:rPr>
      <w:rFonts w:eastAsiaTheme="majorEastAsia" w:cstheme="majorBidi"/>
      <w:color w:val="595959" w:themeColor="text1" w:themeTint="A6"/>
      <w:spacing w:val="15"/>
      <w:sz w:val="28"/>
      <w:szCs w:val="28"/>
    </w:rPr>
  </w:style>
  <w:style w:type="character" w:styleId="831" w:customStyle="1">
    <w:name w:val="Sottotitolo Carattere"/>
    <w:basedOn w:val="816"/>
    <w:link w:val="830"/>
    <w:uiPriority w:val="11"/>
    <w:pPr>
      <w:pBdr/>
      <w:spacing/>
      <w:ind/>
    </w:pPr>
    <w:rPr>
      <w:rFonts w:eastAsiaTheme="majorEastAsia" w:cstheme="majorBidi"/>
      <w:color w:val="595959" w:themeColor="text1" w:themeTint="A6"/>
      <w:spacing w:val="15"/>
      <w:sz w:val="28"/>
      <w:szCs w:val="28"/>
    </w:rPr>
  </w:style>
  <w:style w:type="paragraph" w:styleId="832">
    <w:name w:val="Quote"/>
    <w:basedOn w:val="806"/>
    <w:next w:val="806"/>
    <w:link w:val="833"/>
    <w:uiPriority w:val="29"/>
    <w:qFormat/>
    <w:pPr>
      <w:pBdr/>
      <w:spacing w:after="160" w:before="160"/>
      <w:ind/>
      <w:jc w:val="center"/>
    </w:pPr>
    <w:rPr>
      <w:i/>
      <w:iCs/>
      <w:color w:val="404040" w:themeColor="text1" w:themeTint="BF"/>
    </w:rPr>
  </w:style>
  <w:style w:type="character" w:styleId="833" w:customStyle="1">
    <w:name w:val="Citazione Carattere"/>
    <w:basedOn w:val="816"/>
    <w:link w:val="832"/>
    <w:uiPriority w:val="29"/>
    <w:pPr>
      <w:pBdr/>
      <w:spacing/>
      <w:ind/>
    </w:pPr>
    <w:rPr>
      <w:i/>
      <w:iCs/>
      <w:color w:val="404040" w:themeColor="text1" w:themeTint="BF"/>
    </w:rPr>
  </w:style>
  <w:style w:type="paragraph" w:styleId="834">
    <w:name w:val="List Paragraph"/>
    <w:basedOn w:val="806"/>
    <w:uiPriority w:val="34"/>
    <w:qFormat/>
    <w:pPr>
      <w:pBdr/>
      <w:spacing/>
      <w:ind w:left="720"/>
      <w:contextualSpacing w:val="true"/>
    </w:pPr>
  </w:style>
  <w:style w:type="character" w:styleId="835">
    <w:name w:val="Intense Emphasis"/>
    <w:basedOn w:val="816"/>
    <w:uiPriority w:val="21"/>
    <w:qFormat/>
    <w:pPr>
      <w:pBdr/>
      <w:spacing/>
      <w:ind/>
    </w:pPr>
    <w:rPr>
      <w:i/>
      <w:iCs/>
      <w:color w:val="365f91" w:themeColor="accent1" w:themeShade="BF"/>
    </w:rPr>
  </w:style>
  <w:style w:type="paragraph" w:styleId="836">
    <w:name w:val="Intense Quote"/>
    <w:basedOn w:val="806"/>
    <w:next w:val="806"/>
    <w:link w:val="837"/>
    <w:uiPriority w:val="30"/>
    <w:qFormat/>
    <w:pPr>
      <w:pBdr>
        <w:top w:val="single" w:color="365f91" w:themeColor="accent1" w:themeShade="BF" w:sz="4" w:space="10"/>
        <w:bottom w:val="single" w:color="365f91" w:themeColor="accent1" w:themeShade="BF" w:sz="4" w:space="10"/>
      </w:pBdr>
      <w:spacing w:after="360" w:before="360"/>
      <w:ind w:right="864" w:left="864"/>
      <w:jc w:val="center"/>
    </w:pPr>
    <w:rPr>
      <w:i/>
      <w:iCs/>
      <w:color w:val="365f91" w:themeColor="accent1" w:themeShade="BF"/>
    </w:rPr>
  </w:style>
  <w:style w:type="character" w:styleId="837" w:customStyle="1">
    <w:name w:val="Citazione intensa Carattere"/>
    <w:basedOn w:val="816"/>
    <w:link w:val="836"/>
    <w:uiPriority w:val="30"/>
    <w:pPr>
      <w:pBdr/>
      <w:spacing/>
      <w:ind/>
    </w:pPr>
    <w:rPr>
      <w:i/>
      <w:iCs/>
      <w:color w:val="365f91" w:themeColor="accent1" w:themeShade="BF"/>
    </w:rPr>
  </w:style>
  <w:style w:type="character" w:styleId="838">
    <w:name w:val="Intense Reference"/>
    <w:basedOn w:val="816"/>
    <w:uiPriority w:val="32"/>
    <w:qFormat/>
    <w:pPr>
      <w:pBdr/>
      <w:spacing/>
      <w:ind/>
    </w:pPr>
    <w:rPr>
      <w:b/>
      <w:bCs/>
      <w:smallCaps/>
      <w:color w:val="365f91" w:themeColor="accent1" w:themeShade="BF"/>
      <w:spacing w:val="5"/>
    </w:rPr>
  </w:style>
  <w:style w:type="table" w:styleId="839">
    <w:name w:val="Table Grid"/>
    <w:basedOn w:val="817"/>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0">
    <w:name w:val="Header"/>
    <w:basedOn w:val="806"/>
    <w:link w:val="841"/>
    <w:uiPriority w:val="99"/>
    <w:unhideWhenUsed/>
    <w:pPr>
      <w:pBdr/>
      <w:tabs>
        <w:tab w:val="center" w:leader="none" w:pos="4819"/>
        <w:tab w:val="right" w:leader="none" w:pos="9638"/>
      </w:tabs>
      <w:spacing w:after="0" w:line="240" w:lineRule="auto"/>
      <w:ind/>
    </w:pPr>
  </w:style>
  <w:style w:type="character" w:styleId="841" w:customStyle="1">
    <w:name w:val="Intestazione Carattere"/>
    <w:basedOn w:val="816"/>
    <w:link w:val="840"/>
    <w:uiPriority w:val="99"/>
    <w:pPr>
      <w:pBdr/>
      <w:spacing/>
      <w:ind/>
    </w:pPr>
  </w:style>
  <w:style w:type="paragraph" w:styleId="842">
    <w:name w:val="Footer"/>
    <w:basedOn w:val="806"/>
    <w:link w:val="843"/>
    <w:uiPriority w:val="99"/>
    <w:unhideWhenUsed/>
    <w:pPr>
      <w:pBdr/>
      <w:tabs>
        <w:tab w:val="center" w:leader="none" w:pos="4819"/>
        <w:tab w:val="right" w:leader="none" w:pos="9638"/>
      </w:tabs>
      <w:spacing w:after="0" w:line="240" w:lineRule="auto"/>
      <w:ind/>
    </w:pPr>
  </w:style>
  <w:style w:type="character" w:styleId="843" w:customStyle="1">
    <w:name w:val="Piè di pagina Carattere"/>
    <w:basedOn w:val="816"/>
    <w:link w:val="842"/>
    <w:uiPriority w:val="9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B2BDF8-9CD1-4C1A-A5ED-5FDE370DC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onlyoffice/9.0.3.29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Ufficio Qualità</dc:creator>
  <cp:keywords/>
  <dc:description/>
  <cp:lastModifiedBy>Amodeo</cp:lastModifiedBy>
  <cp:revision>14</cp:revision>
  <dcterms:created xsi:type="dcterms:W3CDTF">2025-09-22T06:59:00Z</dcterms:created>
  <dcterms:modified xsi:type="dcterms:W3CDTF">2025-10-08T14:15:22Z</dcterms:modified>
</cp:coreProperties>
</file>