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numPr>
          <w:ilvl w:val="0"/>
          <w:numId w:val="8"/>
        </w:numPr>
        <w:pBdr/>
        <w:spacing w:line="276" w:lineRule="auto"/>
        <w:ind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SCOPO</w:t>
      </w: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Style w:val="932"/>
        <w:pBdr/>
        <w:spacing w:line="276" w:lineRule="auto"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Scopo della presente procedura è descrivere le modalità applicate </w:t>
      </w:r>
      <w:r>
        <w:rPr>
          <w:rFonts w:asciiTheme="minorHAnsi" w:hAnsiTheme="minorHAnsi" w:cstheme="minorHAnsi"/>
          <w:sz w:val="22"/>
          <w:szCs w:val="22"/>
        </w:rPr>
        <w:t xml:space="preserve">a</w:t>
      </w:r>
      <w:r>
        <w:rPr>
          <w:rFonts w:asciiTheme="minorHAnsi" w:hAnsiTheme="minorHAnsi" w:cstheme="minorHAnsi"/>
          <w:sz w:val="22"/>
          <w:szCs w:val="22"/>
        </w:rPr>
        <w:t xml:space="preserve">ffinché </w:t>
      </w:r>
      <w:r>
        <w:rPr>
          <w:rFonts w:asciiTheme="minorHAnsi" w:hAnsiTheme="minorHAnsi" w:cstheme="minorHAnsi"/>
          <w:sz w:val="22"/>
          <w:szCs w:val="22"/>
        </w:rPr>
        <w:t xml:space="preserve">il prodotto ordinato sia conforme ai requisiti specificati. Essa descrive le attività a partire dal momento in cui si manifesta una necessità di acquisto al momento in cui viene emesso un ordine </w:t>
      </w:r>
      <w:r>
        <w:rPr>
          <w:rFonts w:asciiTheme="minorHAnsi" w:hAnsiTheme="minorHAnsi" w:cstheme="minorHAnsi"/>
          <w:sz w:val="22"/>
          <w:szCs w:val="22"/>
        </w:rPr>
        <w:t xml:space="preserve">o un contratto </w:t>
      </w:r>
      <w:r>
        <w:rPr>
          <w:rFonts w:asciiTheme="minorHAnsi" w:hAnsiTheme="minorHAnsi" w:cstheme="minorHAnsi"/>
          <w:sz w:val="22"/>
          <w:szCs w:val="22"/>
        </w:rPr>
        <w:t xml:space="preserve">di acquisto.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CAMPO DI APPLICAZIONE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Tutti gli ordini e i contratti di acquisto con fornitori già valutati secondo </w:t>
      </w:r>
      <w:r>
        <w:rPr>
          <w:rFonts w:asciiTheme="minorHAnsi" w:hAnsiTheme="minorHAnsi" w:cstheme="minorHAnsi"/>
          <w:i/>
          <w:sz w:val="22"/>
          <w:szCs w:val="22"/>
        </w:rPr>
        <w:t xml:space="preserve">P</w:t>
      </w:r>
      <w:r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 xml:space="preserve">06.01</w:t>
      </w:r>
      <w:r>
        <w:rPr>
          <w:rFonts w:asciiTheme="minorHAnsi" w:hAnsiTheme="minorHAnsi" w:cstheme="minorHAnsi"/>
          <w:i/>
          <w:sz w:val="22"/>
          <w:szCs w:val="22"/>
        </w:rPr>
        <w:t xml:space="preserve"> “Valutazione dei fornitori”</w:t>
      </w:r>
      <w:r>
        <w:rPr>
          <w:rFonts w:asciiTheme="minorHAnsi" w:hAnsiTheme="minorHAnsi" w:cstheme="minorHAnsi"/>
          <w:sz w:val="22"/>
          <w:szCs w:val="22"/>
        </w:rPr>
        <w:t xml:space="preserve"> per tutti i materiali destinati a essere incorporati nel prodotto finito e i servizi </w:t>
      </w:r>
      <w:r>
        <w:rPr>
          <w:rFonts w:asciiTheme="minorHAnsi" w:hAnsiTheme="minorHAnsi" w:cstheme="minorHAnsi"/>
          <w:sz w:val="22"/>
          <w:szCs w:val="22"/>
        </w:rPr>
        <w:t xml:space="preserve">connessi alla sua realizzazione</w:t>
      </w:r>
      <w:r>
        <w:rPr>
          <w:rFonts w:asciiTheme="minorHAnsi" w:hAnsiTheme="minorHAnsi" w:cstheme="minorHAnsi"/>
          <w:sz w:val="22"/>
          <w:szCs w:val="22"/>
        </w:rPr>
        <w:t xml:space="preserve"> aventi influenza sulla qualità del prodotto e del processo produttivo.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926"/>
        <w:numPr>
          <w:ilvl w:val="0"/>
          <w:numId w:val="8"/>
        </w:numPr>
        <w:pBdr/>
        <w:spacing w:line="276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RESPONSABILITÀ E AUTORITÀ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responsabilità e </w:t>
      </w:r>
      <w:r>
        <w:rPr>
          <w:rFonts w:asciiTheme="minorHAnsi" w:hAnsiTheme="minorHAnsi" w:cstheme="minorHAnsi"/>
          <w:sz w:val="22"/>
          <w:szCs w:val="22"/>
        </w:rPr>
        <w:t xml:space="preserve">l’</w:t>
      </w:r>
      <w:r>
        <w:rPr>
          <w:rFonts w:asciiTheme="minorHAnsi" w:hAnsiTheme="minorHAnsi" w:cstheme="minorHAnsi"/>
          <w:sz w:val="22"/>
          <w:szCs w:val="22"/>
        </w:rPr>
        <w:t xml:space="preserve">autorità per l’applicazione di questa procedura è </w:t>
      </w:r>
      <w:r>
        <w:rPr>
          <w:rFonts w:asciiTheme="minorHAnsi" w:hAnsiTheme="minorHAnsi" w:cstheme="minorHAnsi"/>
          <w:sz w:val="22"/>
          <w:szCs w:val="22"/>
        </w:rPr>
        <w:t xml:space="preserve">di ACQ</w:t>
      </w:r>
      <w:r>
        <w:rPr>
          <w:rFonts w:asciiTheme="minorHAnsi" w:hAnsiTheme="minorHAnsi" w:cstheme="minorHAnsi"/>
          <w:sz w:val="22"/>
          <w:szCs w:val="22"/>
        </w:rPr>
        <w:t xml:space="preserve"> e </w:t>
      </w:r>
      <w:r>
        <w:rPr>
          <w:rFonts w:asciiTheme="minorHAnsi" w:hAnsiTheme="minorHAnsi" w:cstheme="minorHAnsi"/>
          <w:sz w:val="22"/>
          <w:szCs w:val="22"/>
        </w:rPr>
        <w:t xml:space="preserve">di DGE</w:t>
      </w:r>
      <w:r>
        <w:rPr>
          <w:rFonts w:asciiTheme="minorHAnsi" w:hAnsiTheme="minorHAnsi" w:cstheme="minorHAnsi"/>
          <w:sz w:val="22"/>
          <w:szCs w:val="22"/>
        </w:rPr>
        <w:t xml:space="preserve"> con la collaborazione funzioni di volta in volta interessate.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FLUSSO OPERATIVO</w:t>
      </w: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Acquisti vari: </w:t>
      </w:r>
      <w:r>
        <w:rPr>
          <w:rFonts w:asciiTheme="minorHAnsi" w:hAnsiTheme="minorHAnsi" w:cstheme="minorHAnsi"/>
          <w:sz w:val="22"/>
          <w:szCs w:val="22"/>
        </w:rPr>
        <w:t xml:space="preserve">Appartengono a questa categoria </w:t>
      </w:r>
      <w:r>
        <w:rPr>
          <w:rFonts w:asciiTheme="minorHAnsi" w:hAnsiTheme="minorHAnsi" w:cstheme="minorHAnsi"/>
          <w:sz w:val="22"/>
          <w:szCs w:val="22"/>
        </w:rPr>
        <w:t xml:space="preserve">tutti gli acquisti tranne la frutta e le scorze</w:t>
      </w:r>
      <w:r>
        <w:rPr>
          <w:rFonts w:asciiTheme="minorHAnsi" w:hAnsiTheme="minorHAnsi" w:cstheme="minorHAnsi"/>
          <w:sz w:val="22"/>
          <w:szCs w:val="22"/>
        </w:rPr>
        <w:t xml:space="preserve">. In relazione a</w:t>
      </w:r>
      <w:r>
        <w:rPr>
          <w:rFonts w:asciiTheme="minorHAnsi" w:hAnsiTheme="minorHAnsi" w:cstheme="minorHAnsi"/>
          <w:sz w:val="22"/>
          <w:szCs w:val="22"/>
        </w:rPr>
        <w:t xml:space="preserve">gli ordini clienti, </w:t>
      </w:r>
      <w:r>
        <w:rPr>
          <w:rFonts w:asciiTheme="minorHAnsi" w:hAnsiTheme="minorHAnsi" w:cstheme="minorHAnsi"/>
          <w:sz w:val="22"/>
          <w:szCs w:val="22"/>
        </w:rPr>
        <w:t xml:space="preserve">la programmazione della produzione e i programmi di manutenzione, </w:t>
      </w:r>
      <w:r>
        <w:rPr>
          <w:rFonts w:asciiTheme="minorHAnsi" w:hAnsiTheme="minorHAnsi" w:cstheme="minorHAnsi"/>
          <w:sz w:val="22"/>
          <w:szCs w:val="22"/>
        </w:rPr>
        <w:t xml:space="preserve">ACQ </w:t>
      </w:r>
      <w:r>
        <w:rPr>
          <w:rFonts w:asciiTheme="minorHAnsi" w:hAnsiTheme="minorHAnsi" w:cstheme="minorHAnsi"/>
          <w:sz w:val="22"/>
          <w:szCs w:val="22"/>
        </w:rPr>
        <w:t xml:space="preserve">emette</w:t>
      </w:r>
      <w:r>
        <w:rPr>
          <w:rFonts w:asciiTheme="minorHAnsi" w:hAnsiTheme="minorHAnsi" w:cstheme="minorHAnsi"/>
          <w:sz w:val="22"/>
          <w:szCs w:val="22"/>
        </w:rPr>
        <w:t xml:space="preserve"> Richiesta di offerta verificando che il fornitore sia qualificato secondo quanto previsto</w:t>
      </w:r>
      <w:r>
        <w:rPr>
          <w:rFonts w:asciiTheme="minorHAnsi" w:hAnsiTheme="minorHAnsi" w:cstheme="minorHAnsi"/>
          <w:sz w:val="22"/>
          <w:szCs w:val="22"/>
        </w:rPr>
        <w:t xml:space="preserve"> in </w:t>
      </w:r>
      <w:r>
        <w:rPr>
          <w:rFonts w:asciiTheme="minorHAnsi" w:hAnsiTheme="minorHAnsi" w:cstheme="minorHAnsi"/>
          <w:i/>
          <w:sz w:val="22"/>
          <w:szCs w:val="22"/>
        </w:rPr>
        <w:t xml:space="preserve">P 06.01 “Valutazione dei fornitori”</w:t>
      </w:r>
      <w:r>
        <w:rPr>
          <w:rFonts w:asciiTheme="minorHAnsi" w:hAnsiTheme="minorHAnsi" w:cstheme="minorHAnsi"/>
          <w:sz w:val="22"/>
          <w:szCs w:val="22"/>
        </w:rPr>
        <w:t xml:space="preserve">. L’offerta ricevuta dal cliente viene sottoposta a valutazione da parte di DGE, concluse le trattative, </w:t>
      </w:r>
      <w:r>
        <w:rPr>
          <w:rFonts w:asciiTheme="minorHAnsi" w:hAnsiTheme="minorHAnsi" w:cstheme="minorHAnsi"/>
          <w:sz w:val="22"/>
          <w:szCs w:val="22"/>
        </w:rPr>
        <w:t xml:space="preserve">ACQ emette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 xml:space="preserve">M 06.01 “Conferma preventivo”</w:t>
      </w:r>
      <w:r>
        <w:rPr>
          <w:rFonts w:asciiTheme="minorHAnsi" w:hAnsiTheme="minorHAnsi" w:cstheme="minorHAnsi"/>
          <w:sz w:val="22"/>
          <w:szCs w:val="22"/>
        </w:rPr>
        <w:t xml:space="preserve">. Le offerte non accettate vengono archiviate nella stessa pratica.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Acquisti frutta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 xml:space="preserve">ACQ gestisce e coordina i contatti con i fornitori di frutta. Con essi vengono stipulati contratti di fornitura annuali o triennali. I dati relativi all’acquisto di frutta sono specificati nei singoli contr</w:t>
      </w:r>
      <w:r>
        <w:rPr>
          <w:rFonts w:ascii="Calibri" w:hAnsi="Calibri" w:cs="Calibri"/>
          <w:sz w:val="22"/>
          <w:szCs w:val="22"/>
        </w:rPr>
        <w:t xml:space="preserve">atti. Una volta formalizzati, i contratti, vengono inseriti da ACQ sul Sistema Informatico. L’originale dei contratti è tenuto presso AMM, una copia presso ACQ per poter verificare che la merce pervenuta sia conforme alle specifiche inserite nel contratto.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programma di massima dei conferimenti di frutta viene concordato il giorno antecedente le consegne. Essi sono riportati in M 06.02 “Programma di</w:t>
      </w:r>
      <w:r>
        <w:rPr>
          <w:rFonts w:ascii="Calibri" w:hAnsi="Calibri" w:cs="Calibri"/>
          <w:sz w:val="22"/>
          <w:szCs w:val="22"/>
        </w:rPr>
        <w:t xml:space="preserve"> massima conferimenti agrumi” e M 06.03 “Programma di massima conferimento melograno”. La produzione viene informata delle quantità da ricevere in modo da permettere la pianificazione delle lavorazioni. Il programma di consegne può subire delle variazioni.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DATI DI ACQUISTO E GENERALITÀ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dati relativi all’acquisto di scorze e </w:t>
      </w:r>
      <w:r>
        <w:rPr>
          <w:rFonts w:asciiTheme="minorHAnsi" w:hAnsiTheme="minorHAnsi" w:cstheme="minorHAnsi"/>
          <w:sz w:val="22"/>
          <w:szCs w:val="22"/>
        </w:rPr>
        <w:t xml:space="preserve">frutta</w:t>
      </w:r>
      <w:r>
        <w:rPr>
          <w:rFonts w:asciiTheme="minorHAnsi" w:hAnsiTheme="minorHAnsi" w:cstheme="minorHAnsi"/>
          <w:sz w:val="22"/>
          <w:szCs w:val="22"/>
        </w:rPr>
        <w:t xml:space="preserve"> sono specificati nei singoli contratti.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dati di acquisto relativi alle altre categorie merceologiche vengono specificate </w:t>
      </w:r>
      <w:r>
        <w:rPr>
          <w:rFonts w:asciiTheme="minorHAnsi" w:hAnsiTheme="minorHAnsi" w:cstheme="minorHAnsi"/>
          <w:sz w:val="22"/>
          <w:szCs w:val="22"/>
        </w:rPr>
        <w:t xml:space="preserve">IN </w:t>
      </w:r>
      <w:r>
        <w:rPr>
          <w:rFonts w:asciiTheme="minorHAnsi" w:hAnsiTheme="minorHAnsi" w:cstheme="minorHAnsi"/>
          <w:i/>
          <w:sz w:val="22"/>
          <w:szCs w:val="22"/>
        </w:rPr>
        <w:t xml:space="preserve">M 06.01 “Conferma preventivo”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8"/>
        </w:numPr>
        <w:pBdr/>
        <w:spacing w:line="276" w:lineRule="auto"/>
        <w:ind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ARCHIVIAZIONE</w:t>
      </w: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Style w:val="932"/>
        <w:pBdr/>
        <w:spacing w:line="276" w:lineRule="auto"/>
        <w:ind/>
        <w:rPr>
          <w:rFonts w:ascii="Verdana" w:hAnsi="Verdana"/>
          <w:sz w:val="20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 xml:space="preserve">M 06.01, M 06.02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, M 06.03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ed i contratti di acquisto della frutta sono considerati </w:t>
      </w:r>
      <w:r>
        <w:rPr>
          <w:rFonts w:asciiTheme="minorHAnsi" w:hAnsiTheme="minorHAnsi" w:cstheme="minorHAnsi"/>
          <w:sz w:val="22"/>
          <w:szCs w:val="22"/>
        </w:rPr>
        <w:t xml:space="preserve">documenti di registrazione della qualità e sono archiviati p</w:t>
      </w:r>
      <w:r>
        <w:rPr>
          <w:rFonts w:ascii="Verdana" w:hAnsi="Verdana"/>
          <w:sz w:val="20"/>
        </w:rPr>
        <w:t xml:space="preserve">resso </w:t>
      </w:r>
      <w:r>
        <w:rPr>
          <w:rFonts w:ascii="Verdana" w:hAnsi="Verdana"/>
          <w:sz w:val="20"/>
        </w:rPr>
        <w:t xml:space="preserve">AMM</w:t>
      </w:r>
      <w:r>
        <w:rPr>
          <w:rFonts w:ascii="Verdana" w:hAnsi="Verdana"/>
          <w:sz w:val="20"/>
        </w:rPr>
        <w:t xml:space="preserve"> per almeno </w:t>
      </w:r>
      <w:r>
        <w:rPr>
          <w:rFonts w:ascii="Verdana" w:hAnsi="Verdana"/>
          <w:sz w:val="20"/>
        </w:rPr>
        <w:t xml:space="preserve">quattro anni.</w:t>
      </w: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</w:r>
    </w:p>
    <w:sectPr>
      <w:headerReference w:type="default" r:id="rId9"/>
      <w:headerReference w:type="even" r:id="rId10"/>
      <w:footnotePr/>
      <w:endnotePr/>
      <w:type w:val="nextPage"/>
      <w:pgSz w:h="16840" w:orient="portrait" w:w="11907"/>
      <w:pgMar w:top="851" w:right="851" w:bottom="851" w:left="85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737"/>
    </w:tblPr>
    <w:tblGrid>
      <w:gridCol w:w="2233"/>
      <w:gridCol w:w="5244"/>
      <w:gridCol w:w="2944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233" w:type="dxa"/>
          <w:vAlign w:val="center"/>
          <w:textDirection w:val="lrTb"/>
          <w:noWrap w:val="false"/>
        </w:tcPr>
        <w:p>
          <w:pPr>
            <w:pStyle w:val="930"/>
            <w:pBdr/>
            <w:spacing/>
            <w:ind/>
            <w:rPr/>
          </w:pPr>
          <w:r/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92575434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244" w:type="dxa"/>
          <w:vAlign w:val="center"/>
          <w:textDirection w:val="lrTb"/>
          <w:noWrap w:val="false"/>
        </w:tcPr>
        <w:p>
          <w:pPr>
            <w:pStyle w:val="930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</w: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EMISSIONE DEGLI ORDINI DI ACQUISTO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944" w:type="dxa"/>
          <w:vAlign w:val="center"/>
          <w:textDirection w:val="lrTb"/>
          <w:noWrap w:val="false"/>
        </w:tcPr>
        <w:p>
          <w:pPr>
            <w:pStyle w:val="930"/>
            <w:pBdr/>
            <w:spacing w:after="0"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06.02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930"/>
            <w:pBdr/>
            <w:spacing w:after="0"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08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930"/>
            <w:pBdr/>
            <w:spacing w:after="0"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0"/>
      <w:pBdr/>
      <w:spacing/>
      <w:ind/>
      <w:rPr/>
    </w:pPr>
    <w:r>
      <w:t xml:space="preserve">Speci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284" w:left="28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4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5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6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1 Char"/>
    <w:basedOn w:val="922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922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922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922"/>
    <w:link w:val="8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922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922"/>
    <w:link w:val="8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922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922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92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922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922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922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4">
    <w:name w:val="List Paragraph"/>
    <w:basedOn w:val="918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9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18"/>
    <w:next w:val="918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922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9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9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922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922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9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9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5">
    <w:name w:val="Header Char"/>
    <w:basedOn w:val="922"/>
    <w:link w:val="930"/>
    <w:uiPriority w:val="99"/>
    <w:pPr>
      <w:pBdr/>
      <w:spacing/>
      <w:ind/>
    </w:pPr>
  </w:style>
  <w:style w:type="character" w:styleId="896">
    <w:name w:val="Footer Char"/>
    <w:basedOn w:val="922"/>
    <w:link w:val="931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22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22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9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9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922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 w:after="120"/>
      <w:ind w:left="284"/>
    </w:pPr>
  </w:style>
  <w:style w:type="paragraph" w:styleId="919">
    <w:name w:val="Heading 1"/>
    <w:basedOn w:val="918"/>
    <w:next w:val="918"/>
    <w:qFormat/>
    <w:pPr>
      <w:keepNext w:val="true"/>
      <w:pBdr/>
      <w:spacing/>
      <w:ind/>
      <w:jc w:val="both"/>
      <w:outlineLvl w:val="0"/>
    </w:pPr>
    <w:rPr>
      <w:b/>
      <w:sz w:val="28"/>
    </w:rPr>
  </w:style>
  <w:style w:type="paragraph" w:styleId="920">
    <w:name w:val="Heading 2"/>
    <w:basedOn w:val="918"/>
    <w:next w:val="918"/>
    <w:qFormat/>
    <w:pPr>
      <w:keepNext w:val="true"/>
      <w:pBdr/>
      <w:spacing/>
      <w:ind w:left="0"/>
      <w:jc w:val="both"/>
      <w:outlineLvl w:val="1"/>
    </w:pPr>
    <w:rPr>
      <w:b/>
      <w:sz w:val="24"/>
    </w:rPr>
  </w:style>
  <w:style w:type="paragraph" w:styleId="921">
    <w:name w:val="Heading 3"/>
    <w:basedOn w:val="918"/>
    <w:next w:val="918"/>
    <w:qFormat/>
    <w:pPr>
      <w:keepNext w:val="true"/>
      <w:pBdr/>
      <w:spacing/>
      <w:ind w:left="0"/>
      <w:jc w:val="both"/>
      <w:outlineLvl w:val="2"/>
    </w:pPr>
    <w:rPr>
      <w:b/>
      <w:bCs/>
      <w:i/>
      <w:iCs/>
      <w:sz w:val="24"/>
    </w:rPr>
  </w:style>
  <w:style w:type="character" w:styleId="922" w:default="1">
    <w:name w:val="Default Paragraph Font"/>
    <w:uiPriority w:val="1"/>
    <w:semiHidden/>
    <w:unhideWhenUsed/>
    <w:pPr>
      <w:pBdr/>
      <w:spacing/>
      <w:ind/>
    </w:pPr>
  </w:style>
  <w:style w:type="table" w:styleId="9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4" w:default="1">
    <w:name w:val="No List"/>
    <w:uiPriority w:val="99"/>
    <w:semiHidden/>
    <w:unhideWhenUsed/>
    <w:pPr>
      <w:pBdr/>
      <w:spacing/>
      <w:ind/>
    </w:pPr>
  </w:style>
  <w:style w:type="paragraph" w:styleId="925" w:customStyle="1">
    <w:name w:val="Titolo A"/>
    <w:basedOn w:val="918"/>
    <w:pPr>
      <w:pBdr/>
      <w:spacing/>
      <w:ind/>
      <w:jc w:val="center"/>
    </w:pPr>
    <w:rPr>
      <w:b/>
      <w:sz w:val="28"/>
    </w:rPr>
  </w:style>
  <w:style w:type="paragraph" w:styleId="926" w:customStyle="1">
    <w:name w:val="Titolo C"/>
    <w:basedOn w:val="918"/>
    <w:pPr>
      <w:pBdr/>
      <w:spacing/>
      <w:ind/>
    </w:pPr>
    <w:rPr>
      <w:b/>
    </w:rPr>
  </w:style>
  <w:style w:type="paragraph" w:styleId="927" w:customStyle="1">
    <w:name w:val="Titolo B"/>
    <w:basedOn w:val="918"/>
    <w:pPr>
      <w:pBdr/>
      <w:spacing/>
      <w:ind/>
    </w:pPr>
    <w:rPr>
      <w:b/>
      <w:sz w:val="24"/>
    </w:rPr>
  </w:style>
  <w:style w:type="paragraph" w:styleId="928" w:customStyle="1">
    <w:name w:val="puntato"/>
    <w:basedOn w:val="918"/>
    <w:pPr>
      <w:pBdr/>
      <w:spacing/>
      <w:ind/>
    </w:pPr>
  </w:style>
  <w:style w:type="paragraph" w:styleId="929" w:customStyle="1">
    <w:name w:val="rientro"/>
    <w:basedOn w:val="918"/>
    <w:pPr>
      <w:pBdr/>
      <w:spacing/>
      <w:ind w:right="567" w:left="567"/>
    </w:pPr>
  </w:style>
  <w:style w:type="paragraph" w:styleId="930">
    <w:name w:val="Header"/>
    <w:basedOn w:val="918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31">
    <w:name w:val="Footer"/>
    <w:basedOn w:val="918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32">
    <w:name w:val="Body Text"/>
    <w:basedOn w:val="918"/>
    <w:pPr>
      <w:pBdr/>
      <w:spacing/>
      <w:ind w:left="0"/>
      <w:jc w:val="both"/>
    </w:pPr>
    <w:rPr>
      <w:sz w:val="24"/>
    </w:rPr>
  </w:style>
  <w:style w:type="character" w:styleId="933">
    <w:name w:val="page number"/>
    <w:basedOn w:val="922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Novaconsult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P06.02</dc:title>
  <dc:subject>Emissione Ordini di Acquisto</dc:subject>
  <dc:creator>Francesco San Martino</dc:creator>
  <cp:keywords>ISO 9001</cp:keywords>
  <cp:lastModifiedBy>Francesco Scavello</cp:lastModifiedBy>
  <cp:revision>15</cp:revision>
  <dcterms:created xsi:type="dcterms:W3CDTF">2015-06-22T14:10:00Z</dcterms:created>
  <dcterms:modified xsi:type="dcterms:W3CDTF">2025-11-13T10:39:08Z</dcterms:modified>
</cp:coreProperties>
</file>