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76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Lo scopo della seguente procedura è quello di ridurre il rischio di frode alimentare; a tal proposito per ogni conferimento di frutta sarà necessario che il responsabile dell’accettazione frutta verifichi il peso esatto della frutta in arrivo </w:t>
      </w:r>
      <w:r>
        <w:rPr>
          <w:rFonts w:asciiTheme="minorHAnsi" w:hAnsiTheme="minorHAnsi" w:cstheme="minorHAnsi"/>
        </w:rPr>
        <w:t xml:space="preserve">e, dopo la trasformazione giornaliera venga registrato negli appositi moduli di trasformazione, gestiti dal Laboratorio, il quantitativo esatto di succo ottenuto</w:t>
      </w:r>
      <w:r>
        <w:rPr>
          <w:rFonts w:asciiTheme="minorHAnsi" w:hAnsiTheme="minorHAnsi" w:cstheme="minorHAnsi"/>
        </w:rPr>
        <w:t xml:space="preserve"> assicurandosi che sia conforme agli standard prefissati</w:t>
      </w:r>
      <w:r>
        <w:rPr>
          <w:rFonts w:asciiTheme="minorHAnsi" w:hAnsiTheme="minorHAnsi" w:cstheme="minorHAnsi"/>
        </w:rPr>
        <w:t xml:space="preserve"> in base alla stagionalità</w:t>
      </w:r>
      <w:r>
        <w:rPr>
          <w:rFonts w:asciiTheme="minorHAnsi" w:hAnsiTheme="minorHAnsi" w:cstheme="minorHAnsi"/>
        </w:rPr>
        <w:t xml:space="preserve"> (</w:t>
      </w:r>
      <w:r>
        <w:rPr>
          <w:rFonts w:asciiTheme="minorHAnsi" w:hAnsiTheme="minorHAnsi" w:cstheme="minorHAnsi"/>
        </w:rPr>
        <w:t xml:space="preserve">consultare la</w:t>
      </w:r>
      <w:r>
        <w:rPr>
          <w:rFonts w:asciiTheme="minorHAnsi" w:hAnsiTheme="minorHAnsi" w:cstheme="minorHAnsi"/>
        </w:rPr>
        <w:t xml:space="preserve"> tabella </w:t>
      </w:r>
      <w:r>
        <w:rPr>
          <w:rFonts w:asciiTheme="minorHAnsi" w:hAnsiTheme="minorHAnsi" w:cstheme="minorHAnsi"/>
        </w:rPr>
        <w:t xml:space="preserve">rappresentativa </w:t>
      </w:r>
      <w:r>
        <w:rPr>
          <w:rFonts w:asciiTheme="minorHAnsi" w:hAnsiTheme="minorHAnsi" w:cstheme="minorHAnsi"/>
        </w:rPr>
        <w:t xml:space="preserve">sottostante).</w:t>
      </w:r>
      <w:r>
        <w:rPr>
          <w:rFonts w:asciiTheme="minorHAnsi" w:hAnsiTheme="minorHAnsi" w:cstheme="minorHAnsi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Tali moduli verranno poi consegnati in ufficio e </w:t>
      </w:r>
      <w:r>
        <w:rPr>
          <w:rFonts w:asciiTheme="minorHAnsi" w:hAnsiTheme="minorHAnsi" w:cstheme="minorHAnsi"/>
        </w:rPr>
        <w:t xml:space="preserve">archiviati nel faldone delle trasformazioni giornaliere.</w:t>
      </w:r>
      <w:r>
        <w:rPr>
          <w:rFonts w:asciiTheme="minorHAnsi" w:hAnsiTheme="minorHAnsi" w:cstheme="minorHAnsi"/>
        </w:rPr>
      </w:r>
    </w:p>
    <w:p>
      <w:pPr>
        <w:pBdr/>
        <w:spacing w:line="276" w:lineRule="auto"/>
        <w:ind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Si fa presente che la sottostante tabella viene aggiornata annualmente in base all</w:t>
      </w:r>
      <w:r>
        <w:rPr>
          <w:rFonts w:asciiTheme="minorHAnsi" w:hAnsiTheme="minorHAnsi" w:cstheme="minorHAnsi"/>
        </w:rPr>
        <w:t xml:space="preserve">’andamento della campagna </w:t>
      </w:r>
      <w:r>
        <w:rPr>
          <w:rFonts w:asciiTheme="minorHAnsi" w:hAnsiTheme="minorHAnsi" w:cstheme="minorHAnsi"/>
        </w:rPr>
        <w:t xml:space="preserve">precedente.</w:t>
      </w:r>
      <w:r>
        <w:rPr>
          <w:rFonts w:asciiTheme="minorHAnsi" w:hAnsiTheme="minorHAnsi" w:cstheme="minorHAnsi"/>
        </w:rPr>
      </w:r>
    </w:p>
    <w:p>
      <w:pPr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tbl>
      <w:tblPr>
        <w:jc w:val="center"/>
        <w:tblW w:w="11698" w:type="dxa"/>
        <w:tblBorders/>
        <w:tblLook w:val="04A0" w:firstRow="1" w:lastRow="0" w:firstColumn="1" w:lastColumn="0" w:noHBand="0" w:noVBand="1"/>
        <w:tblStyle w:val="824"/>
      </w:tblPr>
      <w:tblGrid>
        <w:gridCol w:w="1310"/>
        <w:gridCol w:w="1075"/>
        <w:gridCol w:w="863"/>
        <w:gridCol w:w="1075"/>
        <w:gridCol w:w="1004"/>
        <w:gridCol w:w="900"/>
        <w:gridCol w:w="935"/>
        <w:gridCol w:w="737"/>
        <w:gridCol w:w="698"/>
        <w:gridCol w:w="823"/>
        <w:gridCol w:w="798"/>
        <w:gridCol w:w="697"/>
        <w:gridCol w:w="783"/>
      </w:tblGrid>
      <w:tr>
        <w:trPr>
          <w:jc w:val="center"/>
        </w:trPr>
        <w:tc>
          <w:tcPr>
            <w:gridSpan w:val="13"/>
            <w:tcBorders/>
            <w:tcW w:w="11698" w:type="dxa"/>
            <w:textDirection w:val="lrTb"/>
            <w:noWrap w:val="false"/>
          </w:tcPr>
          <w:p>
            <w:pPr>
              <w:pBdr/>
              <w:spacing w:before="240" w:line="360" w:lineRule="auto"/>
              <w:ind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RESA PERCENTUALE</w:t>
            </w:r>
            <w:r>
              <w:rPr>
                <w:rFonts w:asciiTheme="minorHAnsi" w:hAnsiTheme="minorHAnsi" w:cstheme="minorHAnsi"/>
                <w:b/>
                <w:bCs/>
              </w:rPr>
            </w:r>
          </w:p>
          <w:p>
            <w:pPr>
              <w:pBdr/>
              <w:spacing w:before="240" w:line="360" w:lineRule="auto"/>
              <w:ind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NEI MESI DI MAGGIORE PRODUZIONE</w:t>
            </w:r>
            <w:r>
              <w:rPr>
                <w:rFonts w:asciiTheme="minorHAnsi" w:hAnsiTheme="minorHAnsi" w:cstheme="minorHAnsi"/>
                <w:b/>
                <w:bCs/>
              </w:rPr>
            </w:r>
          </w:p>
        </w:tc>
      </w:tr>
      <w:tr>
        <w:trPr>
          <w:jc w:val="center"/>
        </w:trPr>
        <w:tc>
          <w:tcPr>
            <w:tcBorders/>
            <w:tcW w:w="1310" w:type="dxa"/>
            <w:textDirection w:val="lrTb"/>
            <w:noWrap w:val="false"/>
          </w:tcPr>
          <w:p>
            <w:pPr>
              <w:pBdr/>
              <w:spacing w:line="360" w:lineRule="auto"/>
              <w:ind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TIPOLOGIA FRUTTA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075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Settembre</w: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/>
            <w:tcW w:w="863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Ottobre</w: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/>
            <w:tcW w:w="1075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Novembre</w: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/>
            <w:tcW w:w="1004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Dicembre</w: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/>
            <w:tcW w:w="900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Gennaio</w: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/>
            <w:tcW w:w="935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Febbraio</w: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/>
            <w:tcW w:w="737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Marzo</w: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/>
            <w:tcW w:w="698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Aprile</w: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/>
            <w:tcW w:w="823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Maggio</w: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/>
            <w:tcW w:w="798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Giugno</w: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/>
            <w:tcW w:w="697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Luglio</w: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</w:p>
        </w:tc>
        <w:tc>
          <w:tcPr>
            <w:tcBorders/>
            <w:tcW w:w="783" w:type="dxa"/>
            <w:textDirection w:val="lrTb"/>
            <w:noWrap w:val="false"/>
          </w:tcPr>
          <w:p>
            <w:pPr>
              <w:pBdr/>
              <w:spacing w:line="360" w:lineRule="auto"/>
              <w:ind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Agosto</w:t>
            </w:r>
            <w:r>
              <w:rPr>
                <w:rFonts w:asciiTheme="minorHAnsi" w:hAnsiTheme="minorHAnsi" w:cstheme="minorHAnsi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shd w:val="clear" w:color="auto" w:fill="ffc000"/>
            <w:tcBorders/>
            <w:tcW w:w="1310" w:type="dxa"/>
            <w:textDirection w:val="lrTb"/>
            <w:noWrap w:val="false"/>
          </w:tcPr>
          <w:p>
            <w:pPr>
              <w:pBdr/>
              <w:spacing w:after="60" w:before="120" w:line="276" w:lineRule="auto"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Arancia Rossa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07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86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07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004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c000"/>
            <w:tcBorders/>
            <w:tcW w:w="900" w:type="dxa"/>
            <w:textDirection w:val="lrTb"/>
            <w:noWrap w:val="false"/>
          </w:tcPr>
          <w:p>
            <w:pPr>
              <w:pBdr/>
              <w:spacing w:after="60" w:before="24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42%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c000"/>
            <w:tcBorders/>
            <w:tcW w:w="935" w:type="dxa"/>
            <w:textDirection w:val="lrTb"/>
            <w:noWrap w:val="false"/>
          </w:tcPr>
          <w:p>
            <w:pPr>
              <w:pBdr/>
              <w:spacing w:after="60" w:before="24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42%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c000"/>
            <w:tcBorders/>
            <w:tcW w:w="737" w:type="dxa"/>
            <w:textDirection w:val="lrTb"/>
            <w:noWrap w:val="false"/>
          </w:tcPr>
          <w:p>
            <w:pPr>
              <w:pBdr/>
              <w:spacing w:after="60" w:before="24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c000"/>
            <w:tcBorders/>
            <w:tcW w:w="698" w:type="dxa"/>
            <w:textDirection w:val="lrTb"/>
            <w:noWrap w:val="false"/>
          </w:tcPr>
          <w:p>
            <w:pPr>
              <w:pBdr/>
              <w:spacing w:after="60" w:before="24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42%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82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798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697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78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shd w:val="clear" w:color="auto" w:fill="fabf8f" w:themeFill="accent6" w:themeFillTint="99"/>
            <w:tcBorders/>
            <w:tcW w:w="1310" w:type="dxa"/>
            <w:textDirection w:val="lrTb"/>
            <w:noWrap w:val="false"/>
          </w:tcPr>
          <w:p>
            <w:pPr>
              <w:pBdr/>
              <w:spacing w:after="60" w:before="120" w:line="276" w:lineRule="auto"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Arancia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Bionda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07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86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07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004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abf8f" w:themeFill="accent6" w:themeFillTint="99"/>
            <w:tcBorders/>
            <w:tcW w:w="900" w:type="dxa"/>
            <w:textDirection w:val="lrTb"/>
            <w:noWrap w:val="false"/>
          </w:tcPr>
          <w:p>
            <w:pPr>
              <w:pBdr/>
              <w:spacing w:after="60" w:before="24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42%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abf8f" w:themeFill="accent6" w:themeFillTint="99"/>
            <w:tcBorders/>
            <w:tcW w:w="935" w:type="dxa"/>
            <w:textDirection w:val="lrTb"/>
            <w:noWrap w:val="false"/>
          </w:tcPr>
          <w:p>
            <w:pPr>
              <w:pBdr/>
              <w:spacing w:after="60" w:before="24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42%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abf8f" w:themeFill="accent6" w:themeFillTint="99"/>
            <w:tcBorders/>
            <w:tcW w:w="737" w:type="dxa"/>
            <w:textDirection w:val="lrTb"/>
            <w:noWrap w:val="false"/>
          </w:tcPr>
          <w:p>
            <w:pPr>
              <w:pBdr/>
              <w:spacing w:after="60" w:before="24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42%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abf8f" w:themeFill="accent6" w:themeFillTint="99"/>
            <w:tcBorders/>
            <w:tcW w:w="698" w:type="dxa"/>
            <w:textDirection w:val="lrTb"/>
            <w:noWrap w:val="false"/>
          </w:tcPr>
          <w:p>
            <w:pPr>
              <w:pBdr/>
              <w:spacing w:after="60" w:before="240" w:line="360" w:lineRule="auto"/>
              <w:ind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42%</w:t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  <w:tc>
          <w:tcPr>
            <w:shd w:val="clear" w:color="auto" w:fill="fabf8f" w:themeFill="accent6" w:themeFillTint="99"/>
            <w:tcBorders/>
            <w:tcW w:w="823" w:type="dxa"/>
            <w:textDirection w:val="lrTb"/>
            <w:noWrap w:val="false"/>
          </w:tcPr>
          <w:p>
            <w:pPr>
              <w:pBdr/>
              <w:spacing w:after="60" w:before="24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40%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abf8f" w:themeFill="accent6" w:themeFillTint="99"/>
            <w:tcBorders/>
            <w:tcW w:w="798" w:type="dxa"/>
            <w:textDirection w:val="lrTb"/>
            <w:noWrap w:val="false"/>
          </w:tcPr>
          <w:p>
            <w:pPr>
              <w:pBdr/>
              <w:spacing w:after="60" w:before="24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40%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697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78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shd w:val="clear" w:color="auto" w:fill="ffff99"/>
            <w:tcBorders/>
            <w:tcW w:w="1310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Limone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07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86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ff99"/>
            <w:tcBorders/>
            <w:tcW w:w="107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38%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ff99"/>
            <w:tcBorders/>
            <w:tcW w:w="1004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ff99"/>
            <w:tcBorders/>
            <w:tcW w:w="900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38%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ff99"/>
            <w:tcBorders/>
            <w:tcW w:w="93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38%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ff99"/>
            <w:tcBorders/>
            <w:tcW w:w="737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38%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ff99"/>
            <w:tcBorders/>
            <w:tcW w:w="698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38%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ff99"/>
            <w:tcBorders/>
            <w:tcW w:w="82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38%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ff99"/>
            <w:tcBorders/>
            <w:tcW w:w="798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38%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ff99"/>
            <w:tcBorders/>
            <w:tcW w:w="697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38%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78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shd w:val="clear" w:color="auto" w:fill="d6e3bc" w:themeFill="accent3" w:themeFillTint="66"/>
            <w:tcBorders/>
            <w:tcW w:w="1310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Bergamotto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07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86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d6e3bc" w:themeFill="accent3" w:themeFillTint="66"/>
            <w:tcBorders/>
            <w:tcW w:w="107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38%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d6e3bc" w:themeFill="accent3" w:themeFillTint="66"/>
            <w:tcBorders/>
            <w:tcW w:w="1004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38%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d6e3bc" w:themeFill="accent3" w:themeFillTint="66"/>
            <w:tcBorders/>
            <w:tcW w:w="900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38%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d6e3bc" w:themeFill="accent3" w:themeFillTint="66"/>
            <w:tcBorders/>
            <w:tcW w:w="93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38%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737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698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82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798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697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78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shd w:val="clear" w:color="auto" w:fill="fbd4b4" w:themeFill="accent6" w:themeFillTint="66"/>
            <w:tcBorders/>
            <w:tcW w:w="1310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Mandarino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07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86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bd4b4" w:themeFill="accent6" w:themeFillTint="66"/>
            <w:tcBorders/>
            <w:tcW w:w="107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40%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bd4b4" w:themeFill="accent6" w:themeFillTint="66"/>
            <w:tcBorders/>
            <w:tcW w:w="1004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40%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900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93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737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698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82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798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697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78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shd w:val="clear" w:color="auto" w:fill="ffe7fc"/>
            <w:tcBorders/>
            <w:tcW w:w="1310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Pompelmo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07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86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07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e7fc"/>
            <w:tcBorders/>
            <w:tcW w:w="1004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20%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e7fc"/>
            <w:tcBorders/>
            <w:tcW w:w="900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40%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e7fc"/>
            <w:tcBorders/>
            <w:tcW w:w="93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20%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ffe7fc"/>
            <w:tcBorders/>
            <w:tcW w:w="737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25%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698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82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798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697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78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shd w:val="clear" w:color="auto" w:fill="ccc0d9" w:themeFill="accent4" w:themeFillTint="66"/>
            <w:tcBorders/>
            <w:tcW w:w="1310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Melograno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107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86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ccc0d9" w:themeFill="accent4" w:themeFillTint="66"/>
            <w:tcBorders/>
            <w:tcW w:w="107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40%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ccc0d9" w:themeFill="accent4" w:themeFillTint="66"/>
            <w:tcBorders/>
            <w:tcW w:w="1004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35%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900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935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737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698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82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798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697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shd w:val="clear" w:color="auto" w:fill="auto"/>
            <w:tcBorders/>
            <w:tcW w:w="783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</w:trPr>
        <w:tc>
          <w:tcPr>
            <w:gridSpan w:val="13"/>
            <w:shd w:val="clear" w:color="auto" w:fill="auto"/>
            <w:tcBorders/>
            <w:tcW w:w="11698" w:type="dxa"/>
            <w:textDirection w:val="lrTb"/>
            <w:noWrap w:val="false"/>
          </w:tcPr>
          <w:p>
            <w:pPr>
              <w:pBdr/>
              <w:spacing w:after="60" w:before="120" w:line="360" w:lineRule="auto"/>
              <w:ind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Qualora la variazione rispetto alla resa standard (vedi sopra) superi il 10% in difetto, la resa sarà considerata </w:t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  <w:u w:val="single"/>
              </w:rPr>
              <w:t xml:space="preserve">non conforme</w:t>
            </w:r>
            <w:r>
              <w:rPr>
                <w:rFonts w:asciiTheme="minorHAnsi" w:hAnsiTheme="minorHAnsi" w:cstheme="minorHAnsi"/>
                <w:i/>
                <w:iCs/>
                <w:sz w:val="16"/>
                <w:szCs w:val="16"/>
              </w:rPr>
              <w:t xml:space="preserve">, con il conseguente rischio di frode. Pertanto verrà effettuato un controllo approfondito da parte del laboratorio interno.</w:t>
            </w:r>
            <w: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</w:r>
      <w:r>
        <w:rPr>
          <w:rFonts w:asciiTheme="minorHAnsi" w:hAnsiTheme="minorHAnsi" w:cstheme="minorHAnsi"/>
        </w:rPr>
      </w:r>
    </w:p>
    <w:sectPr>
      <w:headerReference w:type="default" r:id="rId9"/>
      <w:footnotePr>
        <w:pos w:val="beneathText"/>
      </w:footnotePr>
      <w:endnotePr/>
      <w:type w:val="nextPage"/>
      <w:pgSz w:h="16837" w:orient="portrait" w:w="11905"/>
      <w:pgMar w:top="1417" w:right="1134" w:bottom="1134" w:left="1134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Verdana">
    <w:panose1 w:val="020B060403050404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Tahoma">
    <w:panose1 w:val="020B060403050404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824"/>
    </w:tblPr>
    <w:tblGrid>
      <w:gridCol w:w="1808"/>
      <w:gridCol w:w="5528"/>
      <w:gridCol w:w="2518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808" w:type="dxa"/>
          <w:vAlign w:val="center"/>
          <w:textDirection w:val="lrTb"/>
          <w:noWrap w:val="false"/>
        </w:tcPr>
        <w:p>
          <w:pPr>
            <w:pStyle w:val="812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70865058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2" cy="51216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5528" w:type="dxa"/>
          <w:vAlign w:val="center"/>
          <w:textDirection w:val="lrTb"/>
          <w:noWrap w:val="false"/>
        </w:tcPr>
        <w:p>
          <w:pPr>
            <w:pStyle w:val="812"/>
            <w:pBdr/>
            <w:spacing/>
            <w:ind/>
            <w:jc w:val="center"/>
            <w:rPr>
              <w:rFonts w:ascii="Verdana" w:hAnsi="Verdana" w:cs="Verdana"/>
              <w:b/>
              <w:bCs/>
              <w:sz w:val="18"/>
              <w:szCs w:val="18"/>
            </w:rPr>
          </w:pPr>
          <w:r>
            <w:rPr>
              <w:rFonts w:ascii="Verdana" w:hAnsi="Verdana" w:eastAsia="Verdana" w:cs="Verdana"/>
              <w:b/>
              <w:bCs/>
              <w:sz w:val="22"/>
              <w:szCs w:val="22"/>
            </w:rPr>
            <w:t xml:space="preserve">RESA PERCENTUALE MATERIA PRIMA</w:t>
          </w:r>
          <w:r>
            <w:rPr>
              <w:rFonts w:ascii="Verdana" w:hAnsi="Verdana" w:cs="Verdana"/>
              <w:b/>
              <w:bCs/>
              <w:sz w:val="18"/>
              <w:szCs w:val="18"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518" w:type="dxa"/>
          <w:vAlign w:val="center"/>
          <w:textDirection w:val="lrTb"/>
          <w:noWrap w:val="false"/>
        </w:tcPr>
        <w:p>
          <w:pPr>
            <w:pStyle w:val="812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08.02</w:t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  <w:p>
          <w:pPr>
            <w:pStyle w:val="812"/>
            <w:pBdr/>
            <w:spacing/>
            <w:ind/>
            <w:rPr>
              <w:rFonts w:ascii="Verdana" w:hAnsi="Verdana" w:eastAsia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03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812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</w:tc>
    </w:tr>
  </w:tbl>
  <w:p>
    <w:pPr>
      <w:pStyle w:val="81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8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8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8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8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8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8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8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8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8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8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8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8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8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8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8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8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8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8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8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8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8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8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8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8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8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2"/>
    <w:basedOn w:val="801"/>
    <w:next w:val="801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801"/>
    <w:next w:val="80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801"/>
    <w:next w:val="801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801"/>
    <w:next w:val="80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801"/>
    <w:next w:val="801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801"/>
    <w:next w:val="80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801"/>
    <w:next w:val="801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801"/>
    <w:next w:val="801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803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80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80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803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803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803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803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803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80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803"/>
    <w:link w:val="81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803"/>
    <w:link w:val="81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801"/>
    <w:next w:val="801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803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801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80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801"/>
    <w:next w:val="801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803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80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801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80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80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80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80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80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803"/>
    <w:link w:val="812"/>
    <w:uiPriority w:val="99"/>
    <w:pPr>
      <w:pBdr/>
      <w:spacing/>
      <w:ind/>
    </w:pPr>
  </w:style>
  <w:style w:type="character" w:styleId="178">
    <w:name w:val="Footer Char"/>
    <w:basedOn w:val="803"/>
    <w:link w:val="813"/>
    <w:uiPriority w:val="99"/>
    <w:pPr>
      <w:pBdr/>
      <w:spacing/>
      <w:ind/>
    </w:pPr>
  </w:style>
  <w:style w:type="paragraph" w:styleId="179">
    <w:name w:val="Caption"/>
    <w:basedOn w:val="801"/>
    <w:next w:val="8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801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803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803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801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80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803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80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80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801"/>
    <w:next w:val="801"/>
    <w:uiPriority w:val="39"/>
    <w:unhideWhenUsed/>
    <w:pPr>
      <w:pBdr/>
      <w:spacing w:after="100"/>
      <w:ind/>
    </w:pPr>
  </w:style>
  <w:style w:type="paragraph" w:styleId="189">
    <w:name w:val="toc 2"/>
    <w:basedOn w:val="801"/>
    <w:next w:val="801"/>
    <w:uiPriority w:val="39"/>
    <w:unhideWhenUsed/>
    <w:pPr>
      <w:pBdr/>
      <w:spacing w:after="100"/>
      <w:ind w:left="220"/>
    </w:pPr>
  </w:style>
  <w:style w:type="paragraph" w:styleId="190">
    <w:name w:val="toc 3"/>
    <w:basedOn w:val="801"/>
    <w:next w:val="801"/>
    <w:uiPriority w:val="39"/>
    <w:unhideWhenUsed/>
    <w:pPr>
      <w:pBdr/>
      <w:spacing w:after="100"/>
      <w:ind w:left="440"/>
    </w:pPr>
  </w:style>
  <w:style w:type="paragraph" w:styleId="191">
    <w:name w:val="toc 4"/>
    <w:basedOn w:val="801"/>
    <w:next w:val="801"/>
    <w:uiPriority w:val="39"/>
    <w:unhideWhenUsed/>
    <w:pPr>
      <w:pBdr/>
      <w:spacing w:after="100"/>
      <w:ind w:left="660"/>
    </w:pPr>
  </w:style>
  <w:style w:type="paragraph" w:styleId="192">
    <w:name w:val="toc 5"/>
    <w:basedOn w:val="801"/>
    <w:next w:val="801"/>
    <w:uiPriority w:val="39"/>
    <w:unhideWhenUsed/>
    <w:pPr>
      <w:pBdr/>
      <w:spacing w:after="100"/>
      <w:ind w:left="880"/>
    </w:pPr>
  </w:style>
  <w:style w:type="paragraph" w:styleId="193">
    <w:name w:val="toc 6"/>
    <w:basedOn w:val="801"/>
    <w:next w:val="801"/>
    <w:uiPriority w:val="39"/>
    <w:unhideWhenUsed/>
    <w:pPr>
      <w:pBdr/>
      <w:spacing w:after="100"/>
      <w:ind w:left="1100"/>
    </w:pPr>
  </w:style>
  <w:style w:type="paragraph" w:styleId="194">
    <w:name w:val="toc 7"/>
    <w:basedOn w:val="801"/>
    <w:next w:val="801"/>
    <w:uiPriority w:val="39"/>
    <w:unhideWhenUsed/>
    <w:pPr>
      <w:pBdr/>
      <w:spacing w:after="100"/>
      <w:ind w:left="1320"/>
    </w:pPr>
  </w:style>
  <w:style w:type="paragraph" w:styleId="195">
    <w:name w:val="toc 8"/>
    <w:basedOn w:val="801"/>
    <w:next w:val="801"/>
    <w:uiPriority w:val="39"/>
    <w:unhideWhenUsed/>
    <w:pPr>
      <w:pBdr/>
      <w:spacing w:after="100"/>
      <w:ind w:left="1540"/>
    </w:pPr>
  </w:style>
  <w:style w:type="paragraph" w:styleId="196">
    <w:name w:val="toc 9"/>
    <w:basedOn w:val="801"/>
    <w:next w:val="801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803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801"/>
    <w:next w:val="801"/>
    <w:uiPriority w:val="99"/>
    <w:unhideWhenUsed/>
    <w:pPr>
      <w:pBdr/>
      <w:spacing w:after="0" w:afterAutospacing="0"/>
      <w:ind/>
    </w:pPr>
  </w:style>
  <w:style w:type="paragraph" w:styleId="801" w:default="1">
    <w:name w:val="Normal"/>
    <w:qFormat/>
    <w:pPr>
      <w:pBdr/>
      <w:spacing/>
      <w:ind/>
    </w:pPr>
    <w:rPr>
      <w:sz w:val="24"/>
      <w:szCs w:val="24"/>
      <w:lang w:eastAsia="ar-SA"/>
    </w:rPr>
  </w:style>
  <w:style w:type="paragraph" w:styleId="802">
    <w:name w:val="Heading 1"/>
    <w:basedOn w:val="801"/>
    <w:next w:val="801"/>
    <w:qFormat/>
    <w:pPr>
      <w:keepNext w:val="true"/>
      <w:pBdr/>
      <w:spacing/>
      <w:ind/>
      <w:jc w:val="center"/>
      <w:outlineLvl w:val="0"/>
    </w:pPr>
    <w:rPr>
      <w:b/>
      <w:bCs/>
      <w:sz w:val="20"/>
    </w:rPr>
  </w:style>
  <w:style w:type="character" w:styleId="803" w:default="1">
    <w:name w:val="Default Paragraph Font"/>
    <w:uiPriority w:val="1"/>
    <w:semiHidden/>
    <w:unhideWhenUsed/>
    <w:pPr>
      <w:pBdr/>
      <w:spacing/>
      <w:ind/>
    </w:pPr>
  </w:style>
  <w:style w:type="table" w:styleId="8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5" w:default="1">
    <w:name w:val="No List"/>
    <w:uiPriority w:val="99"/>
    <w:semiHidden/>
    <w:unhideWhenUsed/>
    <w:pPr>
      <w:pBdr/>
      <w:spacing/>
      <w:ind/>
    </w:pPr>
  </w:style>
  <w:style w:type="character" w:styleId="806" w:customStyle="1">
    <w:name w:val="Carattere predefinito paragrafo"/>
    <w:pPr>
      <w:pBdr/>
      <w:spacing/>
      <w:ind/>
    </w:pPr>
  </w:style>
  <w:style w:type="paragraph" w:styleId="807">
    <w:name w:val="Body Text"/>
    <w:basedOn w:val="801"/>
    <w:pPr>
      <w:pBdr/>
      <w:spacing/>
      <w:ind/>
    </w:pPr>
    <w:rPr>
      <w:b/>
      <w:bCs/>
      <w:sz w:val="20"/>
    </w:rPr>
  </w:style>
  <w:style w:type="paragraph" w:styleId="808">
    <w:name w:val="List"/>
    <w:basedOn w:val="807"/>
    <w:pPr>
      <w:pBdr/>
      <w:spacing/>
      <w:ind/>
    </w:pPr>
    <w:rPr>
      <w:rFonts w:cs="Tahoma"/>
    </w:rPr>
  </w:style>
  <w:style w:type="paragraph" w:styleId="809" w:customStyle="1">
    <w:name w:val="Dicitura"/>
    <w:basedOn w:val="801"/>
    <w:pPr>
      <w:suppressLineNumbers w:val="true"/>
      <w:pBdr/>
      <w:spacing w:after="120" w:before="120"/>
      <w:ind/>
    </w:pPr>
    <w:rPr>
      <w:rFonts w:cs="Tahoma"/>
      <w:i/>
      <w:iCs/>
      <w:sz w:val="20"/>
      <w:szCs w:val="20"/>
    </w:rPr>
  </w:style>
  <w:style w:type="paragraph" w:styleId="810" w:customStyle="1">
    <w:name w:val="Indice"/>
    <w:basedOn w:val="801"/>
    <w:pPr>
      <w:suppressLineNumbers w:val="true"/>
      <w:pBdr/>
      <w:spacing/>
      <w:ind/>
    </w:pPr>
    <w:rPr>
      <w:rFonts w:cs="Tahoma"/>
    </w:rPr>
  </w:style>
  <w:style w:type="paragraph" w:styleId="811" w:customStyle="1">
    <w:name w:val="Intestazione1"/>
    <w:basedOn w:val="801"/>
    <w:next w:val="807"/>
    <w:pPr>
      <w:keepNext w:val="true"/>
      <w:pBdr/>
      <w:spacing w:after="120" w:before="240"/>
      <w:ind/>
    </w:pPr>
    <w:rPr>
      <w:rFonts w:ascii="Arial" w:hAnsi="Arial" w:eastAsia="Arial Unicode MS" w:cs="Tahoma"/>
      <w:sz w:val="28"/>
      <w:szCs w:val="28"/>
    </w:rPr>
  </w:style>
  <w:style w:type="paragraph" w:styleId="812">
    <w:name w:val="Header"/>
    <w:basedOn w:val="801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813">
    <w:name w:val="Footer"/>
    <w:basedOn w:val="801"/>
    <w:link w:val="820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814">
    <w:name w:val="Title"/>
    <w:basedOn w:val="801"/>
    <w:next w:val="815"/>
    <w:qFormat/>
    <w:pPr>
      <w:pBdr/>
      <w:spacing/>
      <w:ind/>
      <w:jc w:val="center"/>
    </w:pPr>
    <w:rPr>
      <w:b/>
      <w:bCs/>
    </w:rPr>
  </w:style>
  <w:style w:type="paragraph" w:styleId="815">
    <w:name w:val="Subtitle"/>
    <w:basedOn w:val="801"/>
    <w:next w:val="807"/>
    <w:qFormat/>
    <w:pPr>
      <w:pBdr/>
      <w:spacing w:line="360" w:lineRule="auto"/>
      <w:ind/>
      <w:jc w:val="center"/>
    </w:pPr>
    <w:rPr>
      <w:b/>
      <w:bCs/>
    </w:rPr>
  </w:style>
  <w:style w:type="paragraph" w:styleId="816" w:customStyle="1">
    <w:name w:val="Corpo del testo 21"/>
    <w:basedOn w:val="801"/>
    <w:pPr>
      <w:pBdr/>
      <w:spacing/>
      <w:ind/>
      <w:jc w:val="center"/>
    </w:pPr>
    <w:rPr>
      <w:b/>
      <w:bCs/>
      <w:sz w:val="20"/>
    </w:rPr>
  </w:style>
  <w:style w:type="paragraph" w:styleId="817" w:customStyle="1">
    <w:name w:val="Contenuto cornice"/>
    <w:basedOn w:val="807"/>
    <w:pPr>
      <w:pBdr/>
      <w:spacing/>
      <w:ind/>
    </w:pPr>
  </w:style>
  <w:style w:type="paragraph" w:styleId="818" w:customStyle="1">
    <w:name w:val="Contenuto tabella"/>
    <w:basedOn w:val="801"/>
    <w:pPr>
      <w:suppressLineNumbers w:val="true"/>
      <w:pBdr/>
      <w:spacing/>
      <w:ind/>
    </w:pPr>
  </w:style>
  <w:style w:type="paragraph" w:styleId="819" w:customStyle="1">
    <w:name w:val="Intestazione tabella"/>
    <w:basedOn w:val="818"/>
    <w:pPr>
      <w:pBdr/>
      <w:spacing/>
      <w:ind/>
      <w:jc w:val="center"/>
    </w:pPr>
    <w:rPr>
      <w:b/>
      <w:bCs/>
      <w:i/>
      <w:iCs/>
    </w:rPr>
  </w:style>
  <w:style w:type="character" w:styleId="820" w:customStyle="1">
    <w:name w:val="Piè di pagina Carattere"/>
    <w:link w:val="813"/>
    <w:uiPriority w:val="99"/>
    <w:pPr>
      <w:pBdr/>
      <w:spacing/>
      <w:ind/>
    </w:pPr>
    <w:rPr>
      <w:sz w:val="24"/>
      <w:szCs w:val="24"/>
      <w:lang w:eastAsia="ar-SA"/>
    </w:rPr>
  </w:style>
  <w:style w:type="paragraph" w:styleId="821">
    <w:name w:val="Balloon Text"/>
    <w:basedOn w:val="801"/>
    <w:link w:val="822"/>
    <w:pPr>
      <w:pBdr/>
      <w:spacing/>
      <w:ind/>
    </w:pPr>
    <w:rPr>
      <w:rFonts w:ascii="Tahoma" w:hAnsi="Tahoma" w:cs="Tahoma"/>
      <w:sz w:val="16"/>
      <w:szCs w:val="16"/>
    </w:rPr>
  </w:style>
  <w:style w:type="character" w:styleId="822" w:customStyle="1">
    <w:name w:val="Testo fumetto Carattere"/>
    <w:link w:val="821"/>
    <w:pPr>
      <w:pBdr/>
      <w:spacing/>
      <w:ind/>
    </w:pPr>
    <w:rPr>
      <w:rFonts w:ascii="Tahoma" w:hAnsi="Tahoma" w:cs="Tahoma"/>
      <w:sz w:val="16"/>
      <w:szCs w:val="16"/>
      <w:lang w:eastAsia="ar-SA"/>
    </w:rPr>
  </w:style>
  <w:style w:type="character" w:styleId="823">
    <w:name w:val="page number"/>
    <w:semiHidden/>
    <w:pPr>
      <w:pBdr/>
      <w:spacing/>
      <w:ind/>
    </w:pPr>
    <w:rPr>
      <w:rFonts w:cs="Times New Roman"/>
    </w:rPr>
  </w:style>
  <w:style w:type="table" w:styleId="824">
    <w:name w:val="Table Grid"/>
    <w:basedOn w:val="804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E2BE25-B04D-4EC8-BE04-BFB5337D6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Gestione offerte tipo B</dc:title>
  <dc:creator>Francesco San Martino</dc:creator>
  <cp:keywords>ISO 9001</cp:keywords>
  <cp:lastModifiedBy>Francesco Scavello</cp:lastModifiedBy>
  <cp:revision>79</cp:revision>
  <dcterms:created xsi:type="dcterms:W3CDTF">2015-06-22T07:12:00Z</dcterms:created>
  <dcterms:modified xsi:type="dcterms:W3CDTF">2025-11-13T10:52:06Z</dcterms:modified>
</cp:coreProperties>
</file>