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01"/>
        <w:pBdr/>
        <w:tabs>
          <w:tab w:val="left" w:leader="none" w:pos="2520"/>
        </w:tabs>
        <w:spacing/>
        <w:ind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</w:r>
    </w:p>
    <w:p>
      <w:pPr>
        <w:pStyle w:val="801"/>
        <w:pBdr/>
        <w:tabs>
          <w:tab w:val="left" w:leader="none" w:pos="2520"/>
        </w:tabs>
        <w:spacing w:line="276" w:lineRule="auto"/>
        <w:ind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DEFINIZIONE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</w:r>
    </w:p>
    <w:p>
      <w:pPr>
        <w:pStyle w:val="801"/>
        <w:pBdr/>
        <w:tabs>
          <w:tab w:val="left" w:leader="none" w:pos="2520"/>
        </w:tabs>
        <w:spacing w:line="276" w:lineRule="auto"/>
        <w:ind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L'allergene è un antigene, ovvero una sostanza di origine vegetale o animale estranea all'organismo</w:t>
      </w: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,</w:t>
      </w: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che induce una risposta immunitaria </w:t>
      </w: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che determina</w:t>
      </w: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la produzione di anticorpi di un tipo particolare (IgE) che reagiscono all'antigene stesso, che causa allergia.</w:t>
      </w: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</w:r>
    </w:p>
    <w:p>
      <w:pPr>
        <w:pStyle w:val="801"/>
        <w:pBdr/>
        <w:tabs>
          <w:tab w:val="left" w:leader="none" w:pos="2520"/>
        </w:tabs>
        <w:spacing w:line="276" w:lineRule="auto"/>
        <w:ind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</w: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</w:r>
    </w:p>
    <w:p>
      <w:pPr>
        <w:pStyle w:val="801"/>
        <w:pBdr/>
        <w:tabs>
          <w:tab w:val="left" w:leader="none" w:pos="2520"/>
        </w:tabs>
        <w:spacing w:line="276" w:lineRule="auto"/>
        <w:ind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GESTIONE ALLERGENI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</w:r>
    </w:p>
    <w:p>
      <w:pPr>
        <w:pStyle w:val="801"/>
        <w:pBdr/>
        <w:tabs>
          <w:tab w:val="left" w:leader="none" w:pos="2520"/>
        </w:tabs>
        <w:spacing w:line="276" w:lineRule="auto"/>
        <w:ind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Gli agrumi contengono salicilati naturali, che in taluni casi possono causare reazioni allergiche, essendo presenti naturalmente nelle seguenti quantità espresse in milligrammi per 100 grammi di alimento: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</w:r>
    </w:p>
    <w:p>
      <w:pPr>
        <w:pStyle w:val="801"/>
        <w:numPr>
          <w:ilvl w:val="0"/>
          <w:numId w:val="1"/>
        </w:numPr>
        <w:pBdr/>
        <w:tabs>
          <w:tab w:val="left" w:leader="none" w:pos="2520"/>
        </w:tabs>
        <w:spacing w:line="276" w:lineRule="auto"/>
        <w:ind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Mg 0,56 nel mandarino (per gr 100 di prodotto)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</w:r>
    </w:p>
    <w:p>
      <w:pPr>
        <w:pStyle w:val="801"/>
        <w:numPr>
          <w:ilvl w:val="0"/>
          <w:numId w:val="1"/>
        </w:numPr>
        <w:pBdr/>
        <w:tabs>
          <w:tab w:val="left" w:leader="none" w:pos="2520"/>
        </w:tabs>
        <w:spacing w:line="276" w:lineRule="auto"/>
        <w:ind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Mg 0,68 nel pompelmo (per gr 100 di prodotto)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</w:r>
    </w:p>
    <w:p>
      <w:pPr>
        <w:pStyle w:val="801"/>
        <w:numPr>
          <w:ilvl w:val="0"/>
          <w:numId w:val="1"/>
        </w:numPr>
        <w:pBdr/>
        <w:tabs>
          <w:tab w:val="left" w:leader="none" w:pos="2520"/>
        </w:tabs>
        <w:spacing w:line="276" w:lineRule="auto"/>
        <w:ind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Mg 2,40 nell’arancia (per gr 100 di prodotto)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</w:r>
    </w:p>
    <w:p>
      <w:pPr>
        <w:pStyle w:val="801"/>
        <w:pBdr/>
        <w:tabs>
          <w:tab w:val="left" w:leader="none" w:pos="2520"/>
        </w:tabs>
        <w:spacing w:line="276" w:lineRule="auto"/>
        <w:ind w:left="284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 salicilati naturali non possono essere eliminati dal prodotto stesso.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</w:r>
    </w:p>
    <w:p>
      <w:pPr>
        <w:pStyle w:val="801"/>
        <w:pBdr/>
        <w:spacing w:line="276" w:lineRule="auto"/>
        <w:ind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</w:r>
    </w:p>
    <w:p>
      <w:pPr>
        <w:pStyle w:val="801"/>
        <w:pBdr/>
        <w:spacing w:line="276" w:lineRule="auto"/>
        <w:ind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Fra le sostanze individuate come allergeni ai sensi dell’Allegato III bis della direttiva 2000/13/CE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così come modificato da ultimo dalla Direttiva 2007/68/CE, l’unica sostanza utilizzata è il metabisolfito di potassio. Al suo ingresso in stabilimento viene immediatamente stoccato in apposito magazzino come specificato nella tabella di seguito riportata.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</w:r>
    </w:p>
    <w:p>
      <w:pPr>
        <w:pStyle w:val="801"/>
        <w:pBdr/>
        <w:spacing w:line="276" w:lineRule="auto"/>
        <w:ind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Il potenziale rischio di </w:t>
      </w:r>
      <w:r>
        <w:rPr>
          <w:rFonts w:asciiTheme="minorHAnsi" w:hAnsiTheme="minorHAnsi" w:cstheme="minorHAnsi"/>
          <w:i/>
          <w:color w:val="000000" w:themeColor="text1"/>
          <w:sz w:val="22"/>
          <w:szCs w:val="22"/>
        </w:rPr>
        <w:t xml:space="preserve">cross-</w:t>
      </w:r>
      <w:r>
        <w:rPr>
          <w:rFonts w:asciiTheme="minorHAnsi" w:hAnsiTheme="minorHAnsi" w:cstheme="minorHAnsi"/>
          <w:i/>
          <w:color w:val="000000" w:themeColor="text1"/>
          <w:sz w:val="22"/>
          <w:szCs w:val="22"/>
        </w:rPr>
        <w:t xml:space="preserve">contamination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viene eliminato attraverso le seguenti modalità: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</w:r>
    </w:p>
    <w:p>
      <w:pPr>
        <w:pStyle w:val="801"/>
        <w:numPr>
          <w:ilvl w:val="0"/>
          <w:numId w:val="2"/>
        </w:numPr>
        <w:pBdr/>
        <w:spacing w:line="276" w:lineRule="auto"/>
        <w:ind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Utilizzo in condizioni controllate e secondo le responsabilità definite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</w:r>
    </w:p>
    <w:p>
      <w:pPr>
        <w:pStyle w:val="801"/>
        <w:numPr>
          <w:ilvl w:val="0"/>
          <w:numId w:val="2"/>
        </w:numPr>
        <w:pBdr/>
        <w:spacing w:line="276" w:lineRule="auto"/>
        <w:ind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Identificazioni di specifici tini di lavorazione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 utensili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</w:r>
    </w:p>
    <w:p>
      <w:pPr>
        <w:pStyle w:val="801"/>
        <w:numPr>
          <w:ilvl w:val="0"/>
          <w:numId w:val="2"/>
        </w:numPr>
        <w:pBdr/>
        <w:spacing w:line="276" w:lineRule="auto"/>
        <w:ind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Esecuzione di appositi c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icli di lavaggio delle attrezzature, delle tubazioni, e della riempitrice, con l’impiego di sanificanti (soda caustica e cloro), idonei ad abbattere eventuali residui di sostanze organiche e contestualmente ad eliminare i residui di sostanze allergeniche.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</w:r>
    </w:p>
    <w:p>
      <w:pPr>
        <w:pStyle w:val="801"/>
        <w:pBdr/>
        <w:spacing w:line="276" w:lineRule="auto"/>
        <w:ind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</w:r>
    </w:p>
    <w:p>
      <w:pPr>
        <w:pStyle w:val="801"/>
        <w:pBdr/>
        <w:spacing w:line="276" w:lineRule="auto"/>
        <w:ind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MODALIT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À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DI MANIPOLAZIONE ALLERGENE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r>
    </w:p>
    <w:p>
      <w:pPr>
        <w:pStyle w:val="801"/>
        <w:pBdr/>
        <w:spacing w:line="276" w:lineRule="auto"/>
        <w:ind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Nel caso di utilizzo del metabisolfito di potassio il Resp. Produzione preleva dal magazzino imballi il prodotto maneggiandolo con cura e portandolo in laboratorio dove verrà prelevato con apposito utensile e pesato in apposito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becker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al fine di evitare </w:t>
      </w:r>
      <w:r>
        <w:rPr>
          <w:rFonts w:asciiTheme="minorHAnsi" w:hAnsiTheme="minorHAnsi" w:cstheme="minorHAnsi"/>
          <w:i/>
          <w:iCs/>
          <w:color w:val="000000" w:themeColor="text1"/>
          <w:sz w:val="22"/>
          <w:szCs w:val="22"/>
        </w:rPr>
        <w:t xml:space="preserve">cross-</w:t>
      </w:r>
      <w:r>
        <w:rPr>
          <w:rFonts w:asciiTheme="minorHAnsi" w:hAnsiTheme="minorHAnsi" w:cstheme="minorHAnsi"/>
          <w:i/>
          <w:iCs/>
          <w:color w:val="000000" w:themeColor="text1"/>
          <w:sz w:val="22"/>
          <w:szCs w:val="22"/>
        </w:rPr>
        <w:t xml:space="preserve">contamination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</w:r>
    </w:p>
    <w:p>
      <w:pPr>
        <w:pStyle w:val="801"/>
        <w:pBdr/>
        <w:spacing w:line="276" w:lineRule="auto"/>
        <w:ind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La quantità pesata in base alle richieste di produzione verrà portata in reparto dal Resp. Produzione che avrà cura di coprire il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becker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con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parafilm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evitando eventuale dispersione del prodotto.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</w:r>
    </w:p>
    <w:tbl>
      <w:tblPr>
        <w:jc w:val="center"/>
        <w:tblW w:w="0" w:type="auto"/>
        <w:tblBorders/>
        <w:tblLayout w:type="fixed"/>
        <w:tblLook w:val="0000" w:firstRow="0" w:lastRow="0" w:firstColumn="0" w:lastColumn="0" w:noHBand="0" w:noVBand="0"/>
      </w:tblPr>
      <w:tblGrid>
        <w:gridCol w:w="1955"/>
        <w:gridCol w:w="1956"/>
        <w:gridCol w:w="1956"/>
        <w:gridCol w:w="1956"/>
        <w:gridCol w:w="2016"/>
      </w:tblGrid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55" w:type="dxa"/>
            <w:vAlign w:val="center"/>
            <w:textDirection w:val="lrTb"/>
            <w:noWrap w:val="false"/>
          </w:tcPr>
          <w:p>
            <w:pPr>
              <w:pStyle w:val="801"/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Sostanza allergenica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56" w:type="dxa"/>
            <w:vAlign w:val="center"/>
            <w:textDirection w:val="lrTb"/>
            <w:noWrap w:val="false"/>
          </w:tcPr>
          <w:p>
            <w:pPr>
              <w:pStyle w:val="801"/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Luogo di stoccaggio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56" w:type="dxa"/>
            <w:vAlign w:val="center"/>
            <w:textDirection w:val="lrTb"/>
            <w:noWrap w:val="false"/>
          </w:tcPr>
          <w:p>
            <w:pPr>
              <w:pStyle w:val="801"/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Responsabile prelievo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56" w:type="dxa"/>
            <w:vAlign w:val="center"/>
            <w:textDirection w:val="lrTb"/>
            <w:noWrap w:val="false"/>
          </w:tcPr>
          <w:p>
            <w:pPr>
              <w:pStyle w:val="801"/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Modalità eliminazione rischio </w:t>
            </w:r>
            <w:r>
              <w:rPr>
                <w:rFonts w:asciiTheme="minorHAnsi" w:hAnsiTheme="minorHAnsi" w:cstheme="minorHAnsi"/>
                <w:b/>
                <w:i/>
                <w:iCs/>
                <w:color w:val="000000" w:themeColor="text1"/>
                <w:sz w:val="22"/>
                <w:szCs w:val="22"/>
              </w:rPr>
              <w:t xml:space="preserve">cross </w:t>
            </w:r>
            <w:r>
              <w:rPr>
                <w:rFonts w:asciiTheme="minorHAnsi" w:hAnsiTheme="minorHAnsi" w:cstheme="minorHAnsi"/>
                <w:b/>
                <w:i/>
                <w:iCs/>
                <w:color w:val="000000" w:themeColor="text1"/>
                <w:sz w:val="22"/>
                <w:szCs w:val="22"/>
              </w:rPr>
              <w:t xml:space="preserve">contamination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16" w:type="dxa"/>
            <w:vAlign w:val="center"/>
            <w:textDirection w:val="lrTb"/>
            <w:noWrap w:val="false"/>
          </w:tcPr>
          <w:p>
            <w:pPr>
              <w:pStyle w:val="801"/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Attività specifica di sanificazione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55" w:type="dxa"/>
            <w:vAlign w:val="center"/>
            <w:textDirection w:val="lrTb"/>
            <w:noWrap w:val="false"/>
          </w:tcPr>
          <w:p>
            <w:pPr>
              <w:pStyle w:val="801"/>
              <w:pBdr/>
              <w:spacing/>
              <w:ind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Metabisolfito di potassio.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56" w:type="dxa"/>
            <w:vAlign w:val="center"/>
            <w:textDirection w:val="lrTb"/>
            <w:noWrap w:val="false"/>
          </w:tcPr>
          <w:p>
            <w:pPr>
              <w:pStyle w:val="801"/>
              <w:pBdr/>
              <w:spacing/>
              <w:ind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In apposito locale identificato e chiuso a chiave.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56" w:type="dxa"/>
            <w:vAlign w:val="center"/>
            <w:textDirection w:val="lrTb"/>
            <w:noWrap w:val="false"/>
          </w:tcPr>
          <w:p>
            <w:pPr>
              <w:pStyle w:val="801"/>
              <w:pBdr/>
              <w:spacing/>
              <w:ind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Responsabile di Produzione (o in assenza suo sostituto identificato in D 01.02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).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56" w:type="dxa"/>
            <w:vAlign w:val="center"/>
            <w:textDirection w:val="lrTb"/>
            <w:noWrap w:val="false"/>
          </w:tcPr>
          <w:p>
            <w:pPr>
              <w:pStyle w:val="801"/>
              <w:pBdr/>
              <w:spacing/>
              <w:ind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L’uso di metabisolfito di potassio viene consentito soltanto al responsabile di produzione (o in assenza suo sostituto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identificato in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01.02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).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Style w:val="801"/>
              <w:pBdr/>
              <w:spacing/>
              <w:ind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Le attrezzature e gli impianti sono identificati durante le lavorazioni che impiegano l’allergene e non possono essere riutilizzati se non dopo adeguata procedura di lavaggio e sanificazione.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16" w:type="dxa"/>
            <w:vAlign w:val="center"/>
            <w:textDirection w:val="lrTb"/>
            <w:noWrap w:val="false"/>
          </w:tcPr>
          <w:p>
            <w:pPr>
              <w:pStyle w:val="801"/>
              <w:pBdr/>
              <w:spacing/>
              <w:ind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Scheda operativa n. 7 da applicarsi al completamento della produzione che impiega Metabisolfito di potassio.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SCHEDA OPERATIVA N°7</w:t>
      </w:r>
      <w:r>
        <w:rPr>
          <w:rFonts w:asciiTheme="minorHAnsi" w:hAnsiTheme="minorHAnsi" w:cstheme="minorHAnsi"/>
          <w:b/>
          <w:bCs/>
          <w:sz w:val="24"/>
          <w:szCs w:val="24"/>
        </w:rPr>
      </w:r>
    </w:p>
    <w:tbl>
      <w:tblPr>
        <w:jc w:val="center"/>
        <w:tblW w:w="9836" w:type="dxa"/>
        <w:tblBorders/>
        <w:tblLook w:val="04A0" w:firstRow="1" w:lastRow="0" w:firstColumn="1" w:lastColumn="0" w:noHBand="0" w:noVBand="1"/>
        <w:tblStyle w:val="809"/>
      </w:tblPr>
      <w:tblGrid>
        <w:gridCol w:w="2444"/>
        <w:gridCol w:w="2513"/>
        <w:gridCol w:w="2375"/>
        <w:gridCol w:w="2504"/>
      </w:tblGrid>
      <w:tr>
        <w:trPr>
          <w:jc w:val="center"/>
        </w:trPr>
        <w:tc>
          <w:tcPr>
            <w:tcBorders/>
            <w:tcW w:w="2444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/>
              <w:ind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SUPERFICI O IMPIANTO DA TRATTARE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13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/>
              <w:ind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MODALITÀ DI INTERVENTO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375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/>
              <w:ind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ATTREZZATURE E PRODOTTI DA USARE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04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/>
              <w:ind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FREQUENZA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tcBorders/>
            <w:tcW w:w="2444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240"/>
              <w:ind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Serbatoio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13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120"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Getti d’acqua a pressione con soluzione di soda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375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Idropulitrice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Soda (per detersione)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Idropulitrice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04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200"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Dopo ogni ciclo di lavorazione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tcBorders/>
            <w:tcW w:w="2444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120"/>
              <w:ind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Pastorizzatore e serbatoi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13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Getti d’acqua a pressione con soluzione di soda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375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Sistema CIP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Soda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Acido citrico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04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120"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Dopo ogni ciclo di lavorazione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tcBorders/>
            <w:tcW w:w="2444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360"/>
              <w:ind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Tubazioni e quadro di distribuzione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13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Getti d’acqua a pressione con soluzione di soda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375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Sistema CIP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Soda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Acido citrico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Divosan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per tubazioni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04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240"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Dopo ogni ciclo di lavorazione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tcBorders/>
            <w:tcW w:w="2444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600"/>
              <w:ind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Filtro rotativo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13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Rimozione pannello filtrante automaticamente e lavaggio con getti d’acqua a pressione con soluzione di soda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375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Getti d’acqua a pressione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Idropulitrice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04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360"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Dopo ogni ciclo di lavorazione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tcBorders/>
            <w:tcW w:w="2444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240"/>
              <w:ind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Impianto di ultrafiltrazione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13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240"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Soluzione di acqua con soda e cloro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375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120"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Getti d’acqua e pressione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Idropulitrice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Style w:val="808"/>
              <w:pBdr/>
              <w:tabs>
                <w:tab w:val="left" w:leader="none" w:pos="2520"/>
              </w:tabs>
              <w:spacing/>
              <w:ind w:left="36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04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240"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Dopo ogni ciclo di lavorazione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tcBorders/>
            <w:tcW w:w="2444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720"/>
              <w:ind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Trituratore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13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Getti d’acqua a pressione con soluzione di soda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Rimozione residui con idrogetto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Pulizia esterna manuale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375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360"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Idropulitrice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Soda (per detersione)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04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480"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Dopo ogni ciclo di lavorazione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tcBorders/>
            <w:tcW w:w="2444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600"/>
              <w:ind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Concentratore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13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Lavaggio con soluzione di soda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Lavaggio con acido citrico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375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Sistema CIP con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soda (per detersione)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Sistema CIP con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acido citrico (per sanificazione)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04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Dopo ogni ciclo di lavorazione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tcBorders/>
            <w:tcW w:w="2444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240"/>
              <w:ind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Serbatoio 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Blending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13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Getti d’acqua a pressione con soluzione di soda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375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Idropulitrice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soda (per detersione)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Idropulitrice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04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Dopo ogni ciclo di lavorazione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tcBorders/>
            <w:tcW w:w="2444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Tubazioni e raccordo per confezionamento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13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240"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Lavaggio con soda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375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Soda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Cestello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04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Ad ogni operazione di carico e/o confezionamento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tcBorders/>
            <w:tcW w:w="2444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480"/>
              <w:ind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Pavimenti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13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240"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Applicazione procedure di detersione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375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Getti d’acqua a pressione ed aggiunta di soluzione di soda e cloro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04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360"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Dopo ogni ciclo di lavorazione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tcBorders/>
            <w:tcW w:w="2444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Porte, finestre e quadri elettrici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13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120"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Acqua e detergenti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375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120"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Soda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04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120"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Mensile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</w:tr>
      <w:tr>
        <w:trPr>
          <w:jc w:val="center"/>
          <w:trHeight w:val="1000"/>
        </w:trPr>
        <w:tc>
          <w:tcPr>
            <w:tcBorders/>
            <w:tcW w:w="2444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480"/>
              <w:ind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Soffitti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13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/>
              <w:ind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Pulizia con scope e lavaggio con soluzione clorata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Ripitturazione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pareti e soffitto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375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line="600" w:lineRule="auto"/>
              <w:ind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Cloro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Pittura lavabile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04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Biennale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Annuale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tcBorders/>
            <w:tcW w:w="2444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/>
              <w:ind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Griglie aeratori sul soffitto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13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120"/>
              <w:ind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Smontaggio e pulizia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375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120"/>
              <w:ind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Spazzola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W w:w="2504" w:type="dxa"/>
            <w:textDirection w:val="lrTb"/>
            <w:noWrap w:val="false"/>
          </w:tcPr>
          <w:p>
            <w:pPr>
              <w:pBdr/>
              <w:tabs>
                <w:tab w:val="left" w:leader="none" w:pos="2520"/>
              </w:tabs>
              <w:spacing w:before="120"/>
              <w:ind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Annuale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sectPr>
      <w:headerReference w:type="default" r:id="rId9"/>
      <w:footnotePr/>
      <w:endnotePr/>
      <w:type w:val="nextPage"/>
      <w:pgSz w:h="16838" w:orient="portrait" w:w="11906"/>
      <w:pgMar w:top="1417" w:right="1134" w:bottom="1134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left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Look w:val="04A0" w:firstRow="1" w:lastRow="0" w:firstColumn="1" w:lastColumn="0" w:noHBand="0" w:noVBand="1"/>
      <w:tblStyle w:val="809"/>
    </w:tblPr>
    <w:tblGrid>
      <w:gridCol w:w="1808"/>
      <w:gridCol w:w="5528"/>
      <w:gridCol w:w="2518"/>
    </w:tblGrid>
    <w:tr>
      <w:trPr>
        <w:trHeight w:val="977"/>
      </w:trPr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1808" w:type="dxa"/>
          <w:vAlign w:val="center"/>
          <w:textDirection w:val="lrTb"/>
          <w:noWrap w:val="false"/>
        </w:tcPr>
        <w:p>
          <w:pPr>
            <w:pStyle w:val="803"/>
            <w:pBdr/>
            <w:spacing/>
            <w:ind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79205" cy="512165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570865058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flipH="0" flipV="0">
                              <a:off x="0" y="0"/>
                              <a:ext cx="1079202" cy="512161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4.98pt;height:40.33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  <w:r/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5528" w:type="dxa"/>
          <w:vAlign w:val="center"/>
          <w:textDirection w:val="lrTb"/>
          <w:noWrap w:val="false"/>
        </w:tcPr>
        <w:p>
          <w:pPr>
            <w:pStyle w:val="803"/>
            <w:pBdr/>
            <w:spacing/>
            <w:ind/>
            <w:jc w:val="center"/>
            <w:rPr>
              <w:rFonts w:ascii="Verdana" w:hAnsi="Verdana" w:cs="Verdana"/>
              <w:b/>
              <w:bCs/>
              <w:sz w:val="18"/>
              <w:szCs w:val="18"/>
            </w:rPr>
          </w:pPr>
          <w:r>
            <w:rPr>
              <w:rFonts w:ascii="Verdana" w:hAnsi="Verdana" w:eastAsia="Verdana" w:cs="Verdana"/>
              <w:b/>
              <w:bCs/>
              <w:sz w:val="22"/>
              <w:szCs w:val="22"/>
            </w:rPr>
            <w:t xml:space="preserve">GESTIONE DEGLI ALLERGENI</w:t>
          </w:r>
          <w:r>
            <w:rPr>
              <w:rFonts w:ascii="Verdana" w:hAnsi="Verdana" w:cs="Verdana"/>
              <w:b/>
              <w:bCs/>
              <w:sz w:val="18"/>
              <w:szCs w:val="18"/>
            </w:rPr>
          </w:r>
          <w:r>
            <w:rPr>
              <w:rFonts w:ascii="Verdana" w:hAnsi="Verdana" w:cs="Verdana"/>
              <w:b/>
              <w:bCs/>
              <w:sz w:val="18"/>
              <w:szCs w:val="18"/>
            </w:rPr>
          </w:r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2518" w:type="dxa"/>
          <w:vAlign w:val="center"/>
          <w:textDirection w:val="lrTb"/>
          <w:noWrap w:val="false"/>
        </w:tcPr>
        <w:p>
          <w:pPr>
            <w:pStyle w:val="803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P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08.03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</w:t>
          </w:r>
          <w:r>
            <w:rPr>
              <w:rFonts w:ascii="Verdana" w:hAnsi="Verdana" w:cs="Verdana"/>
              <w:sz w:val="18"/>
              <w:szCs w:val="18"/>
            </w:rPr>
          </w:r>
          <w:r>
            <w:rPr>
              <w:rFonts w:ascii="Verdana" w:hAnsi="Verdana" w:cs="Verdana"/>
              <w:sz w:val="18"/>
              <w:szCs w:val="18"/>
            </w:rPr>
          </w:r>
        </w:p>
        <w:p>
          <w:pPr>
            <w:pStyle w:val="803"/>
            <w:pBdr/>
            <w:spacing/>
            <w:ind/>
            <w:rPr>
              <w:rFonts w:ascii="Verdana" w:hAnsi="Verdana" w:eastAsia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REV. 03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del 1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6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-0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9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-2025</w:t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</w:r>
        </w:p>
        <w:p>
          <w:pPr>
            <w:pStyle w:val="803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Pag. 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begin"/>
          </w:r>
          <w:r>
            <w:rPr>
              <w:rFonts w:ascii="Verdana" w:hAnsi="Verdana" w:eastAsia="Verdana" w:cs="Verdana"/>
              <w:sz w:val="18"/>
              <w:szCs w:val="18"/>
            </w:rPr>
            <w:instrText xml:space="preserve">PAGE   \* MERGEFORMAT</w:instrTex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separate"/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1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end"/>
          </w:r>
          <w:r>
            <w:rPr>
              <w:rFonts w:ascii="Verdana" w:hAnsi="Verdana" w:cs="Verdana"/>
              <w:sz w:val="18"/>
              <w:szCs w:val="18"/>
            </w:rPr>
          </w:r>
          <w:r>
            <w:rPr>
              <w:rFonts w:ascii="Verdana" w:hAnsi="Verdana" w:cs="Verdana"/>
              <w:sz w:val="18"/>
              <w:szCs w:val="18"/>
            </w:rPr>
          </w:r>
        </w:p>
      </w:tc>
    </w:tr>
  </w:tbl>
  <w:p>
    <w:pPr>
      <w:pStyle w:val="80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tabs>
          <w:tab w:val="num" w:leader="none" w:pos="284"/>
        </w:tabs>
        <w:spacing/>
        <w:ind w:hanging="284" w:left="284"/>
      </w:pPr>
      <w:rPr>
        <w:rFonts w:ascii="Times New Roman" w:hAnsi="Times New Roman"/>
        <w:sz w:val="16"/>
      </w:rPr>
      <w:start w:val="0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765" w:left="765"/>
      </w:pPr>
      <w:rPr>
        <w:rFonts w:hint="default"/>
      </w:rPr>
      <w:start w:val="13"/>
      <w:suff w:val="tab"/>
    </w:lvl>
    <w:lvl w:ilvl="1">
      <w:isLgl w:val="false"/>
      <w:lvlJc w:val="left"/>
      <w:lvlText w:val="%1.%2."/>
      <w:numFmt w:val="decimal"/>
      <w:pPr>
        <w:pBdr/>
        <w:spacing/>
        <w:ind w:hanging="765" w:left="765"/>
      </w:pPr>
      <w:rPr>
        <w:rFonts w:hint="default"/>
      </w:rPr>
      <w:start w:val="2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080" w:left="1080"/>
      </w:pPr>
      <w:rPr>
        <w:rFonts w:hint="default"/>
      </w:rPr>
      <w:start w:val="6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520" w:left="2520"/>
      </w:pPr>
      <w:rPr>
        <w:rFonts w:hint="default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797"/>
    <w:next w:val="797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797"/>
    <w:next w:val="797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797"/>
    <w:next w:val="79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797"/>
    <w:next w:val="797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797"/>
    <w:next w:val="79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797"/>
    <w:next w:val="797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797"/>
    <w:next w:val="79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97"/>
    <w:next w:val="797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97"/>
    <w:next w:val="797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798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9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9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98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98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98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98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98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9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97"/>
    <w:next w:val="797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798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97"/>
    <w:next w:val="797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798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97"/>
    <w:next w:val="797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98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79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97"/>
    <w:next w:val="797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98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9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97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98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98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9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9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798"/>
    <w:link w:val="803"/>
    <w:uiPriority w:val="99"/>
    <w:pPr>
      <w:pBdr/>
      <w:spacing/>
      <w:ind/>
    </w:pPr>
  </w:style>
  <w:style w:type="character" w:styleId="178">
    <w:name w:val="Footer Char"/>
    <w:basedOn w:val="798"/>
    <w:link w:val="805"/>
    <w:uiPriority w:val="99"/>
    <w:pPr>
      <w:pBdr/>
      <w:spacing/>
      <w:ind/>
    </w:pPr>
  </w:style>
  <w:style w:type="paragraph" w:styleId="179">
    <w:name w:val="Caption"/>
    <w:basedOn w:val="797"/>
    <w:next w:val="79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97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98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98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97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98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98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89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0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1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2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3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4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5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6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798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ar-SA"/>
    </w:rPr>
  </w:style>
  <w:style w:type="character" w:styleId="798" w:default="1">
    <w:name w:val="Default Paragraph Font"/>
    <w:uiPriority w:val="1"/>
    <w:semiHidden/>
    <w:unhideWhenUsed/>
    <w:pPr>
      <w:pBdr/>
      <w:spacing/>
      <w:ind/>
    </w:pPr>
  </w:style>
  <w:style w:type="table" w:styleId="7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0" w:default="1">
    <w:name w:val="No List"/>
    <w:uiPriority w:val="99"/>
    <w:semiHidden/>
    <w:unhideWhenUsed/>
    <w:pPr>
      <w:pBdr/>
      <w:spacing/>
      <w:ind/>
    </w:pPr>
  </w:style>
  <w:style w:type="paragraph" w:styleId="801">
    <w:name w:val="Body Text"/>
    <w:basedOn w:val="797"/>
    <w:link w:val="802"/>
    <w:pPr>
      <w:pBdr/>
      <w:spacing/>
      <w:ind/>
      <w:jc w:val="both"/>
    </w:pPr>
    <w:rPr>
      <w:sz w:val="28"/>
    </w:rPr>
  </w:style>
  <w:style w:type="character" w:styleId="802" w:customStyle="1">
    <w:name w:val="Corpo testo Carattere"/>
    <w:basedOn w:val="798"/>
    <w:link w:val="801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ar-SA"/>
    </w:rPr>
  </w:style>
  <w:style w:type="paragraph" w:styleId="803">
    <w:name w:val="Header"/>
    <w:basedOn w:val="797"/>
    <w:link w:val="804"/>
    <w:unhideWhenUsed/>
    <w:pPr>
      <w:pBdr/>
      <w:tabs>
        <w:tab w:val="center" w:leader="none" w:pos="4819"/>
        <w:tab w:val="right" w:leader="none" w:pos="9638"/>
      </w:tabs>
      <w:spacing/>
      <w:ind/>
    </w:pPr>
  </w:style>
  <w:style w:type="character" w:styleId="804" w:customStyle="1">
    <w:name w:val="Intestazione Carattere"/>
    <w:basedOn w:val="798"/>
    <w:link w:val="803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ar-SA"/>
    </w:rPr>
  </w:style>
  <w:style w:type="paragraph" w:styleId="805">
    <w:name w:val="Footer"/>
    <w:basedOn w:val="797"/>
    <w:link w:val="806"/>
    <w:uiPriority w:val="99"/>
    <w:unhideWhenUsed/>
    <w:pPr>
      <w:pBdr/>
      <w:tabs>
        <w:tab w:val="center" w:leader="none" w:pos="4819"/>
        <w:tab w:val="right" w:leader="none" w:pos="9638"/>
      </w:tabs>
      <w:spacing/>
      <w:ind/>
    </w:pPr>
  </w:style>
  <w:style w:type="character" w:styleId="806" w:customStyle="1">
    <w:name w:val="Piè di pagina Carattere"/>
    <w:basedOn w:val="798"/>
    <w:link w:val="805"/>
    <w:uiPriority w:val="99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ar-SA"/>
    </w:rPr>
  </w:style>
  <w:style w:type="character" w:styleId="807">
    <w:name w:val="page number"/>
    <w:semiHidden/>
    <w:pPr>
      <w:pBdr/>
      <w:spacing/>
      <w:ind/>
    </w:pPr>
    <w:rPr>
      <w:rFonts w:cs="Times New Roman"/>
    </w:rPr>
  </w:style>
  <w:style w:type="paragraph" w:styleId="808">
    <w:name w:val="List Paragraph"/>
    <w:basedOn w:val="797"/>
    <w:uiPriority w:val="34"/>
    <w:qFormat/>
    <w:pPr>
      <w:pBdr/>
      <w:spacing/>
      <w:ind w:left="720"/>
      <w:contextualSpacing w:val="true"/>
    </w:pPr>
  </w:style>
  <w:style w:type="table" w:styleId="809">
    <w:name w:val="Table Grid"/>
    <w:basedOn w:val="799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it-IT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Qualita</dc:creator>
  <cp:keywords/>
  <dc:description/>
  <cp:lastModifiedBy>Francesco Scavello</cp:lastModifiedBy>
  <cp:revision>18</cp:revision>
  <dcterms:created xsi:type="dcterms:W3CDTF">2023-01-19T09:40:00Z</dcterms:created>
  <dcterms:modified xsi:type="dcterms:W3CDTF">2025-11-13T10:50:58Z</dcterms:modified>
</cp:coreProperties>
</file>