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08"/>
        <w:pBdr/>
        <w:spacing/>
        <w:ind/>
        <w:rPr>
          <w:rFonts w:asciiTheme="minorHAnsi" w:hAnsiTheme="minorHAnsi" w:cstheme="minorHAnsi"/>
          <w:sz w:val="22"/>
          <w:szCs w:val="22"/>
        </w:rPr>
      </w:pPr>
      <w:r>
        <w:rPr>
          <w:rFonts w:asciiTheme="minorHAnsi" w:hAnsiTheme="minorHAnsi" w:cstheme="minorHAnsi"/>
          <w:sz w:val="22"/>
          <w:szCs w:val="22"/>
        </w:rPr>
        <w:t xml:space="preserve">PROCESSO DI APPROVVIGIONAMENTO E QUALIFICA DEI FORNITORI</w:t>
      </w:r>
      <w:r>
        <w:rPr>
          <w:rFonts w:asciiTheme="minorHAnsi" w:hAnsiTheme="minorHAnsi" w:cstheme="minorHAnsi"/>
          <w:sz w:val="22"/>
          <w:szCs w:val="22"/>
        </w:rPr>
      </w:r>
    </w:p>
    <w:p>
      <w:pPr>
        <w:pBdr/>
        <w:spacing/>
        <w:ind/>
        <w:rPr>
          <w:rFonts w:asciiTheme="minorHAnsi" w:hAnsiTheme="minorHAnsi" w:cstheme="minorHAnsi"/>
          <w:sz w:val="22"/>
          <w:szCs w:val="22"/>
          <w:lang w:bidi="he-IL"/>
        </w:rPr>
      </w:pPr>
      <w:r>
        <w:rPr>
          <w:rFonts w:asciiTheme="minorHAnsi" w:hAnsiTheme="minorHAnsi" w:cstheme="minorHAnsi"/>
          <w:sz w:val="22"/>
          <w:szCs w:val="22"/>
          <w:lang w:bidi="he-IL"/>
        </w:rPr>
        <w:t xml:space="preserve">I criteri fondamentali adottati dall’</w:t>
      </w:r>
      <w:r>
        <w:rPr>
          <w:rFonts w:asciiTheme="minorHAnsi" w:hAnsiTheme="minorHAnsi" w:cstheme="minorHAnsi"/>
          <w:sz w:val="22"/>
          <w:szCs w:val="22"/>
          <w:lang w:bidi="he-IL"/>
        </w:rPr>
        <w:t xml:space="preserve">A</w:t>
      </w:r>
      <w:r>
        <w:rPr>
          <w:rFonts w:asciiTheme="minorHAnsi" w:hAnsiTheme="minorHAnsi" w:cstheme="minorHAnsi"/>
          <w:sz w:val="22"/>
          <w:szCs w:val="22"/>
          <w:lang w:bidi="he-IL"/>
        </w:rPr>
        <w:t xml:space="preserve">gumi-Gel</w:t>
      </w:r>
      <w:r>
        <w:rPr>
          <w:rFonts w:asciiTheme="minorHAnsi" w:hAnsiTheme="minorHAnsi" w:cstheme="minorHAnsi"/>
          <w:sz w:val="22"/>
          <w:szCs w:val="22"/>
          <w:lang w:bidi="he-IL"/>
        </w:rPr>
        <w:t xml:space="preserve"> s.r.l.</w:t>
      </w:r>
      <w:r>
        <w:rPr>
          <w:rFonts w:asciiTheme="minorHAnsi" w:hAnsiTheme="minorHAnsi" w:cstheme="minorHAnsi"/>
          <w:sz w:val="22"/>
          <w:szCs w:val="22"/>
          <w:lang w:bidi="he-IL"/>
        </w:rPr>
        <w:t xml:space="preserve"> al fine di assicurare la conformità dei prodotti e/o servizi acquistati, aventi diretta influenza sulla qualità dei prodotti venduti consistono essenzialmente in una preventiva valutazione delle materie prime, compresi i materiali di confezionamento, d</w:t>
      </w:r>
      <w:r>
        <w:rPr>
          <w:rFonts w:asciiTheme="minorHAnsi" w:hAnsiTheme="minorHAnsi" w:cstheme="minorHAnsi"/>
          <w:sz w:val="22"/>
          <w:szCs w:val="22"/>
          <w:lang w:bidi="he-IL"/>
        </w:rPr>
        <w:t xml:space="preserve">efinendone il rischio Alto o Basso. Una volta valutato il livello di criticità delle materie prime esse vengono associate ai fornitori, che quindi, in base alla documentazione presentata, potranno essere inseriti o meno nell’albo dei fornitori qualificati.</w:t>
      </w:r>
      <w:r>
        <w:rPr>
          <w:rFonts w:asciiTheme="minorHAnsi" w:hAnsiTheme="minorHAnsi" w:cstheme="minorHAnsi"/>
          <w:sz w:val="22"/>
          <w:szCs w:val="22"/>
          <w:lang w:bidi="he-IL"/>
        </w:rPr>
      </w:r>
    </w:p>
    <w:p>
      <w:pPr>
        <w:pBdr/>
        <w:spacing/>
        <w:ind/>
        <w:rPr>
          <w:rFonts w:asciiTheme="minorHAnsi" w:hAnsiTheme="minorHAnsi" w:cstheme="minorHAnsi"/>
          <w:sz w:val="22"/>
          <w:szCs w:val="22"/>
        </w:rPr>
      </w:pPr>
      <w:r>
        <w:rPr>
          <w:rFonts w:asciiTheme="minorHAnsi" w:hAnsiTheme="minorHAnsi" w:cstheme="minorHAnsi"/>
          <w:sz w:val="22"/>
          <w:szCs w:val="22"/>
        </w:rPr>
        <w:t xml:space="preserve">Ciascun fornitore di prodotti e/o servizi influenti sulla qualità del prodotto fornito da BIA sas è sottoposto ad una valutazione i</w:t>
      </w:r>
      <w:r>
        <w:rPr>
          <w:rFonts w:asciiTheme="minorHAnsi" w:hAnsiTheme="minorHAnsi" w:cstheme="minorHAnsi"/>
          <w:sz w:val="22"/>
          <w:szCs w:val="22"/>
        </w:rPr>
        <w:t xml:space="preserve">niziale, effettuata dal Responsabile Acquisti e dal Responsabile con l’ausilio del Rappresentante della Direzione, al fine di stabilire la sua capacità nel soddisfare i requisiti, tecnici e qualitativi, necessari per la conformità della relativa fornitura.</w:t>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Ne</w:t>
      </w:r>
      <w:r>
        <w:rPr>
          <w:rFonts w:asciiTheme="minorHAnsi" w:hAnsiTheme="minorHAnsi" w:cstheme="minorHAnsi"/>
          <w:sz w:val="22"/>
          <w:szCs w:val="22"/>
        </w:rPr>
        <w:t xml:space="preserve">l caso delle materie prime e dei materiali di confezionamento RSA, ha redatto una lista delle materie prime e materiali di confezionamento; la valutazione delle materie prime e dei materiali di confezionamento viene effettuata tenendo conto del rischio di:</w:t>
      </w:r>
      <w:r>
        <w:rPr>
          <w:rFonts w:asciiTheme="minorHAnsi" w:hAnsiTheme="minorHAnsi" w:cstheme="minorHAnsi"/>
          <w:sz w:val="22"/>
          <w:szCs w:val="22"/>
        </w:rPr>
      </w:r>
    </w:p>
    <w:p>
      <w:pPr>
        <w:numPr>
          <w:ilvl w:val="0"/>
          <w:numId w:val="1"/>
        </w:numPr>
        <w:pBdr/>
        <w:spacing/>
        <w:ind/>
        <w:rPr>
          <w:rFonts w:asciiTheme="minorHAnsi" w:hAnsiTheme="minorHAnsi" w:cstheme="minorHAnsi"/>
          <w:sz w:val="22"/>
          <w:szCs w:val="22"/>
        </w:rPr>
      </w:pPr>
      <w:r>
        <w:rPr>
          <w:rFonts w:asciiTheme="minorHAnsi" w:hAnsiTheme="minorHAnsi" w:cstheme="minorHAnsi"/>
          <w:sz w:val="22"/>
          <w:szCs w:val="22"/>
        </w:rPr>
        <w:t xml:space="preserve">contaminazione da allergeni;</w:t>
      </w:r>
      <w:r>
        <w:rPr>
          <w:rFonts w:asciiTheme="minorHAnsi" w:hAnsiTheme="minorHAnsi" w:cstheme="minorHAnsi"/>
          <w:sz w:val="22"/>
          <w:szCs w:val="22"/>
        </w:rPr>
      </w:r>
    </w:p>
    <w:p>
      <w:pPr>
        <w:numPr>
          <w:ilvl w:val="0"/>
          <w:numId w:val="1"/>
        </w:numPr>
        <w:pBdr/>
        <w:spacing/>
        <w:ind/>
        <w:rPr>
          <w:rFonts w:asciiTheme="minorHAnsi" w:hAnsiTheme="minorHAnsi" w:cstheme="minorHAnsi"/>
          <w:sz w:val="22"/>
          <w:szCs w:val="22"/>
        </w:rPr>
      </w:pPr>
      <w:r>
        <w:rPr>
          <w:rFonts w:asciiTheme="minorHAnsi" w:hAnsiTheme="minorHAnsi" w:cstheme="minorHAnsi"/>
          <w:sz w:val="22"/>
          <w:szCs w:val="22"/>
        </w:rPr>
        <w:t xml:space="preserve">contaminazione da corpi estranei </w:t>
      </w:r>
      <w:r>
        <w:rPr>
          <w:rFonts w:asciiTheme="minorHAnsi" w:hAnsiTheme="minorHAnsi" w:cstheme="minorHAnsi"/>
          <w:sz w:val="22"/>
          <w:szCs w:val="22"/>
        </w:rPr>
      </w:r>
    </w:p>
    <w:p>
      <w:pPr>
        <w:numPr>
          <w:ilvl w:val="0"/>
          <w:numId w:val="1"/>
        </w:numPr>
        <w:pBdr/>
        <w:spacing/>
        <w:ind/>
        <w:rPr>
          <w:rFonts w:asciiTheme="minorHAnsi" w:hAnsiTheme="minorHAnsi" w:cstheme="minorHAnsi"/>
          <w:sz w:val="22"/>
          <w:szCs w:val="22"/>
        </w:rPr>
      </w:pPr>
      <w:r>
        <w:rPr>
          <w:rFonts w:asciiTheme="minorHAnsi" w:hAnsiTheme="minorHAnsi" w:cstheme="minorHAnsi"/>
          <w:sz w:val="22"/>
          <w:szCs w:val="22"/>
        </w:rPr>
        <w:t xml:space="preserve">contaminazione microbiologica</w:t>
      </w:r>
      <w:r>
        <w:rPr>
          <w:rFonts w:asciiTheme="minorHAnsi" w:hAnsiTheme="minorHAnsi" w:cstheme="minorHAnsi"/>
          <w:sz w:val="22"/>
          <w:szCs w:val="22"/>
        </w:rPr>
      </w:r>
    </w:p>
    <w:p>
      <w:pPr>
        <w:numPr>
          <w:ilvl w:val="0"/>
          <w:numId w:val="1"/>
        </w:numPr>
        <w:pBdr/>
        <w:spacing/>
        <w:ind/>
        <w:rPr>
          <w:rFonts w:asciiTheme="minorHAnsi" w:hAnsiTheme="minorHAnsi" w:cstheme="minorHAnsi"/>
          <w:sz w:val="22"/>
          <w:szCs w:val="22"/>
        </w:rPr>
      </w:pPr>
      <w:r>
        <w:rPr>
          <w:rFonts w:asciiTheme="minorHAnsi" w:hAnsiTheme="minorHAnsi" w:cstheme="minorHAnsi"/>
          <w:sz w:val="22"/>
          <w:szCs w:val="22"/>
        </w:rPr>
        <w:t xml:space="preserve">contaminazione chimica/radioattiva</w:t>
      </w:r>
      <w:r>
        <w:rPr>
          <w:rFonts w:asciiTheme="minorHAnsi" w:hAnsiTheme="minorHAnsi" w:cstheme="minorHAnsi"/>
          <w:sz w:val="22"/>
          <w:szCs w:val="22"/>
        </w:rPr>
      </w:r>
    </w:p>
    <w:p>
      <w:pPr>
        <w:numPr>
          <w:ilvl w:val="0"/>
          <w:numId w:val="1"/>
        </w:numPr>
        <w:pBdr/>
        <w:spacing/>
        <w:ind/>
        <w:rPr>
          <w:rFonts w:asciiTheme="minorHAnsi" w:hAnsiTheme="minorHAnsi" w:cstheme="minorHAnsi"/>
          <w:sz w:val="22"/>
          <w:szCs w:val="22"/>
        </w:rPr>
      </w:pPr>
      <w:r>
        <w:rPr>
          <w:rFonts w:asciiTheme="minorHAnsi" w:hAnsiTheme="minorHAnsi" w:cstheme="minorHAnsi"/>
          <w:sz w:val="22"/>
          <w:szCs w:val="22"/>
        </w:rPr>
        <w:t xml:space="preserve">contraffazione o frode</w:t>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Per ogni materia prima viene assegnato un valore da 1 a 4 per ciascun rischio sopra identificato; i criteri di assegnazione dei valori sono riportati nella tabella a seguire</w:t>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pBdr/>
        <w:spacing/>
        <w:ind/>
        <w:rPr/>
        <w:sectPr>
          <w:headerReference w:type="default" r:id="rId9"/>
          <w:footnotePr/>
          <w:endnotePr/>
          <w:type w:val="nextPage"/>
          <w:pgSz w:h="16838" w:orient="portrait" w:w="11906"/>
          <w:pgMar w:top="1417" w:right="1134" w:bottom="1134" w:left="1134" w:header="708" w:footer="708" w:gutter="0"/>
          <w:cols w:num="1" w:sep="0" w:space="708" w:equalWidth="1"/>
        </w:sectPr>
      </w:pPr>
      <w:r/>
      <w:r/>
    </w:p>
    <w:tbl>
      <w:tblPr>
        <w:tblW w:w="150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96"/>
        <w:gridCol w:w="2552"/>
        <w:gridCol w:w="2381"/>
        <w:gridCol w:w="2693"/>
        <w:gridCol w:w="2552"/>
        <w:gridCol w:w="3147"/>
      </w:tblGrid>
      <w:tr>
        <w:trPr>
          <w:trHeight w:val="256"/>
          <w:tblHeader/>
        </w:trPr>
        <w:tc>
          <w:tcPr>
            <w:gridSpan w:val="2"/>
            <w:shd w:val="clear" w:color="auto" w:fill="a8d08d"/>
            <w:tcBorders/>
            <w:tcW w:w="4248" w:type="dxa"/>
            <w:vMerge w:val="restart"/>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RISCHIO DI:</w:t>
            </w:r>
            <w:r>
              <w:rPr>
                <w:rFonts w:asciiTheme="minorHAnsi" w:hAnsiTheme="minorHAnsi" w:cstheme="minorHAnsi"/>
                <w:sz w:val="22"/>
                <w:szCs w:val="22"/>
                <w:lang w:val="it-IT" w:eastAsia="it-IT"/>
              </w:rPr>
            </w:r>
          </w:p>
        </w:tc>
        <w:tc>
          <w:tcPr>
            <w:gridSpan w:val="4"/>
            <w:shd w:val="clear" w:color="auto" w:fill="a8d08d"/>
            <w:tcBorders/>
            <w:tcW w:w="1077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VALORE ASSEGNATO</w:t>
            </w:r>
            <w:r>
              <w:rPr>
                <w:rFonts w:asciiTheme="minorHAnsi" w:hAnsiTheme="minorHAnsi" w:cstheme="minorHAnsi"/>
                <w:sz w:val="22"/>
                <w:szCs w:val="22"/>
                <w:lang w:val="it-IT" w:eastAsia="it-IT"/>
              </w:rPr>
            </w:r>
          </w:p>
        </w:tc>
      </w:tr>
      <w:tr>
        <w:trPr>
          <w:trHeight w:val="276"/>
          <w:tblHeader/>
        </w:trPr>
        <w:tc>
          <w:tcPr>
            <w:gridSpan w:val="2"/>
            <w:shd w:val="clear" w:color="auto" w:fill="auto"/>
            <w:tcBorders/>
            <w:tcW w:w="4248" w:type="dxa"/>
            <w:vMerge w:val="continue"/>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r>
            <w:r>
              <w:rPr>
                <w:rFonts w:asciiTheme="minorHAnsi" w:hAnsiTheme="minorHAnsi" w:cstheme="minorHAnsi"/>
                <w:sz w:val="22"/>
                <w:szCs w:val="22"/>
                <w:lang w:val="it-IT" w:eastAsia="it-IT"/>
              </w:rPr>
            </w:r>
          </w:p>
        </w:tc>
        <w:tc>
          <w:tcPr>
            <w:shd w:val="clear" w:color="auto" w:fill="b4c6e7"/>
            <w:tcBorders/>
            <w:tcW w:w="2381"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1. INSUFFICIENTE</w:t>
            </w:r>
            <w:r>
              <w:rPr>
                <w:rFonts w:asciiTheme="minorHAnsi" w:hAnsiTheme="minorHAnsi" w:cstheme="minorHAnsi"/>
                <w:sz w:val="22"/>
                <w:szCs w:val="22"/>
                <w:lang w:val="it-IT" w:eastAsia="it-IT"/>
              </w:rPr>
            </w:r>
          </w:p>
        </w:tc>
        <w:tc>
          <w:tcPr>
            <w:shd w:val="clear" w:color="auto" w:fill="b4c6e7"/>
            <w:tcBorders/>
            <w:tcW w:w="269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2. SUFFICIENTE</w:t>
            </w:r>
            <w:r>
              <w:rPr>
                <w:rFonts w:asciiTheme="minorHAnsi" w:hAnsiTheme="minorHAnsi" w:cstheme="minorHAnsi"/>
                <w:sz w:val="22"/>
                <w:szCs w:val="22"/>
                <w:lang w:val="it-IT" w:eastAsia="it-IT"/>
              </w:rPr>
            </w:r>
          </w:p>
        </w:tc>
        <w:tc>
          <w:tcPr>
            <w:shd w:val="clear" w:color="auto" w:fill="b4c6e7"/>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3. BUONO</w:t>
            </w:r>
            <w:r>
              <w:rPr>
                <w:rFonts w:asciiTheme="minorHAnsi" w:hAnsiTheme="minorHAnsi" w:cstheme="minorHAnsi"/>
                <w:sz w:val="22"/>
                <w:szCs w:val="22"/>
                <w:lang w:val="it-IT" w:eastAsia="it-IT"/>
              </w:rPr>
            </w:r>
          </w:p>
        </w:tc>
        <w:tc>
          <w:tcPr>
            <w:shd w:val="clear" w:color="auto" w:fill="b4c6e7"/>
            <w:tcBorders/>
            <w:tcW w:w="3147"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4. OTTIMO</w:t>
            </w:r>
            <w:r>
              <w:rPr>
                <w:rFonts w:asciiTheme="minorHAnsi" w:hAnsiTheme="minorHAnsi" w:cstheme="minorHAnsi"/>
                <w:sz w:val="22"/>
                <w:szCs w:val="22"/>
                <w:lang w:val="it-IT" w:eastAsia="it-IT"/>
              </w:rPr>
            </w:r>
          </w:p>
        </w:tc>
      </w:tr>
      <w:tr>
        <w:trPr/>
        <w:tc>
          <w:tcPr>
            <w:gridSpan w:val="2"/>
            <w:shd w:val="clear" w:color="auto" w:fill="auto"/>
            <w:tcBorders/>
            <w:tcW w:w="4248"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Contaminazione da allergeni</w:t>
            </w:r>
            <w:r>
              <w:rPr>
                <w:rFonts w:asciiTheme="minorHAnsi" w:hAnsiTheme="minorHAnsi" w:cstheme="minorHAnsi"/>
                <w:sz w:val="22"/>
                <w:szCs w:val="22"/>
                <w:lang w:val="it-IT" w:eastAsia="it-IT"/>
              </w:rPr>
            </w:r>
          </w:p>
        </w:tc>
        <w:tc>
          <w:tcPr>
            <w:shd w:val="clear" w:color="auto" w:fill="auto"/>
            <w:tcBorders/>
            <w:tcW w:w="2381"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Non ci sono garanzie sull’assenza di contaminazione da allergeni</w:t>
            </w:r>
            <w:r>
              <w:rPr>
                <w:rFonts w:asciiTheme="minorHAnsi" w:hAnsiTheme="minorHAnsi" w:cstheme="minorHAnsi"/>
                <w:sz w:val="22"/>
                <w:szCs w:val="22"/>
                <w:lang w:val="it-IT" w:eastAsia="it-IT"/>
              </w:rPr>
            </w:r>
          </w:p>
        </w:tc>
        <w:tc>
          <w:tcPr>
            <w:shd w:val="clear" w:color="auto" w:fill="auto"/>
            <w:tcBorders/>
            <w:tcW w:w="269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fornisce una dichiarazione generica</w:t>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fornisce una dichiarazione puntuale e precisa sugli allergeni </w:t>
            </w:r>
            <w:r>
              <w:rPr>
                <w:rFonts w:asciiTheme="minorHAnsi" w:hAnsiTheme="minorHAnsi" w:cstheme="minorHAnsi"/>
                <w:sz w:val="22"/>
                <w:szCs w:val="22"/>
                <w:lang w:val="it-IT" w:eastAsia="it-IT"/>
              </w:rPr>
            </w:r>
          </w:p>
        </w:tc>
        <w:tc>
          <w:tcPr>
            <w:shd w:val="clear" w:color="auto" w:fill="auto"/>
            <w:tcBorders/>
            <w:tcW w:w="3147"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fornisce una dichiarazione puntuale e precisa sugli allergeni e lavora monoprodotti</w:t>
            </w:r>
            <w:r>
              <w:rPr>
                <w:rFonts w:asciiTheme="minorHAnsi" w:hAnsiTheme="minorHAnsi" w:cstheme="minorHAnsi"/>
                <w:sz w:val="22"/>
                <w:szCs w:val="22"/>
                <w:lang w:val="it-IT" w:eastAsia="it-IT"/>
              </w:rPr>
            </w:r>
          </w:p>
        </w:tc>
      </w:tr>
      <w:tr>
        <w:trPr/>
        <w:tc>
          <w:tcPr>
            <w:gridSpan w:val="2"/>
            <w:shd w:val="clear" w:color="auto" w:fill="auto"/>
            <w:tcBorders/>
            <w:tcW w:w="4248"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Contaminazione da corpi estranei </w:t>
            </w:r>
            <w:r>
              <w:rPr>
                <w:rFonts w:asciiTheme="minorHAnsi" w:hAnsiTheme="minorHAnsi" w:cstheme="minorHAnsi"/>
                <w:sz w:val="22"/>
                <w:szCs w:val="22"/>
                <w:lang w:val="it-IT" w:eastAsia="it-IT"/>
              </w:rPr>
            </w:r>
          </w:p>
        </w:tc>
        <w:tc>
          <w:tcPr>
            <w:shd w:val="clear" w:color="auto" w:fill="auto"/>
            <w:tcBorders/>
            <w:tcW w:w="2381"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Non ci sono garanzie sul controllo del pericolo fisico</w:t>
            </w:r>
            <w:r>
              <w:rPr>
                <w:rFonts w:asciiTheme="minorHAnsi" w:hAnsiTheme="minorHAnsi" w:cstheme="minorHAnsi"/>
                <w:sz w:val="22"/>
                <w:szCs w:val="22"/>
                <w:lang w:val="it-IT" w:eastAsia="it-IT"/>
              </w:rPr>
            </w:r>
          </w:p>
        </w:tc>
        <w:tc>
          <w:tcPr>
            <w:shd w:val="clear" w:color="auto" w:fill="auto"/>
            <w:tcBorders/>
            <w:tcW w:w="269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fornisce una dichiarazione generica</w:t>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ha un piano di controllo del pericolo fisico chiaro e documentato</w:t>
            </w:r>
            <w:r>
              <w:rPr>
                <w:rFonts w:asciiTheme="minorHAnsi" w:hAnsiTheme="minorHAnsi" w:cstheme="minorHAnsi"/>
                <w:sz w:val="22"/>
                <w:szCs w:val="22"/>
                <w:lang w:val="it-IT" w:eastAsia="it-IT"/>
              </w:rPr>
            </w:r>
          </w:p>
        </w:tc>
        <w:tc>
          <w:tcPr>
            <w:shd w:val="clear" w:color="auto" w:fill="auto"/>
            <w:tcBorders/>
            <w:tcW w:w="3147"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ha un piano di controllo del pericolo fisico chiaro e documentato ed un sistema per la rilevazione dei corpi estranei (MD, filtri, etc)</w:t>
            </w:r>
            <w:r>
              <w:rPr>
                <w:rFonts w:asciiTheme="minorHAnsi" w:hAnsiTheme="minorHAnsi" w:cstheme="minorHAnsi"/>
                <w:sz w:val="22"/>
                <w:szCs w:val="22"/>
                <w:lang w:val="it-IT" w:eastAsia="it-IT"/>
              </w:rPr>
            </w:r>
          </w:p>
        </w:tc>
      </w:tr>
      <w:tr>
        <w:trPr/>
        <w:tc>
          <w:tcPr>
            <w:gridSpan w:val="2"/>
            <w:shd w:val="clear" w:color="auto" w:fill="auto"/>
            <w:tcBorders/>
            <w:tcW w:w="4248"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Contaminazione microbiologica</w:t>
            </w:r>
            <w:r>
              <w:rPr>
                <w:rFonts w:asciiTheme="minorHAnsi" w:hAnsiTheme="minorHAnsi" w:cstheme="minorHAnsi"/>
                <w:sz w:val="22"/>
                <w:szCs w:val="22"/>
                <w:lang w:val="it-IT" w:eastAsia="it-IT"/>
              </w:rPr>
            </w:r>
          </w:p>
        </w:tc>
        <w:tc>
          <w:tcPr>
            <w:shd w:val="clear" w:color="auto" w:fill="auto"/>
            <w:tcBorders/>
            <w:tcW w:w="2381"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Non ci sono garanzie sul controllo del pericolo microbiologico</w:t>
            </w:r>
            <w:r>
              <w:rPr>
                <w:rFonts w:asciiTheme="minorHAnsi" w:hAnsiTheme="minorHAnsi" w:cstheme="minorHAnsi"/>
                <w:sz w:val="22"/>
                <w:szCs w:val="22"/>
                <w:lang w:val="it-IT" w:eastAsia="it-IT"/>
              </w:rPr>
            </w:r>
          </w:p>
        </w:tc>
        <w:tc>
          <w:tcPr>
            <w:shd w:val="clear" w:color="auto" w:fill="auto"/>
            <w:tcBorders/>
            <w:tcW w:w="269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fornisce una dichiarazione generica</w:t>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ha formalizzato un piano di campionamento</w:t>
            </w:r>
            <w:r>
              <w:rPr>
                <w:rFonts w:asciiTheme="minorHAnsi" w:hAnsiTheme="minorHAnsi" w:cstheme="minorHAnsi"/>
                <w:sz w:val="22"/>
                <w:szCs w:val="22"/>
                <w:lang w:val="it-IT" w:eastAsia="it-IT"/>
              </w:rPr>
            </w:r>
          </w:p>
        </w:tc>
        <w:tc>
          <w:tcPr>
            <w:shd w:val="clear" w:color="auto" w:fill="auto"/>
            <w:tcBorders/>
            <w:tcW w:w="3147"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ha formalizzato un piano di campionamento e può fornire esiti di analisi ad ogni fornitura</w:t>
            </w:r>
            <w:r>
              <w:rPr>
                <w:rFonts w:asciiTheme="minorHAnsi" w:hAnsiTheme="minorHAnsi" w:cstheme="minorHAnsi"/>
                <w:sz w:val="22"/>
                <w:szCs w:val="22"/>
                <w:lang w:val="it-IT" w:eastAsia="it-IT"/>
              </w:rPr>
            </w:r>
          </w:p>
        </w:tc>
      </w:tr>
      <w:tr>
        <w:trPr/>
        <w:tc>
          <w:tcPr>
            <w:gridSpan w:val="2"/>
            <w:shd w:val="clear" w:color="auto" w:fill="auto"/>
            <w:tcBorders/>
            <w:tcW w:w="4248"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Contaminazione chimica/radioattiva</w:t>
            </w:r>
            <w:r>
              <w:rPr>
                <w:rFonts w:asciiTheme="minorHAnsi" w:hAnsiTheme="minorHAnsi" w:cstheme="minorHAnsi"/>
                <w:sz w:val="22"/>
                <w:szCs w:val="22"/>
                <w:lang w:val="it-IT" w:eastAsia="it-IT"/>
              </w:rPr>
            </w:r>
          </w:p>
        </w:tc>
        <w:tc>
          <w:tcPr>
            <w:shd w:val="clear" w:color="auto" w:fill="auto"/>
            <w:tcBorders/>
            <w:tcW w:w="2381"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Non ci sono garanzie sul controllo del pericolo chimico/radioattivo</w:t>
            </w:r>
            <w:r>
              <w:rPr>
                <w:rFonts w:asciiTheme="minorHAnsi" w:hAnsiTheme="minorHAnsi" w:cstheme="minorHAnsi"/>
                <w:sz w:val="22"/>
                <w:szCs w:val="22"/>
                <w:lang w:val="it-IT" w:eastAsia="it-IT"/>
              </w:rPr>
            </w:r>
          </w:p>
        </w:tc>
        <w:tc>
          <w:tcPr>
            <w:shd w:val="clear" w:color="auto" w:fill="auto"/>
            <w:tcBorders/>
            <w:tcW w:w="269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fornisce una dichiarazione generica</w:t>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ha formalizzato un piano di campionamento</w:t>
            </w:r>
            <w:r>
              <w:rPr>
                <w:rFonts w:asciiTheme="minorHAnsi" w:hAnsiTheme="minorHAnsi" w:cstheme="minorHAnsi"/>
                <w:sz w:val="22"/>
                <w:szCs w:val="22"/>
                <w:lang w:val="it-IT" w:eastAsia="it-IT"/>
              </w:rPr>
            </w:r>
          </w:p>
        </w:tc>
        <w:tc>
          <w:tcPr>
            <w:shd w:val="clear" w:color="auto" w:fill="auto"/>
            <w:tcBorders/>
            <w:tcW w:w="3147"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fornitore ha formalizzato un piano di campionamento e può fornire esiti di analisi ad ogni fornitura</w:t>
            </w:r>
            <w:r>
              <w:rPr>
                <w:rFonts w:asciiTheme="minorHAnsi" w:hAnsiTheme="minorHAnsi" w:cstheme="minorHAnsi"/>
                <w:sz w:val="22"/>
                <w:szCs w:val="22"/>
                <w:lang w:val="it-IT" w:eastAsia="it-IT"/>
              </w:rPr>
            </w:r>
          </w:p>
        </w:tc>
      </w:tr>
      <w:tr>
        <w:trPr/>
        <w:tc>
          <w:tcPr>
            <w:gridSpan w:val="2"/>
            <w:shd w:val="clear" w:color="auto" w:fill="auto"/>
            <w:tcBorders/>
            <w:tcW w:w="4248"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Contaminazione crociata tra varietà e specie</w:t>
            </w:r>
            <w:r>
              <w:rPr>
                <w:rFonts w:asciiTheme="minorHAnsi" w:hAnsiTheme="minorHAnsi" w:cstheme="minorHAnsi"/>
                <w:sz w:val="22"/>
                <w:szCs w:val="22"/>
                <w:lang w:val="it-IT" w:eastAsia="it-IT"/>
              </w:rPr>
            </w:r>
          </w:p>
        </w:tc>
        <w:tc>
          <w:tcPr>
            <w:shd w:val="clear" w:color="auto" w:fill="auto"/>
            <w:tcBorders/>
            <w:tcW w:w="2381"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Esistono alcune varietà/specie che possono essere confuse con la materia prima e ci sono stati in passato casi di contaminazioni</w:t>
            </w:r>
            <w:r>
              <w:rPr>
                <w:rFonts w:asciiTheme="minorHAnsi" w:hAnsiTheme="minorHAnsi" w:cstheme="minorHAnsi"/>
                <w:sz w:val="22"/>
                <w:szCs w:val="22"/>
                <w:lang w:val="it-IT" w:eastAsia="it-IT"/>
              </w:rPr>
            </w:r>
          </w:p>
        </w:tc>
        <w:tc>
          <w:tcPr>
            <w:shd w:val="clear" w:color="auto" w:fill="auto"/>
            <w:tcBorders/>
            <w:tcW w:w="269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La materia prima è riconoscibile per alcune sue caratteristiche, ma in passato sono state riscontrate contaminazioni tra specie/varietà differenti</w:t>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La materia prima è abbastanza riconoscibile per le sue caratteristiche</w:t>
            </w:r>
            <w:r>
              <w:rPr>
                <w:rFonts w:asciiTheme="minorHAnsi" w:hAnsiTheme="minorHAnsi" w:cstheme="minorHAnsi"/>
                <w:sz w:val="22"/>
                <w:szCs w:val="22"/>
                <w:lang w:val="it-IT" w:eastAsia="it-IT"/>
              </w:rPr>
            </w:r>
          </w:p>
        </w:tc>
        <w:tc>
          <w:tcPr>
            <w:shd w:val="clear" w:color="auto" w:fill="auto"/>
            <w:tcBorders/>
            <w:tcW w:w="3147"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Non è possibile confondere la materia prima in questione con altra materia prima, data la sua unicità</w:t>
            </w:r>
            <w:r>
              <w:rPr>
                <w:rFonts w:asciiTheme="minorHAnsi" w:hAnsiTheme="minorHAnsi" w:cstheme="minorHAnsi"/>
                <w:sz w:val="22"/>
                <w:szCs w:val="22"/>
                <w:lang w:val="it-IT" w:eastAsia="it-IT"/>
              </w:rPr>
            </w:r>
          </w:p>
        </w:tc>
      </w:tr>
      <w:tr>
        <w:trPr/>
        <w:tc>
          <w:tcPr>
            <w:shd w:val="clear" w:color="auto" w:fill="auto"/>
            <w:tcBorders/>
            <w:tcW w:w="1696" w:type="dxa"/>
            <w:vMerge w:val="restart"/>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Contraffazione o frode</w:t>
            </w:r>
            <w:r>
              <w:rPr>
                <w:rFonts w:asciiTheme="minorHAnsi" w:hAnsiTheme="minorHAnsi" w:cstheme="minorHAnsi"/>
                <w:sz w:val="22"/>
                <w:szCs w:val="22"/>
                <w:lang w:val="it-IT" w:eastAsia="it-IT"/>
              </w:rPr>
            </w:r>
          </w:p>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Si assegna un punteggio da 1 a </w:t>
            </w:r>
            <w:r>
              <w:rPr>
                <w:rFonts w:asciiTheme="minorHAnsi" w:hAnsiTheme="minorHAnsi" w:cstheme="minorHAnsi"/>
                <w:sz w:val="22"/>
                <w:szCs w:val="22"/>
                <w:lang w:val="it-IT" w:eastAsia="it-IT"/>
              </w:rPr>
              <w:t xml:space="preserve">4, per ciascuna voce.</w:t>
            </w:r>
            <w:r>
              <w:rPr>
                <w:rFonts w:asciiTheme="minorHAnsi" w:hAnsiTheme="minorHAnsi" w:cstheme="minorHAnsi"/>
                <w:sz w:val="22"/>
                <w:szCs w:val="22"/>
                <w:lang w:val="it-IT" w:eastAsia="it-IT"/>
              </w:rPr>
            </w:r>
          </w:p>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La valutazione finale è la seguente:</w:t>
            </w:r>
            <w:r>
              <w:rPr>
                <w:rFonts w:asciiTheme="minorHAnsi" w:hAnsiTheme="minorHAnsi" w:cstheme="minorHAnsi"/>
                <w:sz w:val="22"/>
                <w:szCs w:val="22"/>
                <w:lang w:val="it-IT" w:eastAsia="it-IT"/>
              </w:rPr>
            </w:r>
          </w:p>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da 5 a 8: insufficiente (1)</w:t>
            </w:r>
            <w:r>
              <w:rPr>
                <w:rFonts w:asciiTheme="minorHAnsi" w:hAnsiTheme="minorHAnsi" w:cstheme="minorHAnsi"/>
                <w:sz w:val="22"/>
                <w:szCs w:val="22"/>
                <w:lang w:val="it-IT" w:eastAsia="it-IT"/>
              </w:rPr>
            </w:r>
          </w:p>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da 9 a 12: </w:t>
            </w:r>
            <w:r>
              <w:rPr>
                <w:rFonts w:asciiTheme="minorHAnsi" w:hAnsiTheme="minorHAnsi" w:cstheme="minorHAnsi"/>
                <w:sz w:val="22"/>
                <w:szCs w:val="22"/>
                <w:u w:val="single"/>
                <w:lang w:val="it-IT" w:eastAsia="it-IT"/>
              </w:rPr>
              <w:t xml:space="preserve">sufficiente </w:t>
            </w:r>
            <w:r>
              <w:rPr>
                <w:rFonts w:asciiTheme="minorHAnsi" w:hAnsiTheme="minorHAnsi" w:cstheme="minorHAnsi"/>
                <w:sz w:val="22"/>
                <w:szCs w:val="22"/>
                <w:lang w:val="it-IT" w:eastAsia="it-IT"/>
              </w:rPr>
              <w:t xml:space="preserve">(2)</w:t>
            </w:r>
            <w:r>
              <w:rPr>
                <w:rFonts w:asciiTheme="minorHAnsi" w:hAnsiTheme="minorHAnsi" w:cstheme="minorHAnsi"/>
                <w:sz w:val="22"/>
                <w:szCs w:val="22"/>
                <w:lang w:val="it-IT" w:eastAsia="it-IT"/>
              </w:rPr>
            </w:r>
          </w:p>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da 13 a 16: </w:t>
            </w:r>
            <w:r>
              <w:rPr>
                <w:rFonts w:asciiTheme="minorHAnsi" w:hAnsiTheme="minorHAnsi" w:cstheme="minorHAnsi"/>
                <w:sz w:val="22"/>
                <w:szCs w:val="22"/>
                <w:u w:val="single"/>
                <w:lang w:val="it-IT" w:eastAsia="it-IT"/>
              </w:rPr>
              <w:t xml:space="preserve">buono </w:t>
            </w:r>
            <w:r>
              <w:rPr>
                <w:rFonts w:asciiTheme="minorHAnsi" w:hAnsiTheme="minorHAnsi" w:cstheme="minorHAnsi"/>
                <w:sz w:val="22"/>
                <w:szCs w:val="22"/>
                <w:lang w:val="it-IT" w:eastAsia="it-IT"/>
              </w:rPr>
              <w:t xml:space="preserve">(3)</w:t>
            </w:r>
            <w:r>
              <w:rPr>
                <w:rFonts w:asciiTheme="minorHAnsi" w:hAnsiTheme="minorHAnsi" w:cstheme="minorHAnsi"/>
                <w:sz w:val="22"/>
                <w:szCs w:val="22"/>
                <w:lang w:val="it-IT" w:eastAsia="it-IT"/>
              </w:rPr>
            </w:r>
          </w:p>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da 17 a 20: </w:t>
            </w:r>
            <w:r>
              <w:rPr>
                <w:rFonts w:asciiTheme="minorHAnsi" w:hAnsiTheme="minorHAnsi" w:cstheme="minorHAnsi"/>
                <w:sz w:val="22"/>
                <w:szCs w:val="22"/>
                <w:u w:val="single"/>
                <w:lang w:val="it-IT" w:eastAsia="it-IT"/>
              </w:rPr>
              <w:t xml:space="preserve">ottimo </w:t>
            </w:r>
            <w:r>
              <w:rPr>
                <w:rFonts w:asciiTheme="minorHAnsi" w:hAnsiTheme="minorHAnsi" w:cstheme="minorHAnsi"/>
                <w:sz w:val="22"/>
                <w:szCs w:val="22"/>
                <w:lang w:val="it-IT" w:eastAsia="it-IT"/>
              </w:rPr>
              <w:t xml:space="preserve">(4)</w:t>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Evidenze storiche di contraffazione o adulterazione</w:t>
            </w:r>
            <w:r>
              <w:rPr>
                <w:rFonts w:asciiTheme="minorHAnsi" w:hAnsiTheme="minorHAnsi" w:cstheme="minorHAnsi"/>
                <w:sz w:val="22"/>
                <w:szCs w:val="22"/>
                <w:lang w:val="it-IT" w:eastAsia="it-IT"/>
              </w:rPr>
            </w:r>
          </w:p>
        </w:tc>
        <w:tc>
          <w:tcPr>
            <w:shd w:val="clear" w:color="auto" w:fill="auto"/>
            <w:tcBorders/>
            <w:tcW w:w="2381"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prodotto è storicamente soggetto a contraffazione o adulterazione</w:t>
            </w:r>
            <w:r>
              <w:rPr>
                <w:rFonts w:asciiTheme="minorHAnsi" w:hAnsiTheme="minorHAnsi" w:cstheme="minorHAnsi"/>
                <w:sz w:val="22"/>
                <w:szCs w:val="22"/>
                <w:lang w:val="it-IT" w:eastAsia="it-IT"/>
              </w:rPr>
            </w:r>
          </w:p>
        </w:tc>
        <w:tc>
          <w:tcPr>
            <w:shd w:val="clear" w:color="auto" w:fill="auto"/>
            <w:tcBorders/>
            <w:tcW w:w="269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prodotto talvolta è stato oggetto di contraffazione o adulterazione</w:t>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prodotto raramente è stato soggetto a contraffazione o adulterazione</w:t>
            </w:r>
            <w:r>
              <w:rPr>
                <w:rFonts w:asciiTheme="minorHAnsi" w:hAnsiTheme="minorHAnsi" w:cstheme="minorHAnsi"/>
                <w:sz w:val="22"/>
                <w:szCs w:val="22"/>
                <w:lang w:val="it-IT" w:eastAsia="it-IT"/>
              </w:rPr>
            </w:r>
          </w:p>
        </w:tc>
        <w:tc>
          <w:tcPr>
            <w:shd w:val="clear" w:color="auto" w:fill="auto"/>
            <w:tcBorders/>
            <w:tcW w:w="3147"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prodotto non è mai stato soggetto a contraffazione o adulterazione</w:t>
            </w:r>
            <w:r>
              <w:rPr>
                <w:rFonts w:asciiTheme="minorHAnsi" w:hAnsiTheme="minorHAnsi" w:cstheme="minorHAnsi"/>
                <w:sz w:val="22"/>
                <w:szCs w:val="22"/>
                <w:lang w:val="it-IT" w:eastAsia="it-IT"/>
              </w:rPr>
            </w:r>
          </w:p>
        </w:tc>
      </w:tr>
      <w:tr>
        <w:trPr/>
        <w:tc>
          <w:tcPr>
            <w:shd w:val="clear" w:color="auto" w:fill="auto"/>
            <w:tcBorders/>
            <w:tcW w:w="1696" w:type="dxa"/>
            <w:vMerge w:val="continue"/>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Fattori economici che possano rendere adulterazioni e contraffazioni maggiormente remunerative</w:t>
            </w:r>
            <w:r>
              <w:rPr>
                <w:rFonts w:asciiTheme="minorHAnsi" w:hAnsiTheme="minorHAnsi" w:cstheme="minorHAnsi"/>
                <w:sz w:val="22"/>
                <w:szCs w:val="22"/>
                <w:lang w:val="it-IT" w:eastAsia="it-IT"/>
              </w:rPr>
            </w:r>
          </w:p>
        </w:tc>
        <w:tc>
          <w:tcPr>
            <w:shd w:val="clear" w:color="auto" w:fill="auto"/>
            <w:tcBorders/>
            <w:tcW w:w="2381"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L’adulterazione o la contraffazione sono facilmente attuabili e altamente remunerative</w:t>
            </w:r>
            <w:r>
              <w:rPr>
                <w:rFonts w:asciiTheme="minorHAnsi" w:hAnsiTheme="minorHAnsi" w:cstheme="minorHAnsi"/>
                <w:sz w:val="22"/>
                <w:szCs w:val="22"/>
                <w:lang w:val="it-IT" w:eastAsia="it-IT"/>
              </w:rPr>
            </w:r>
          </w:p>
        </w:tc>
        <w:tc>
          <w:tcPr>
            <w:shd w:val="clear" w:color="auto" w:fill="auto"/>
            <w:tcBorders/>
            <w:tcW w:w="269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Esiste convenienza economica nell’effettuare attività di contraffazione o adulterazione sulle materie prime</w:t>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Attività di adulterazione e contraffazione sono realizzabili con costi alti e marginazione molto bassa</w:t>
            </w:r>
            <w:r>
              <w:rPr>
                <w:rFonts w:asciiTheme="minorHAnsi" w:hAnsiTheme="minorHAnsi" w:cstheme="minorHAnsi"/>
                <w:sz w:val="22"/>
                <w:szCs w:val="22"/>
                <w:lang w:val="it-IT" w:eastAsia="it-IT"/>
              </w:rPr>
            </w:r>
          </w:p>
        </w:tc>
        <w:tc>
          <w:tcPr>
            <w:shd w:val="clear" w:color="auto" w:fill="auto"/>
            <w:tcBorders/>
            <w:tcW w:w="3147"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Non risultano vantaggi economici</w:t>
            </w:r>
            <w:r>
              <w:rPr>
                <w:rFonts w:asciiTheme="minorHAnsi" w:hAnsiTheme="minorHAnsi" w:cstheme="minorHAnsi"/>
                <w:sz w:val="22"/>
                <w:szCs w:val="22"/>
                <w:lang w:val="it-IT" w:eastAsia="it-IT"/>
              </w:rPr>
            </w:r>
          </w:p>
        </w:tc>
      </w:tr>
      <w:tr>
        <w:trPr/>
        <w:tc>
          <w:tcPr>
            <w:shd w:val="clear" w:color="auto" w:fill="auto"/>
            <w:tcBorders/>
            <w:tcW w:w="1696" w:type="dxa"/>
            <w:vMerge w:val="continue"/>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Facilità di accesso all</w:t>
            </w:r>
            <w:r>
              <w:rPr>
                <w:rFonts w:asciiTheme="minorHAnsi" w:hAnsiTheme="minorHAnsi" w:cstheme="minorHAnsi"/>
                <w:sz w:val="22"/>
                <w:szCs w:val="22"/>
                <w:lang w:val="it-IT" w:eastAsia="it-IT"/>
              </w:rPr>
              <w:t xml:space="preserve">e </w:t>
            </w:r>
            <w:r>
              <w:rPr>
                <w:rFonts w:asciiTheme="minorHAnsi" w:hAnsiTheme="minorHAnsi" w:cstheme="minorHAnsi"/>
                <w:sz w:val="22"/>
                <w:szCs w:val="22"/>
                <w:lang w:val="it-IT" w:eastAsia="it-IT"/>
              </w:rPr>
              <w:t xml:space="preserve">materie prime lungo la catena di fornitura</w:t>
            </w:r>
            <w:r>
              <w:rPr>
                <w:rFonts w:asciiTheme="minorHAnsi" w:hAnsiTheme="minorHAnsi" w:cstheme="minorHAnsi"/>
                <w:sz w:val="22"/>
                <w:szCs w:val="22"/>
                <w:lang w:val="it-IT" w:eastAsia="it-IT"/>
              </w:rPr>
            </w:r>
          </w:p>
        </w:tc>
        <w:tc>
          <w:tcPr>
            <w:shd w:val="clear" w:color="auto" w:fill="auto"/>
            <w:tcBorders/>
            <w:tcW w:w="2381"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prodotto viene consegnato attraverso molti intermediari e piattaforme</w:t>
            </w:r>
            <w:r>
              <w:rPr>
                <w:rFonts w:asciiTheme="minorHAnsi" w:hAnsiTheme="minorHAnsi" w:cstheme="minorHAnsi"/>
                <w:sz w:val="22"/>
                <w:szCs w:val="22"/>
                <w:lang w:val="it-IT" w:eastAsia="it-IT"/>
              </w:rPr>
            </w:r>
          </w:p>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prodotto è sfuso  </w:t>
            </w:r>
            <w:r>
              <w:rPr>
                <w:rFonts w:asciiTheme="minorHAnsi" w:hAnsiTheme="minorHAnsi" w:cstheme="minorHAnsi"/>
                <w:sz w:val="22"/>
                <w:szCs w:val="22"/>
                <w:lang w:val="it-IT" w:eastAsia="it-IT"/>
              </w:rPr>
            </w:r>
          </w:p>
        </w:tc>
        <w:tc>
          <w:tcPr>
            <w:shd w:val="clear" w:color="auto" w:fill="auto"/>
            <w:tcBorders/>
            <w:tcW w:w="269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prodotto viene consegnato attraverso molti intermediari e piattaforme</w:t>
            </w:r>
            <w:r>
              <w:rPr>
                <w:rFonts w:asciiTheme="minorHAnsi" w:hAnsiTheme="minorHAnsi" w:cstheme="minorHAnsi"/>
                <w:sz w:val="22"/>
                <w:szCs w:val="22"/>
                <w:lang w:val="it-IT" w:eastAsia="it-IT"/>
              </w:rPr>
            </w:r>
          </w:p>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prodotto è confezionato</w:t>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prodotto viene fornito direttamente dal produttore, ma con mezzi non propri </w:t>
            </w:r>
            <w:r>
              <w:rPr>
                <w:rFonts w:asciiTheme="minorHAnsi" w:hAnsiTheme="minorHAnsi" w:cstheme="minorHAnsi"/>
                <w:sz w:val="22"/>
                <w:szCs w:val="22"/>
                <w:lang w:val="it-IT" w:eastAsia="it-IT"/>
              </w:rPr>
            </w:r>
          </w:p>
        </w:tc>
        <w:tc>
          <w:tcPr>
            <w:shd w:val="clear" w:color="auto" w:fill="auto"/>
            <w:tcBorders/>
            <w:tcW w:w="3147"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Il prodotto viene fornito direttamente dal produttore con mezzi propri </w:t>
            </w:r>
            <w:r>
              <w:rPr>
                <w:rFonts w:asciiTheme="minorHAnsi" w:hAnsiTheme="minorHAnsi" w:cstheme="minorHAnsi"/>
                <w:sz w:val="22"/>
                <w:szCs w:val="22"/>
                <w:lang w:val="it-IT" w:eastAsia="it-IT"/>
              </w:rPr>
            </w:r>
          </w:p>
        </w:tc>
      </w:tr>
      <w:tr>
        <w:trPr>
          <w:trHeight w:val="1152"/>
        </w:trPr>
        <w:tc>
          <w:tcPr>
            <w:shd w:val="clear" w:color="auto" w:fill="auto"/>
            <w:tcBorders/>
            <w:tcW w:w="1696" w:type="dxa"/>
            <w:vMerge w:val="continue"/>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Complessità dei test ordinari per identificare i prodotti adulterati</w:t>
            </w:r>
            <w:r>
              <w:rPr>
                <w:rFonts w:asciiTheme="minorHAnsi" w:hAnsiTheme="minorHAnsi" w:cstheme="minorHAnsi"/>
                <w:sz w:val="22"/>
                <w:szCs w:val="22"/>
                <w:lang w:val="it-IT" w:eastAsia="it-IT"/>
              </w:rPr>
            </w:r>
          </w:p>
        </w:tc>
        <w:tc>
          <w:tcPr>
            <w:shd w:val="clear" w:color="auto" w:fill="auto"/>
            <w:tcBorders/>
            <w:tcW w:w="2381"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Analisi che non riconoscono eventuali adulterazioni sui prodotti</w:t>
            </w:r>
            <w:r>
              <w:rPr>
                <w:rFonts w:asciiTheme="minorHAnsi" w:hAnsiTheme="minorHAnsi" w:cstheme="minorHAnsi"/>
                <w:sz w:val="22"/>
                <w:szCs w:val="22"/>
                <w:lang w:val="it-IT" w:eastAsia="it-IT"/>
              </w:rPr>
            </w:r>
          </w:p>
        </w:tc>
        <w:tc>
          <w:tcPr>
            <w:shd w:val="clear" w:color="auto" w:fill="auto"/>
            <w:tcBorders/>
            <w:tcW w:w="269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Analisi complesse e/o di lunga durata ma che riconoscono la contraffazione o l’adulterazione</w:t>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Analisi per la rilevazione disponibili e attendibili </w:t>
            </w:r>
            <w:r>
              <w:rPr>
                <w:rFonts w:asciiTheme="minorHAnsi" w:hAnsiTheme="minorHAnsi" w:cstheme="minorHAnsi"/>
                <w:sz w:val="22"/>
                <w:szCs w:val="22"/>
                <w:lang w:val="it-IT" w:eastAsia="it-IT"/>
              </w:rPr>
            </w:r>
          </w:p>
        </w:tc>
        <w:tc>
          <w:tcPr>
            <w:shd w:val="clear" w:color="auto" w:fill="auto"/>
            <w:tcBorders/>
            <w:tcW w:w="3147"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Test rapidi e attendibili con risultati veloci </w:t>
            </w:r>
            <w:r>
              <w:rPr>
                <w:rFonts w:asciiTheme="minorHAnsi" w:hAnsiTheme="minorHAnsi" w:cstheme="minorHAnsi"/>
                <w:sz w:val="22"/>
                <w:szCs w:val="22"/>
                <w:lang w:val="it-IT" w:eastAsia="it-IT"/>
              </w:rPr>
            </w:r>
          </w:p>
        </w:tc>
      </w:tr>
      <w:tr>
        <w:trPr/>
        <w:tc>
          <w:tcPr>
            <w:shd w:val="clear" w:color="auto" w:fill="auto"/>
            <w:tcBorders/>
            <w:tcW w:w="1696" w:type="dxa"/>
            <w:vMerge w:val="continue"/>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Tipologia della materia prima</w:t>
            </w:r>
            <w:r>
              <w:rPr>
                <w:rFonts w:asciiTheme="minorHAnsi" w:hAnsiTheme="minorHAnsi" w:cstheme="minorHAnsi"/>
                <w:sz w:val="22"/>
                <w:szCs w:val="22"/>
                <w:lang w:val="it-IT" w:eastAsia="it-IT"/>
              </w:rPr>
            </w:r>
          </w:p>
        </w:tc>
        <w:tc>
          <w:tcPr>
            <w:shd w:val="clear" w:color="auto" w:fill="auto"/>
            <w:tcBorders/>
            <w:tcW w:w="2381"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Facilmente effettuabile contraffazione o adulterazione in base alla natura del prodotto</w:t>
            </w:r>
            <w:r>
              <w:rPr>
                <w:rFonts w:asciiTheme="minorHAnsi" w:hAnsiTheme="minorHAnsi" w:cstheme="minorHAnsi"/>
                <w:sz w:val="22"/>
                <w:szCs w:val="22"/>
                <w:lang w:val="it-IT" w:eastAsia="it-IT"/>
              </w:rPr>
            </w:r>
          </w:p>
        </w:tc>
        <w:tc>
          <w:tcPr>
            <w:shd w:val="clear" w:color="auto" w:fill="auto"/>
            <w:tcBorders/>
            <w:tcW w:w="2693"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Effettuabile contraffazione o adulterazione in base alla natura del prodotto</w:t>
            </w:r>
            <w:r>
              <w:rPr>
                <w:rFonts w:asciiTheme="minorHAnsi" w:hAnsiTheme="minorHAnsi" w:cstheme="minorHAnsi"/>
                <w:sz w:val="22"/>
                <w:szCs w:val="22"/>
                <w:lang w:val="it-IT" w:eastAsia="it-IT"/>
              </w:rPr>
            </w:r>
          </w:p>
        </w:tc>
        <w:tc>
          <w:tcPr>
            <w:shd w:val="clear" w:color="auto" w:fill="auto"/>
            <w:tcBorders/>
            <w:tcW w:w="2552"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Difficilmente effettuabile contraffazione o adulterazione in base alla natura del prodotto</w:t>
            </w:r>
            <w:r>
              <w:rPr>
                <w:rFonts w:asciiTheme="minorHAnsi" w:hAnsiTheme="minorHAnsi" w:cstheme="minorHAnsi"/>
                <w:sz w:val="22"/>
                <w:szCs w:val="22"/>
                <w:lang w:val="it-IT" w:eastAsia="it-IT"/>
              </w:rPr>
            </w:r>
          </w:p>
        </w:tc>
        <w:tc>
          <w:tcPr>
            <w:shd w:val="clear" w:color="auto" w:fill="auto"/>
            <w:tcBorders/>
            <w:tcW w:w="3147" w:type="dxa"/>
            <w:textDirection w:val="lrTb"/>
            <w:noWrap w:val="false"/>
          </w:tcPr>
          <w:p>
            <w:pPr>
              <w:pStyle w:val="831"/>
              <w:pBdr/>
              <w:spacing/>
              <w:ind/>
              <w:rPr>
                <w:rFonts w:asciiTheme="minorHAnsi" w:hAnsiTheme="minorHAnsi" w:cstheme="minorHAnsi"/>
                <w:sz w:val="22"/>
                <w:szCs w:val="22"/>
                <w:lang w:val="it-IT" w:eastAsia="it-IT"/>
              </w:rPr>
            </w:pPr>
            <w:r>
              <w:rPr>
                <w:rFonts w:asciiTheme="minorHAnsi" w:hAnsiTheme="minorHAnsi" w:cstheme="minorHAnsi"/>
                <w:sz w:val="22"/>
                <w:szCs w:val="22"/>
                <w:lang w:val="it-IT" w:eastAsia="it-IT"/>
              </w:rPr>
              <w:t xml:space="preserve">Non effettuabile contraffazione o adulterazione in base alla natura del prodotto</w:t>
            </w:r>
            <w:r>
              <w:rPr>
                <w:rFonts w:asciiTheme="minorHAnsi" w:hAnsiTheme="minorHAnsi" w:cstheme="minorHAnsi"/>
                <w:sz w:val="22"/>
                <w:szCs w:val="22"/>
                <w:lang w:val="it-IT" w:eastAsia="it-IT"/>
              </w:rPr>
            </w:r>
          </w:p>
        </w:tc>
      </w:tr>
    </w:tbl>
    <w:p>
      <w:pPr>
        <w:pBdr/>
        <w:spacing/>
        <w:ind/>
        <w:rPr/>
        <w:sectPr>
          <w:footnotePr/>
          <w:endnotePr/>
          <w:type w:val="nextPage"/>
          <w:pgSz w:h="11906" w:orient="landscape" w:w="16838"/>
          <w:pgMar w:top="1134" w:right="1417" w:bottom="1134" w:left="1134" w:header="426" w:footer="708" w:gutter="0"/>
          <w:cols w:num="1" w:sep="0" w:space="708" w:equalWidth="1"/>
        </w:sectPr>
      </w:pPr>
      <w:r/>
      <w:r/>
    </w:p>
    <w:p>
      <w:pPr>
        <w:pBdr/>
        <w:spacing/>
        <w:ind/>
        <w:rPr>
          <w:rFonts w:asciiTheme="minorHAnsi" w:hAnsiTheme="minorHAnsi" w:cstheme="minorHAnsi"/>
          <w:sz w:val="22"/>
          <w:szCs w:val="18"/>
        </w:rPr>
      </w:pPr>
      <w:r>
        <w:rPr>
          <w:rFonts w:asciiTheme="minorHAnsi" w:hAnsiTheme="minorHAnsi" w:cstheme="minorHAnsi"/>
          <w:sz w:val="22"/>
          <w:szCs w:val="18"/>
        </w:rPr>
        <w:t xml:space="preserve">Tale sistema di valutazione, oltre a permettere di stabilire se la materia prima fornita è a rischio basso o alto, permette di valutare anche il livello di sicurezza alimentare complessiva del prodotto fornito.</w:t>
      </w:r>
      <w:r>
        <w:rPr>
          <w:rFonts w:asciiTheme="minorHAnsi" w:hAnsiTheme="minorHAnsi" w:cstheme="minorHAnsi"/>
          <w:sz w:val="22"/>
          <w:szCs w:val="18"/>
        </w:rPr>
      </w:r>
    </w:p>
    <w:p>
      <w:pPr>
        <w:pBdr/>
        <w:spacing/>
        <w:ind/>
        <w:rPr>
          <w:rFonts w:asciiTheme="minorHAnsi" w:hAnsiTheme="minorHAnsi" w:cstheme="minorHAnsi"/>
          <w:sz w:val="22"/>
          <w:szCs w:val="18"/>
        </w:rPr>
      </w:pPr>
      <w:r>
        <w:rPr>
          <w:rFonts w:asciiTheme="minorHAnsi" w:hAnsiTheme="minorHAnsi" w:cstheme="minorHAnsi"/>
          <w:sz w:val="22"/>
          <w:szCs w:val="18"/>
        </w:rPr>
      </w:r>
      <w:r>
        <w:rPr>
          <w:rFonts w:asciiTheme="minorHAnsi" w:hAnsiTheme="minorHAnsi" w:cstheme="minorHAnsi"/>
          <w:sz w:val="22"/>
          <w:szCs w:val="18"/>
        </w:rPr>
      </w:r>
    </w:p>
    <w:p>
      <w:pPr>
        <w:pBdr/>
        <w:spacing/>
        <w:ind/>
        <w:rPr>
          <w:rFonts w:asciiTheme="minorHAnsi" w:hAnsiTheme="minorHAnsi" w:cstheme="minorHAnsi"/>
          <w:sz w:val="22"/>
          <w:szCs w:val="18"/>
        </w:rPr>
      </w:pPr>
      <w:r>
        <w:rPr>
          <w:rFonts w:asciiTheme="minorHAnsi" w:hAnsiTheme="minorHAnsi" w:cstheme="minorHAnsi"/>
          <w:sz w:val="22"/>
          <w:szCs w:val="18"/>
        </w:rPr>
        <w:t xml:space="preserve">Nel caso in cui una materia prima abbia anche </w:t>
      </w:r>
      <w:r>
        <w:rPr>
          <w:rFonts w:asciiTheme="minorHAnsi" w:hAnsiTheme="minorHAnsi" w:cstheme="minorHAnsi"/>
          <w:sz w:val="22"/>
          <w:szCs w:val="18"/>
          <w:u w:val="single"/>
        </w:rPr>
        <w:t xml:space="preserve">un solo voto insufficiente</w:t>
      </w:r>
      <w:r>
        <w:rPr>
          <w:rFonts w:asciiTheme="minorHAnsi" w:hAnsiTheme="minorHAnsi" w:cstheme="minorHAnsi"/>
          <w:sz w:val="22"/>
          <w:szCs w:val="18"/>
        </w:rPr>
        <w:t xml:space="preserve"> (&lt;9 per adulterazione e contraffazione) verranno richiesti documenti integrativi alla ditta che lo fornisce, e nel caso anche essi siano insoddisfacenti, la materia prima sarà indicata come “a rischio ALTO”.</w:t>
      </w:r>
      <w:r>
        <w:rPr>
          <w:rFonts w:asciiTheme="minorHAnsi" w:hAnsiTheme="minorHAnsi" w:cstheme="minorHAnsi"/>
          <w:sz w:val="22"/>
          <w:szCs w:val="18"/>
        </w:rPr>
      </w:r>
    </w:p>
    <w:p>
      <w:pPr>
        <w:pBdr/>
        <w:spacing/>
        <w:ind/>
        <w:rPr>
          <w:rFonts w:asciiTheme="minorHAnsi" w:hAnsiTheme="minorHAnsi" w:cstheme="minorHAnsi"/>
          <w:sz w:val="22"/>
          <w:szCs w:val="18"/>
        </w:rPr>
      </w:pPr>
      <w:r>
        <w:rPr>
          <w:rFonts w:asciiTheme="minorHAnsi" w:hAnsiTheme="minorHAnsi" w:cstheme="minorHAnsi"/>
          <w:sz w:val="22"/>
          <w:szCs w:val="18"/>
        </w:rPr>
      </w:r>
      <w:r>
        <w:rPr>
          <w:rFonts w:asciiTheme="minorHAnsi" w:hAnsiTheme="minorHAnsi" w:cstheme="minorHAnsi"/>
          <w:sz w:val="22"/>
          <w:szCs w:val="18"/>
        </w:rPr>
      </w:r>
    </w:p>
    <w:p>
      <w:pPr>
        <w:pStyle w:val="809"/>
        <w:pBdr/>
        <w:spacing/>
        <w:ind/>
        <w:rPr>
          <w:rFonts w:asciiTheme="minorHAnsi" w:hAnsiTheme="minorHAnsi" w:cstheme="minorHAnsi"/>
          <w:sz w:val="22"/>
          <w:szCs w:val="18"/>
        </w:rPr>
      </w:pPr>
      <w:r>
        <w:rPr>
          <w:rFonts w:asciiTheme="minorHAnsi" w:hAnsiTheme="minorHAnsi" w:cstheme="minorHAnsi"/>
          <w:sz w:val="22"/>
          <w:szCs w:val="18"/>
        </w:rPr>
        <w:t xml:space="preserve">MISURE DI ATTENUAZIONE</w:t>
      </w:r>
      <w:r>
        <w:rPr>
          <w:rFonts w:asciiTheme="minorHAnsi" w:hAnsiTheme="minorHAnsi" w:cstheme="minorHAnsi"/>
          <w:sz w:val="22"/>
          <w:szCs w:val="18"/>
        </w:rPr>
      </w:r>
    </w:p>
    <w:p>
      <w:pPr>
        <w:pBdr/>
        <w:spacing/>
        <w:ind/>
        <w:rPr>
          <w:rFonts w:asciiTheme="minorHAnsi" w:hAnsiTheme="minorHAnsi" w:cstheme="minorHAnsi"/>
          <w:sz w:val="22"/>
          <w:szCs w:val="18"/>
        </w:rPr>
      </w:pPr>
      <w:r>
        <w:rPr>
          <w:rFonts w:asciiTheme="minorHAnsi" w:hAnsiTheme="minorHAnsi" w:cstheme="minorHAnsi"/>
          <w:sz w:val="22"/>
          <w:szCs w:val="18"/>
        </w:rPr>
        <w:t xml:space="preserve">Al fine di aumentare il punteggio d</w:t>
      </w:r>
      <w:r>
        <w:rPr>
          <w:rFonts w:asciiTheme="minorHAnsi" w:hAnsiTheme="minorHAnsi" w:cstheme="minorHAnsi"/>
          <w:sz w:val="22"/>
          <w:szCs w:val="18"/>
        </w:rPr>
        <w:t xml:space="preserve">i talune materie prime che hanno ottenuto un punteggio molto basso, al disotto della media, ma anche per aumentare il livello di sicurezza delle materie prime con punteggio già accettabile vengono effettuate dall’azienda le seguenti misure di attenuazione:</w:t>
      </w:r>
      <w:r>
        <w:rPr>
          <w:rFonts w:asciiTheme="minorHAnsi" w:hAnsiTheme="minorHAnsi" w:cstheme="minorHAnsi"/>
          <w:sz w:val="22"/>
          <w:szCs w:val="18"/>
        </w:rPr>
      </w:r>
    </w:p>
    <w:p>
      <w:pPr>
        <w:numPr>
          <w:ilvl w:val="0"/>
          <w:numId w:val="3"/>
        </w:numPr>
        <w:pBdr/>
        <w:spacing/>
        <w:ind/>
        <w:rPr>
          <w:rFonts w:asciiTheme="minorHAnsi" w:hAnsiTheme="minorHAnsi" w:cstheme="minorHAnsi"/>
          <w:sz w:val="22"/>
          <w:szCs w:val="18"/>
        </w:rPr>
      </w:pPr>
      <w:r>
        <w:rPr>
          <w:rFonts w:asciiTheme="minorHAnsi" w:hAnsiTheme="minorHAnsi" w:cstheme="minorHAnsi"/>
          <w:sz w:val="22"/>
          <w:szCs w:val="18"/>
        </w:rPr>
        <w:t xml:space="preserve">scelta di fornitori certificati, con sistemi riconosciuti dal GSFI o da altri sistemi di certificazione, compreso la ISO 9001, 10854, 22000, etc. </w:t>
      </w:r>
      <w:r>
        <w:rPr>
          <w:rFonts w:asciiTheme="minorHAnsi" w:hAnsiTheme="minorHAnsi" w:cstheme="minorHAnsi"/>
          <w:sz w:val="22"/>
          <w:szCs w:val="18"/>
        </w:rPr>
      </w:r>
    </w:p>
    <w:p>
      <w:pPr>
        <w:numPr>
          <w:ilvl w:val="0"/>
          <w:numId w:val="3"/>
        </w:numPr>
        <w:pBdr/>
        <w:spacing/>
        <w:ind/>
        <w:rPr>
          <w:rFonts w:asciiTheme="minorHAnsi" w:hAnsiTheme="minorHAnsi" w:cstheme="minorHAnsi"/>
          <w:sz w:val="22"/>
          <w:szCs w:val="18"/>
        </w:rPr>
      </w:pPr>
      <w:r>
        <w:rPr>
          <w:rFonts w:asciiTheme="minorHAnsi" w:hAnsiTheme="minorHAnsi" w:cstheme="minorHAnsi"/>
          <w:sz w:val="22"/>
          <w:szCs w:val="18"/>
        </w:rPr>
        <w:t xml:space="preserve">s</w:t>
      </w:r>
      <w:r>
        <w:rPr>
          <w:rFonts w:asciiTheme="minorHAnsi" w:hAnsiTheme="minorHAnsi" w:cstheme="minorHAnsi"/>
          <w:sz w:val="22"/>
          <w:szCs w:val="18"/>
        </w:rPr>
        <w:t xml:space="preserve">celta di fornitori più importanti, più grandi, a diffusione nazionale, europea, mondiali, quindi più affidabili rispetto al fornitore locale; vale anche per le spedizioni che vengono effettuate dal Cannolificio; tutto questo anche se essi sono più costosi;</w:t>
      </w:r>
      <w:r>
        <w:rPr>
          <w:rFonts w:asciiTheme="minorHAnsi" w:hAnsiTheme="minorHAnsi" w:cstheme="minorHAnsi"/>
          <w:sz w:val="22"/>
          <w:szCs w:val="18"/>
        </w:rPr>
      </w:r>
    </w:p>
    <w:p>
      <w:pPr>
        <w:numPr>
          <w:ilvl w:val="0"/>
          <w:numId w:val="3"/>
        </w:numPr>
        <w:pBdr/>
        <w:spacing/>
        <w:ind/>
        <w:rPr>
          <w:rFonts w:asciiTheme="minorHAnsi" w:hAnsiTheme="minorHAnsi" w:cstheme="minorHAnsi"/>
          <w:sz w:val="22"/>
          <w:szCs w:val="18"/>
        </w:rPr>
      </w:pPr>
      <w:r>
        <w:rPr>
          <w:rFonts w:asciiTheme="minorHAnsi" w:hAnsiTheme="minorHAnsi" w:cstheme="minorHAnsi"/>
          <w:sz w:val="22"/>
          <w:szCs w:val="18"/>
        </w:rPr>
        <w:t xml:space="preserve">richiesta di pallettizzazione a tutti i fornitori e pallettizzazione di tutti i prodotti in spedizione</w:t>
      </w:r>
      <w:r>
        <w:rPr>
          <w:rFonts w:asciiTheme="minorHAnsi" w:hAnsiTheme="minorHAnsi" w:cstheme="minorHAnsi"/>
          <w:sz w:val="22"/>
          <w:szCs w:val="18"/>
        </w:rPr>
      </w:r>
    </w:p>
    <w:p>
      <w:pPr>
        <w:numPr>
          <w:ilvl w:val="0"/>
          <w:numId w:val="3"/>
        </w:numPr>
        <w:pBdr/>
        <w:spacing/>
        <w:ind/>
        <w:rPr>
          <w:rFonts w:asciiTheme="minorHAnsi" w:hAnsiTheme="minorHAnsi" w:cstheme="minorHAnsi"/>
          <w:sz w:val="22"/>
          <w:szCs w:val="18"/>
        </w:rPr>
      </w:pPr>
      <w:r>
        <w:rPr>
          <w:rFonts w:asciiTheme="minorHAnsi" w:hAnsiTheme="minorHAnsi" w:cstheme="minorHAnsi"/>
          <w:sz w:val="22"/>
          <w:szCs w:val="18"/>
        </w:rPr>
        <w:t xml:space="preserve">eventuale scelta di materie prime alternative, più difficilmente contraffabili;</w:t>
      </w:r>
      <w:r>
        <w:rPr>
          <w:rFonts w:asciiTheme="minorHAnsi" w:hAnsiTheme="minorHAnsi" w:cstheme="minorHAnsi"/>
          <w:sz w:val="22"/>
          <w:szCs w:val="18"/>
        </w:rPr>
      </w:r>
    </w:p>
    <w:p>
      <w:pPr>
        <w:numPr>
          <w:ilvl w:val="0"/>
          <w:numId w:val="3"/>
        </w:numPr>
        <w:pBdr/>
        <w:spacing/>
        <w:ind/>
        <w:rPr>
          <w:rFonts w:asciiTheme="minorHAnsi" w:hAnsiTheme="minorHAnsi" w:cstheme="minorHAnsi"/>
          <w:sz w:val="22"/>
          <w:szCs w:val="18"/>
        </w:rPr>
      </w:pPr>
      <w:r>
        <w:rPr>
          <w:rFonts w:asciiTheme="minorHAnsi" w:hAnsiTheme="minorHAnsi" w:cstheme="minorHAnsi"/>
          <w:sz w:val="22"/>
          <w:szCs w:val="18"/>
        </w:rPr>
        <w:t xml:space="preserve">eventuale scelta di materie prime più facili di analizzare.</w:t>
      </w:r>
      <w:r>
        <w:rPr>
          <w:rFonts w:asciiTheme="minorHAnsi" w:hAnsiTheme="minorHAnsi" w:cstheme="minorHAnsi"/>
          <w:sz w:val="22"/>
          <w:szCs w:val="18"/>
        </w:rPr>
      </w:r>
    </w:p>
    <w:p>
      <w:pPr>
        <w:pBdr/>
        <w:spacing/>
        <w:ind/>
        <w:rPr>
          <w:rFonts w:asciiTheme="minorHAnsi" w:hAnsiTheme="minorHAnsi" w:cstheme="minorHAnsi"/>
          <w:sz w:val="22"/>
          <w:szCs w:val="18"/>
        </w:rPr>
      </w:pPr>
      <w:r>
        <w:rPr>
          <w:rFonts w:asciiTheme="minorHAnsi" w:hAnsiTheme="minorHAnsi" w:cstheme="minorHAnsi"/>
          <w:sz w:val="22"/>
          <w:szCs w:val="18"/>
        </w:rPr>
      </w:r>
      <w:r>
        <w:rPr>
          <w:rFonts w:asciiTheme="minorHAnsi" w:hAnsiTheme="minorHAnsi" w:cstheme="minorHAnsi"/>
          <w:sz w:val="22"/>
          <w:szCs w:val="18"/>
        </w:rPr>
      </w:r>
    </w:p>
    <w:sectPr>
      <w:footnotePr/>
      <w:endnotePr/>
      <w:type w:val="nextPage"/>
      <w:pgSz w:h="16838" w:orient="portrait" w:w="11906"/>
      <w:pgMar w:top="1417" w:right="1134" w:bottom="1134" w:left="1134"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Symbol">
    <w:panose1 w:val="05010000000000000000"/>
  </w:font>
  <w:font w:name="Courier New">
    <w:panose1 w:val="02070309020205020404"/>
  </w:font>
  <w:font w:name="Wingdings">
    <w:panose1 w:val="05010000000000000000"/>
  </w:font>
  <w:font w:name="Tahoma">
    <w:panose1 w:val="020B060403050404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left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Style w:val="11"/>
    </w:tblPr>
    <w:tblGrid>
      <w:gridCol w:w="1842"/>
      <w:gridCol w:w="5333"/>
      <w:gridCol w:w="2463"/>
    </w:tblGrid>
    <w:tr>
      <w:trPr>
        <w:trHeight w:val="977"/>
      </w:trPr>
      <w:tc>
        <w:tcPr>
          <w:tcBorders>
            <w:top w:val="single" w:color="000000" w:sz="12" w:space="0"/>
            <w:left w:val="none" w:color="000000" w:sz="4" w:space="0"/>
            <w:bottom w:val="single" w:color="000000" w:sz="12" w:space="0"/>
            <w:right w:val="none" w:color="000000" w:sz="4" w:space="0"/>
          </w:tcBorders>
          <w:tcW w:w="1842" w:type="dxa"/>
          <w:vAlign w:val="center"/>
          <w:textDirection w:val="lrTb"/>
          <w:noWrap w:val="false"/>
        </w:tcPr>
        <w:p>
          <w:pPr>
            <w:pStyle w:val="828"/>
            <w:pBdr/>
            <w:spacing/>
            <w:ind/>
            <w:rPr/>
          </w:pPr>
          <w:r>
            <mc:AlternateContent>
              <mc:Choice Requires="wpg">
                <w:drawing>
                  <wp:inline xmlns:wp="http://schemas.openxmlformats.org/drawingml/2006/wordprocessingDrawing" distT="0" distB="0" distL="0" distR="0">
                    <wp:extent cx="1079205" cy="51216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5058" name=""/>
                            <pic:cNvPicPr>
                              <a:picLocks noChangeAspect="1"/>
                            </pic:cNvPicPr>
                            <pic:nvPr/>
                          </pic:nvPicPr>
                          <pic:blipFill>
                            <a:blip r:embed="rId1"/>
                            <a:stretch/>
                          </pic:blipFill>
                          <pic:spPr bwMode="auto">
                            <a:xfrm flipH="0" flipV="0">
                              <a:off x="0" y="0"/>
                              <a:ext cx="1079202" cy="5121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4.98pt;height:40.33pt;mso-wrap-distance-left:0.00pt;mso-wrap-distance-top:0.00pt;mso-wrap-distance-right:0.00pt;mso-wrap-distance-bottom:0.00pt;z-index:1;" stroked="false">
                    <v:imagedata r:id="rId1" o:title=""/>
                    <o:lock v:ext="edit" rotation="t"/>
                  </v:shape>
                </w:pict>
              </mc:Fallback>
            </mc:AlternateContent>
          </w:r>
          <w:r/>
          <w:r/>
        </w:p>
      </w:tc>
      <w:tc>
        <w:tcPr>
          <w:tcBorders>
            <w:top w:val="single" w:color="000000" w:sz="12" w:space="0"/>
            <w:left w:val="none" w:color="000000" w:sz="4" w:space="0"/>
            <w:bottom w:val="single" w:color="000000" w:sz="12" w:space="0"/>
            <w:right w:val="none" w:color="000000" w:sz="4" w:space="0"/>
          </w:tcBorders>
          <w:tcW w:w="5333" w:type="dxa"/>
          <w:vAlign w:val="center"/>
          <w:textDirection w:val="lrTb"/>
          <w:noWrap w:val="false"/>
        </w:tcPr>
        <w:p>
          <w:pPr>
            <w:pStyle w:val="828"/>
            <w:pBdr/>
            <w:spacing/>
            <w:ind/>
            <w:jc w:val="center"/>
            <w:rPr>
              <w:rFonts w:ascii="Verdana" w:hAnsi="Verdana" w:cs="Verdana"/>
              <w:b/>
              <w:bCs/>
              <w:sz w:val="18"/>
              <w:szCs w:val="18"/>
            </w:rPr>
          </w:pPr>
          <w:r>
            <w:rPr>
              <w:rFonts w:ascii="Verdana" w:hAnsi="Verdana" w:eastAsia="Verdana" w:cs="Verdana"/>
              <w:b/>
              <w:bCs/>
              <w:sz w:val="22"/>
              <w:szCs w:val="22"/>
            </w:rPr>
            <w:t xml:space="preserve">VALUTAZIONE FOOD FRAUD</w:t>
          </w:r>
          <w:r>
            <w:rPr>
              <w:rFonts w:ascii="Verdana" w:hAnsi="Verdana" w:cs="Verdana"/>
              <w:b/>
              <w:bCs/>
              <w:sz w:val="18"/>
              <w:szCs w:val="18"/>
            </w:rPr>
          </w:r>
        </w:p>
      </w:tc>
      <w:tc>
        <w:tcPr>
          <w:tcBorders>
            <w:top w:val="single" w:color="000000" w:sz="12" w:space="0"/>
            <w:left w:val="none" w:color="000000" w:sz="4" w:space="0"/>
            <w:bottom w:val="single" w:color="000000" w:sz="12" w:space="0"/>
            <w:right w:val="none" w:color="000000" w:sz="4" w:space="0"/>
          </w:tcBorders>
          <w:tcW w:w="2463" w:type="dxa"/>
          <w:vAlign w:val="center"/>
          <w:textDirection w:val="lrTb"/>
          <w:noWrap w:val="false"/>
        </w:tcPr>
        <w:p>
          <w:pPr>
            <w:pStyle w:val="828"/>
            <w:pBdr/>
            <w:spacing/>
            <w:ind/>
            <w:rPr>
              <w:rFonts w:ascii="Verdana" w:hAnsi="Verdana" w:cs="Verdana"/>
              <w:sz w:val="18"/>
              <w:szCs w:val="18"/>
            </w:rPr>
          </w:pPr>
          <w:r>
            <w:rPr>
              <w:rFonts w:ascii="Verdana" w:hAnsi="Verdana" w:eastAsia="Verdana" w:cs="Verdana"/>
              <w:sz w:val="18"/>
              <w:szCs w:val="18"/>
            </w:rPr>
            <w:t xml:space="preserve">P</w:t>
          </w:r>
          <w:r>
            <w:rPr>
              <w:rFonts w:ascii="Verdana" w:hAnsi="Verdana" w:eastAsia="Verdana" w:cs="Verdana"/>
              <w:sz w:val="18"/>
              <w:szCs w:val="18"/>
            </w:rPr>
            <w:t xml:space="preserve"> 08.05</w:t>
          </w:r>
          <w:r>
            <w:rPr>
              <w:rFonts w:ascii="Verdana" w:hAnsi="Verdana" w:eastAsia="Verdana" w:cs="Verdana"/>
              <w:sz w:val="18"/>
              <w:szCs w:val="18"/>
            </w:rPr>
            <w:t xml:space="preserve"> </w:t>
          </w:r>
          <w:r>
            <w:rPr>
              <w:rFonts w:ascii="Verdana" w:hAnsi="Verdana" w:cs="Verdana"/>
              <w:sz w:val="18"/>
              <w:szCs w:val="18"/>
            </w:rPr>
          </w:r>
          <w:r>
            <w:rPr>
              <w:rFonts w:ascii="Verdana" w:hAnsi="Verdana" w:cs="Verdana"/>
              <w:sz w:val="18"/>
              <w:szCs w:val="18"/>
            </w:rPr>
          </w:r>
        </w:p>
        <w:p>
          <w:pPr>
            <w:pStyle w:val="828"/>
            <w:pBdr/>
            <w:spacing/>
            <w:ind/>
            <w:rPr>
              <w:rFonts w:ascii="Verdana" w:hAnsi="Verdana" w:eastAsia="Verdana" w:cs="Verdana"/>
              <w:sz w:val="18"/>
              <w:szCs w:val="18"/>
            </w:rPr>
          </w:pPr>
          <w:r>
            <w:rPr>
              <w:rFonts w:ascii="Verdana" w:hAnsi="Verdana" w:eastAsia="Verdana" w:cs="Verdana"/>
              <w:sz w:val="18"/>
              <w:szCs w:val="18"/>
            </w:rPr>
            <w:t xml:space="preserve">REV. 02</w:t>
          </w:r>
          <w:r>
            <w:rPr>
              <w:rFonts w:ascii="Verdana" w:hAnsi="Verdana" w:eastAsia="Verdana" w:cs="Verdana"/>
              <w:sz w:val="18"/>
              <w:szCs w:val="18"/>
            </w:rPr>
            <w:t xml:space="preserve"> del 1</w:t>
          </w:r>
          <w:r>
            <w:rPr>
              <w:rFonts w:ascii="Verdana" w:hAnsi="Verdana" w:eastAsia="Verdana" w:cs="Verdana"/>
              <w:sz w:val="18"/>
              <w:szCs w:val="18"/>
            </w:rPr>
            <w:t xml:space="preserve">6</w:t>
          </w:r>
          <w:r>
            <w:rPr>
              <w:rFonts w:ascii="Verdana" w:hAnsi="Verdana" w:eastAsia="Verdana" w:cs="Verdana"/>
              <w:sz w:val="18"/>
              <w:szCs w:val="18"/>
            </w:rPr>
            <w:t xml:space="preserve">-0</w:t>
          </w:r>
          <w:r>
            <w:rPr>
              <w:rFonts w:ascii="Verdana" w:hAnsi="Verdana" w:eastAsia="Verdana" w:cs="Verdana"/>
              <w:sz w:val="18"/>
              <w:szCs w:val="18"/>
            </w:rPr>
            <w:t xml:space="preserve">9</w:t>
          </w:r>
          <w:r>
            <w:rPr>
              <w:rFonts w:ascii="Verdana" w:hAnsi="Verdana" w:eastAsia="Verdana" w:cs="Verdana"/>
              <w:sz w:val="18"/>
              <w:szCs w:val="18"/>
            </w:rPr>
            <w:t xml:space="preserve">-2025</w:t>
          </w:r>
          <w:r>
            <w:rPr>
              <w:rFonts w:ascii="Verdana" w:hAnsi="Verdana" w:eastAsia="Verdana" w:cs="Verdana"/>
              <w:sz w:val="18"/>
              <w:szCs w:val="18"/>
            </w:rPr>
          </w:r>
          <w:r>
            <w:rPr>
              <w:rFonts w:ascii="Verdana" w:hAnsi="Verdana" w:eastAsia="Verdana" w:cs="Verdana"/>
              <w:sz w:val="18"/>
              <w:szCs w:val="18"/>
            </w:rPr>
          </w:r>
        </w:p>
        <w:p>
          <w:pPr>
            <w:pStyle w:val="828"/>
            <w:pBdr/>
            <w:spacing/>
            <w:ind/>
            <w:rPr>
              <w:rFonts w:ascii="Verdana" w:hAnsi="Verdana" w:cs="Verdana"/>
              <w:sz w:val="18"/>
              <w:szCs w:val="18"/>
            </w:rPr>
          </w:pPr>
          <w:r>
            <w:rPr>
              <w:rFonts w:ascii="Verdana" w:hAnsi="Verdana" w:eastAsia="Verdana" w:cs="Verdana"/>
              <w:sz w:val="18"/>
              <w:szCs w:val="18"/>
            </w:rPr>
            <w:t xml:space="preserve">Pag. </w:t>
          </w:r>
          <w:r>
            <w:rPr>
              <w:rFonts w:ascii="Verdana" w:hAnsi="Verdana" w:eastAsia="Verdana" w:cs="Verdana"/>
              <w:sz w:val="18"/>
              <w:szCs w:val="18"/>
            </w:rPr>
            <w:fldChar w:fldCharType="begin"/>
          </w:r>
          <w:r>
            <w:rPr>
              <w:rFonts w:ascii="Verdana" w:hAnsi="Verdana" w:eastAsia="Verdana" w:cs="Verdana"/>
              <w:sz w:val="18"/>
              <w:szCs w:val="18"/>
            </w:rPr>
            <w:instrText xml:space="preserve">PAGE   \* MERGEFORMAT</w:instrText>
          </w:r>
          <w:r>
            <w:rPr>
              <w:rFonts w:ascii="Verdana" w:hAnsi="Verdana" w:eastAsia="Verdana" w:cs="Verdana"/>
              <w:sz w:val="18"/>
              <w:szCs w:val="18"/>
            </w:rPr>
            <w:fldChar w:fldCharType="separate"/>
          </w:r>
          <w:r>
            <w:rPr>
              <w:rFonts w:ascii="Verdana" w:hAnsi="Verdana" w:eastAsia="Verdana" w:cs="Verdana"/>
              <w:sz w:val="18"/>
              <w:szCs w:val="18"/>
            </w:rPr>
            <w:t xml:space="preserve">1</w:t>
          </w:r>
          <w:r>
            <w:rPr>
              <w:rFonts w:ascii="Verdana" w:hAnsi="Verdana" w:eastAsia="Verdana" w:cs="Verdana"/>
              <w:sz w:val="18"/>
              <w:szCs w:val="18"/>
            </w:rPr>
            <w:fldChar w:fldCharType="end"/>
          </w:r>
          <w:r>
            <w:rPr>
              <w:rFonts w:ascii="Verdana" w:hAnsi="Verdana" w:cs="Verdana"/>
              <w:sz w:val="18"/>
              <w:szCs w:val="18"/>
            </w:rPr>
          </w:r>
          <w:r>
            <w:rPr>
              <w:rFonts w:ascii="Verdana" w:hAnsi="Verdana" w:cs="Verdana"/>
              <w:sz w:val="18"/>
              <w:szCs w:val="18"/>
            </w:rPr>
          </w:r>
        </w:p>
      </w:tc>
    </w:tr>
  </w:tbl>
  <w:p>
    <w:pPr>
      <w:pStyle w:val="82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1"/>
      <w:numFmt w:val="decimal"/>
      <w:pPr>
        <w:pBdr/>
        <w:spacing/>
        <w:ind w:hanging="432" w:left="432"/>
      </w:pPr>
      <w:pStyle w:val="807"/>
      <w:rPr/>
      <w:start w:val="1"/>
      <w:suff w:val="tab"/>
    </w:lvl>
    <w:lvl w:ilvl="1">
      <w:isLgl w:val="false"/>
      <w:lvlJc w:val="left"/>
      <w:lvlText w:val="%1.%2"/>
      <w:numFmt w:val="decimal"/>
      <w:pPr>
        <w:pBdr/>
        <w:spacing/>
        <w:ind w:hanging="576" w:left="576"/>
      </w:pPr>
      <w:pStyle w:val="808"/>
      <w:rPr/>
      <w:start w:val="1"/>
      <w:suff w:val="tab"/>
    </w:lvl>
    <w:lvl w:ilvl="2">
      <w:isLgl w:val="false"/>
      <w:lvlJc w:val="left"/>
      <w:lvlText w:val="%1.%2.%3"/>
      <w:numFmt w:val="decimal"/>
      <w:pPr>
        <w:pBdr/>
        <w:spacing/>
        <w:ind w:hanging="720" w:left="720"/>
      </w:pPr>
      <w:pStyle w:val="809"/>
      <w:rPr/>
      <w:start w:val="1"/>
      <w:suff w:val="tab"/>
    </w:lvl>
    <w:lvl w:ilvl="3">
      <w:isLgl w:val="false"/>
      <w:lvlJc w:val="left"/>
      <w:lvlText w:val="%1.%2.%3.%4"/>
      <w:numFmt w:val="decimal"/>
      <w:pPr>
        <w:pBdr/>
        <w:spacing/>
        <w:ind w:hanging="864" w:left="864"/>
      </w:pPr>
      <w:pStyle w:val="810"/>
      <w:rPr/>
      <w:start w:val="1"/>
      <w:suff w:val="tab"/>
    </w:lvl>
    <w:lvl w:ilvl="4">
      <w:isLgl w:val="false"/>
      <w:lvlJc w:val="left"/>
      <w:lvlText w:val="%1.%2.%3.%4.%5"/>
      <w:numFmt w:val="decimal"/>
      <w:pPr>
        <w:pBdr/>
        <w:spacing/>
        <w:ind w:hanging="1008" w:left="1008"/>
      </w:pPr>
      <w:pStyle w:val="811"/>
      <w:rPr/>
      <w:start w:val="1"/>
      <w:suff w:val="tab"/>
    </w:lvl>
    <w:lvl w:ilvl="5">
      <w:isLgl w:val="false"/>
      <w:lvlJc w:val="left"/>
      <w:lvlText w:val="%1.%2.%3.%4.%5.%6"/>
      <w:numFmt w:val="decimal"/>
      <w:pPr>
        <w:pBdr/>
        <w:spacing/>
        <w:ind w:hanging="1152" w:left="1152"/>
      </w:pPr>
      <w:pStyle w:val="812"/>
      <w:rPr/>
      <w:start w:val="1"/>
      <w:suff w:val="tab"/>
    </w:lvl>
    <w:lvl w:ilvl="6">
      <w:isLgl w:val="false"/>
      <w:lvlJc w:val="left"/>
      <w:lvlText w:val="%1.%2.%3.%4.%5.%6.%7"/>
      <w:numFmt w:val="decimal"/>
      <w:pPr>
        <w:pBdr/>
        <w:spacing/>
        <w:ind w:hanging="1296" w:left="1296"/>
      </w:pPr>
      <w:pStyle w:val="813"/>
      <w:rPr/>
      <w:start w:val="1"/>
      <w:suff w:val="tab"/>
    </w:lvl>
    <w:lvl w:ilvl="7">
      <w:isLgl w:val="false"/>
      <w:lvlJc w:val="left"/>
      <w:lvlText w:val="%1.%2.%3.%4.%5.%6.%7.%8"/>
      <w:numFmt w:val="decimal"/>
      <w:pPr>
        <w:pBdr/>
        <w:spacing/>
        <w:ind w:hanging="1440" w:left="1440"/>
      </w:pPr>
      <w:pStyle w:val="814"/>
      <w:rPr/>
      <w:start w:val="1"/>
      <w:suff w:val="tab"/>
    </w:lvl>
    <w:lvl w:ilvl="8">
      <w:isLgl w:val="false"/>
      <w:lvlJc w:val="left"/>
      <w:lvlText w:val="%1.%2.%3.%4.%5.%6.%7.%8.%9"/>
      <w:numFmt w:val="decimal"/>
      <w:pPr>
        <w:pBdr/>
        <w:spacing/>
        <w:ind w:hanging="1584" w:left="1584"/>
      </w:pPr>
      <w:pStyle w:val="815"/>
      <w:rPr/>
      <w:start w:val="1"/>
      <w:suff w:val="tab"/>
    </w:lvl>
  </w:abstractNum>
  <w:abstractNum w:abstractNumI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lang w:val="it-IT"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8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8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8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8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8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8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9">
    <w:name w:val="Heading 1 Char"/>
    <w:basedOn w:val="816"/>
    <w:link w:val="807"/>
    <w:uiPriority w:val="9"/>
    <w:pPr>
      <w:pBdr/>
      <w:spacing/>
      <w:ind/>
    </w:pPr>
    <w:rPr>
      <w:rFonts w:ascii="Arial" w:hAnsi="Arial" w:eastAsia="Arial" w:cs="Arial"/>
      <w:color w:val="0f4761" w:themeColor="accent1" w:themeShade="BF"/>
      <w:sz w:val="40"/>
      <w:szCs w:val="40"/>
    </w:rPr>
  </w:style>
  <w:style w:type="character" w:styleId="150">
    <w:name w:val="Heading 2 Char"/>
    <w:basedOn w:val="816"/>
    <w:link w:val="808"/>
    <w:uiPriority w:val="9"/>
    <w:pPr>
      <w:pBdr/>
      <w:spacing/>
      <w:ind/>
    </w:pPr>
    <w:rPr>
      <w:rFonts w:ascii="Arial" w:hAnsi="Arial" w:eastAsia="Arial" w:cs="Arial"/>
      <w:color w:val="0f4761" w:themeColor="accent1" w:themeShade="BF"/>
      <w:sz w:val="32"/>
      <w:szCs w:val="32"/>
    </w:rPr>
  </w:style>
  <w:style w:type="character" w:styleId="151">
    <w:name w:val="Heading 3 Char"/>
    <w:basedOn w:val="816"/>
    <w:link w:val="809"/>
    <w:uiPriority w:val="9"/>
    <w:pPr>
      <w:pBdr/>
      <w:spacing/>
      <w:ind/>
    </w:pPr>
    <w:rPr>
      <w:rFonts w:ascii="Arial" w:hAnsi="Arial" w:eastAsia="Arial" w:cs="Arial"/>
      <w:color w:val="0f4761" w:themeColor="accent1" w:themeShade="BF"/>
      <w:sz w:val="28"/>
      <w:szCs w:val="28"/>
    </w:rPr>
  </w:style>
  <w:style w:type="character" w:styleId="152">
    <w:name w:val="Heading 4 Char"/>
    <w:basedOn w:val="816"/>
    <w:link w:val="810"/>
    <w:uiPriority w:val="9"/>
    <w:pPr>
      <w:pBdr/>
      <w:spacing/>
      <w:ind/>
    </w:pPr>
    <w:rPr>
      <w:rFonts w:ascii="Arial" w:hAnsi="Arial" w:eastAsia="Arial" w:cs="Arial"/>
      <w:i/>
      <w:iCs/>
      <w:color w:val="0f4761" w:themeColor="accent1" w:themeShade="BF"/>
    </w:rPr>
  </w:style>
  <w:style w:type="character" w:styleId="153">
    <w:name w:val="Heading 5 Char"/>
    <w:basedOn w:val="816"/>
    <w:link w:val="811"/>
    <w:uiPriority w:val="9"/>
    <w:pPr>
      <w:pBdr/>
      <w:spacing/>
      <w:ind/>
    </w:pPr>
    <w:rPr>
      <w:rFonts w:ascii="Arial" w:hAnsi="Arial" w:eastAsia="Arial" w:cs="Arial"/>
      <w:color w:val="0f4761" w:themeColor="accent1" w:themeShade="BF"/>
    </w:rPr>
  </w:style>
  <w:style w:type="character" w:styleId="154">
    <w:name w:val="Heading 6 Char"/>
    <w:basedOn w:val="816"/>
    <w:link w:val="812"/>
    <w:uiPriority w:val="9"/>
    <w:pPr>
      <w:pBdr/>
      <w:spacing/>
      <w:ind/>
    </w:pPr>
    <w:rPr>
      <w:rFonts w:ascii="Arial" w:hAnsi="Arial" w:eastAsia="Arial" w:cs="Arial"/>
      <w:i/>
      <w:iCs/>
      <w:color w:val="595959" w:themeColor="text1" w:themeTint="A6"/>
    </w:rPr>
  </w:style>
  <w:style w:type="character" w:styleId="155">
    <w:name w:val="Heading 7 Char"/>
    <w:basedOn w:val="816"/>
    <w:link w:val="813"/>
    <w:uiPriority w:val="9"/>
    <w:pPr>
      <w:pBdr/>
      <w:spacing/>
      <w:ind/>
    </w:pPr>
    <w:rPr>
      <w:rFonts w:ascii="Arial" w:hAnsi="Arial" w:eastAsia="Arial" w:cs="Arial"/>
      <w:color w:val="595959" w:themeColor="text1" w:themeTint="A6"/>
    </w:rPr>
  </w:style>
  <w:style w:type="character" w:styleId="156">
    <w:name w:val="Heading 8 Char"/>
    <w:basedOn w:val="816"/>
    <w:link w:val="814"/>
    <w:uiPriority w:val="9"/>
    <w:pPr>
      <w:pBdr/>
      <w:spacing/>
      <w:ind/>
    </w:pPr>
    <w:rPr>
      <w:rFonts w:ascii="Arial" w:hAnsi="Arial" w:eastAsia="Arial" w:cs="Arial"/>
      <w:i/>
      <w:iCs/>
      <w:color w:val="272727" w:themeColor="text1" w:themeTint="D8"/>
    </w:rPr>
  </w:style>
  <w:style w:type="character" w:styleId="157">
    <w:name w:val="Heading 9 Char"/>
    <w:basedOn w:val="816"/>
    <w:link w:val="815"/>
    <w:uiPriority w:val="9"/>
    <w:pPr>
      <w:pBdr/>
      <w:spacing/>
      <w:ind/>
    </w:pPr>
    <w:rPr>
      <w:rFonts w:ascii="Arial" w:hAnsi="Arial" w:eastAsia="Arial" w:cs="Arial"/>
      <w:i/>
      <w:iCs/>
      <w:color w:val="272727" w:themeColor="text1" w:themeTint="D8"/>
    </w:rPr>
  </w:style>
  <w:style w:type="paragraph" w:styleId="158">
    <w:name w:val="Title"/>
    <w:basedOn w:val="806"/>
    <w:next w:val="806"/>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816"/>
    <w:link w:val="158"/>
    <w:uiPriority w:val="10"/>
    <w:pPr>
      <w:pBdr/>
      <w:spacing/>
      <w:ind/>
    </w:pPr>
    <w:rPr>
      <w:rFonts w:ascii="Arial" w:hAnsi="Arial" w:eastAsia="Arial" w:cs="Arial"/>
      <w:spacing w:val="-10"/>
      <w:sz w:val="56"/>
      <w:szCs w:val="56"/>
    </w:rPr>
  </w:style>
  <w:style w:type="paragraph" w:styleId="160">
    <w:name w:val="Subtitle"/>
    <w:basedOn w:val="806"/>
    <w:next w:val="806"/>
    <w:link w:val="161"/>
    <w:uiPriority w:val="11"/>
    <w:qFormat/>
    <w:pPr>
      <w:numPr>
        <w:ilvl w:val="1"/>
      </w:numPr>
      <w:pBdr/>
      <w:spacing/>
      <w:ind/>
    </w:pPr>
    <w:rPr>
      <w:color w:val="595959" w:themeColor="text1" w:themeTint="A6"/>
      <w:spacing w:val="15"/>
      <w:sz w:val="28"/>
      <w:szCs w:val="28"/>
    </w:rPr>
  </w:style>
  <w:style w:type="character" w:styleId="161">
    <w:name w:val="Subtitle Char"/>
    <w:basedOn w:val="816"/>
    <w:link w:val="160"/>
    <w:uiPriority w:val="11"/>
    <w:pPr>
      <w:pBdr/>
      <w:spacing/>
      <w:ind/>
    </w:pPr>
    <w:rPr>
      <w:color w:val="595959" w:themeColor="text1" w:themeTint="A6"/>
      <w:spacing w:val="15"/>
      <w:sz w:val="28"/>
      <w:szCs w:val="28"/>
    </w:rPr>
  </w:style>
  <w:style w:type="paragraph" w:styleId="162">
    <w:name w:val="Quote"/>
    <w:basedOn w:val="806"/>
    <w:next w:val="806"/>
    <w:link w:val="163"/>
    <w:uiPriority w:val="29"/>
    <w:qFormat/>
    <w:pPr>
      <w:pBdr/>
      <w:spacing w:before="160"/>
      <w:ind/>
      <w:jc w:val="center"/>
    </w:pPr>
    <w:rPr>
      <w:i/>
      <w:iCs/>
      <w:color w:val="404040" w:themeColor="text1" w:themeTint="BF"/>
    </w:rPr>
  </w:style>
  <w:style w:type="character" w:styleId="163">
    <w:name w:val="Quote Char"/>
    <w:basedOn w:val="816"/>
    <w:link w:val="162"/>
    <w:uiPriority w:val="29"/>
    <w:pPr>
      <w:pBdr/>
      <w:spacing/>
      <w:ind/>
    </w:pPr>
    <w:rPr>
      <w:i/>
      <w:iCs/>
      <w:color w:val="404040" w:themeColor="text1" w:themeTint="BF"/>
    </w:rPr>
  </w:style>
  <w:style w:type="paragraph" w:styleId="164">
    <w:name w:val="List Paragraph"/>
    <w:basedOn w:val="806"/>
    <w:uiPriority w:val="34"/>
    <w:qFormat/>
    <w:pPr>
      <w:pBdr/>
      <w:spacing/>
      <w:ind w:left="720"/>
      <w:contextualSpacing w:val="true"/>
    </w:pPr>
  </w:style>
  <w:style w:type="character" w:styleId="165">
    <w:name w:val="Intense Emphasis"/>
    <w:basedOn w:val="816"/>
    <w:uiPriority w:val="21"/>
    <w:qFormat/>
    <w:pPr>
      <w:pBdr/>
      <w:spacing/>
      <w:ind/>
    </w:pPr>
    <w:rPr>
      <w:i/>
      <w:iCs/>
      <w:color w:val="0f4761" w:themeColor="accent1" w:themeShade="BF"/>
    </w:rPr>
  </w:style>
  <w:style w:type="paragraph" w:styleId="166">
    <w:name w:val="Intense Quote"/>
    <w:basedOn w:val="806"/>
    <w:next w:val="806"/>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816"/>
    <w:link w:val="166"/>
    <w:uiPriority w:val="30"/>
    <w:pPr>
      <w:pBdr/>
      <w:spacing/>
      <w:ind/>
    </w:pPr>
    <w:rPr>
      <w:i/>
      <w:iCs/>
      <w:color w:val="0f4761" w:themeColor="accent1" w:themeShade="BF"/>
    </w:rPr>
  </w:style>
  <w:style w:type="character" w:styleId="168">
    <w:name w:val="Intense Reference"/>
    <w:basedOn w:val="816"/>
    <w:uiPriority w:val="32"/>
    <w:qFormat/>
    <w:pPr>
      <w:pBdr/>
      <w:spacing/>
      <w:ind/>
    </w:pPr>
    <w:rPr>
      <w:b/>
      <w:bCs/>
      <w:smallCaps/>
      <w:color w:val="0f4761" w:themeColor="accent1" w:themeShade="BF"/>
      <w:spacing w:val="5"/>
    </w:rPr>
  </w:style>
  <w:style w:type="paragraph" w:styleId="169">
    <w:name w:val="No Spacing"/>
    <w:basedOn w:val="806"/>
    <w:uiPriority w:val="1"/>
    <w:qFormat/>
    <w:pPr>
      <w:pBdr/>
      <w:spacing w:after="0" w:line="240" w:lineRule="auto"/>
      <w:ind/>
    </w:pPr>
  </w:style>
  <w:style w:type="character" w:styleId="170">
    <w:name w:val="Subtle Emphasis"/>
    <w:basedOn w:val="816"/>
    <w:uiPriority w:val="19"/>
    <w:qFormat/>
    <w:pPr>
      <w:pBdr/>
      <w:spacing/>
      <w:ind/>
    </w:pPr>
    <w:rPr>
      <w:i/>
      <w:iCs/>
      <w:color w:val="404040" w:themeColor="text1" w:themeTint="BF"/>
    </w:rPr>
  </w:style>
  <w:style w:type="character" w:styleId="171">
    <w:name w:val="Emphasis"/>
    <w:basedOn w:val="816"/>
    <w:uiPriority w:val="20"/>
    <w:qFormat/>
    <w:pPr>
      <w:pBdr/>
      <w:spacing/>
      <w:ind/>
    </w:pPr>
    <w:rPr>
      <w:i/>
      <w:iCs/>
    </w:rPr>
  </w:style>
  <w:style w:type="character" w:styleId="172">
    <w:name w:val="Strong"/>
    <w:basedOn w:val="816"/>
    <w:uiPriority w:val="22"/>
    <w:qFormat/>
    <w:pPr>
      <w:pBdr/>
      <w:spacing/>
      <w:ind/>
    </w:pPr>
    <w:rPr>
      <w:b/>
      <w:bCs/>
    </w:rPr>
  </w:style>
  <w:style w:type="character" w:styleId="173">
    <w:name w:val="Subtle Reference"/>
    <w:basedOn w:val="816"/>
    <w:uiPriority w:val="31"/>
    <w:qFormat/>
    <w:pPr>
      <w:pBdr/>
      <w:spacing/>
      <w:ind/>
    </w:pPr>
    <w:rPr>
      <w:smallCaps/>
      <w:color w:val="5a5a5a" w:themeColor="text1" w:themeTint="A5"/>
    </w:rPr>
  </w:style>
  <w:style w:type="character" w:styleId="174">
    <w:name w:val="Book Title"/>
    <w:basedOn w:val="816"/>
    <w:uiPriority w:val="33"/>
    <w:qFormat/>
    <w:pPr>
      <w:pBdr/>
      <w:spacing/>
      <w:ind/>
    </w:pPr>
    <w:rPr>
      <w:b/>
      <w:bCs/>
      <w:i/>
      <w:iCs/>
      <w:spacing w:val="5"/>
    </w:rPr>
  </w:style>
  <w:style w:type="character" w:styleId="176">
    <w:name w:val="Header Char"/>
    <w:basedOn w:val="816"/>
    <w:link w:val="828"/>
    <w:uiPriority w:val="99"/>
    <w:pPr>
      <w:pBdr/>
      <w:spacing/>
      <w:ind/>
    </w:pPr>
  </w:style>
  <w:style w:type="character" w:styleId="178">
    <w:name w:val="Footer Char"/>
    <w:basedOn w:val="816"/>
    <w:link w:val="832"/>
    <w:uiPriority w:val="99"/>
    <w:pPr>
      <w:pBdr/>
      <w:spacing/>
      <w:ind/>
    </w:pPr>
  </w:style>
  <w:style w:type="paragraph" w:styleId="179">
    <w:name w:val="Caption"/>
    <w:basedOn w:val="806"/>
    <w:next w:val="806"/>
    <w:uiPriority w:val="35"/>
    <w:unhideWhenUsed/>
    <w:qFormat/>
    <w:pPr>
      <w:pBdr/>
      <w:spacing w:after="200" w:line="240" w:lineRule="auto"/>
      <w:ind/>
    </w:pPr>
    <w:rPr>
      <w:i/>
      <w:iCs/>
      <w:color w:val="0e2841" w:themeColor="text2"/>
      <w:sz w:val="18"/>
      <w:szCs w:val="18"/>
    </w:rPr>
  </w:style>
  <w:style w:type="paragraph" w:styleId="180">
    <w:name w:val="footnote text"/>
    <w:basedOn w:val="806"/>
    <w:link w:val="181"/>
    <w:uiPriority w:val="99"/>
    <w:semiHidden/>
    <w:unhideWhenUsed/>
    <w:pPr>
      <w:pBdr/>
      <w:spacing w:after="0" w:line="240" w:lineRule="auto"/>
      <w:ind/>
    </w:pPr>
    <w:rPr>
      <w:sz w:val="20"/>
      <w:szCs w:val="20"/>
    </w:rPr>
  </w:style>
  <w:style w:type="character" w:styleId="181">
    <w:name w:val="Footnote Text Char"/>
    <w:basedOn w:val="816"/>
    <w:link w:val="180"/>
    <w:uiPriority w:val="99"/>
    <w:semiHidden/>
    <w:pPr>
      <w:pBdr/>
      <w:spacing/>
      <w:ind/>
    </w:pPr>
    <w:rPr>
      <w:sz w:val="20"/>
      <w:szCs w:val="20"/>
    </w:rPr>
  </w:style>
  <w:style w:type="character" w:styleId="182">
    <w:name w:val="footnote reference"/>
    <w:basedOn w:val="816"/>
    <w:uiPriority w:val="99"/>
    <w:semiHidden/>
    <w:unhideWhenUsed/>
    <w:pPr>
      <w:pBdr/>
      <w:spacing/>
      <w:ind/>
    </w:pPr>
    <w:rPr>
      <w:vertAlign w:val="superscript"/>
    </w:rPr>
  </w:style>
  <w:style w:type="paragraph" w:styleId="183">
    <w:name w:val="endnote text"/>
    <w:basedOn w:val="806"/>
    <w:link w:val="184"/>
    <w:uiPriority w:val="99"/>
    <w:semiHidden/>
    <w:unhideWhenUsed/>
    <w:pPr>
      <w:pBdr/>
      <w:spacing w:after="0" w:line="240" w:lineRule="auto"/>
      <w:ind/>
    </w:pPr>
    <w:rPr>
      <w:sz w:val="20"/>
      <w:szCs w:val="20"/>
    </w:rPr>
  </w:style>
  <w:style w:type="character" w:styleId="184">
    <w:name w:val="Endnote Text Char"/>
    <w:basedOn w:val="816"/>
    <w:link w:val="183"/>
    <w:uiPriority w:val="99"/>
    <w:semiHidden/>
    <w:pPr>
      <w:pBdr/>
      <w:spacing/>
      <w:ind/>
    </w:pPr>
    <w:rPr>
      <w:sz w:val="20"/>
      <w:szCs w:val="20"/>
    </w:rPr>
  </w:style>
  <w:style w:type="character" w:styleId="185">
    <w:name w:val="endnote reference"/>
    <w:basedOn w:val="816"/>
    <w:uiPriority w:val="99"/>
    <w:semiHidden/>
    <w:unhideWhenUsed/>
    <w:pPr>
      <w:pBdr/>
      <w:spacing/>
      <w:ind/>
    </w:pPr>
    <w:rPr>
      <w:vertAlign w:val="superscript"/>
    </w:rPr>
  </w:style>
  <w:style w:type="character" w:styleId="186">
    <w:name w:val="Hyperlink"/>
    <w:basedOn w:val="816"/>
    <w:uiPriority w:val="99"/>
    <w:unhideWhenUsed/>
    <w:pPr>
      <w:pBdr/>
      <w:spacing/>
      <w:ind/>
    </w:pPr>
    <w:rPr>
      <w:color w:val="0563c1" w:themeColor="hyperlink"/>
      <w:u w:val="single"/>
    </w:rPr>
  </w:style>
  <w:style w:type="character" w:styleId="187">
    <w:name w:val="FollowedHyperlink"/>
    <w:basedOn w:val="816"/>
    <w:uiPriority w:val="99"/>
    <w:semiHidden/>
    <w:unhideWhenUsed/>
    <w:pPr>
      <w:pBdr/>
      <w:spacing/>
      <w:ind/>
    </w:pPr>
    <w:rPr>
      <w:color w:val="954f72" w:themeColor="followedHyperlink"/>
      <w:u w:val="single"/>
    </w:rPr>
  </w:style>
  <w:style w:type="paragraph" w:styleId="188">
    <w:name w:val="toc 1"/>
    <w:basedOn w:val="806"/>
    <w:next w:val="806"/>
    <w:uiPriority w:val="39"/>
    <w:unhideWhenUsed/>
    <w:pPr>
      <w:pBdr/>
      <w:spacing w:after="100"/>
      <w:ind/>
    </w:pPr>
  </w:style>
  <w:style w:type="paragraph" w:styleId="189">
    <w:name w:val="toc 2"/>
    <w:basedOn w:val="806"/>
    <w:next w:val="806"/>
    <w:uiPriority w:val="39"/>
    <w:unhideWhenUsed/>
    <w:pPr>
      <w:pBdr/>
      <w:spacing w:after="100"/>
      <w:ind w:left="220"/>
    </w:pPr>
  </w:style>
  <w:style w:type="paragraph" w:styleId="190">
    <w:name w:val="toc 3"/>
    <w:basedOn w:val="806"/>
    <w:next w:val="806"/>
    <w:uiPriority w:val="39"/>
    <w:unhideWhenUsed/>
    <w:pPr>
      <w:pBdr/>
      <w:spacing w:after="100"/>
      <w:ind w:left="440"/>
    </w:pPr>
  </w:style>
  <w:style w:type="paragraph" w:styleId="191">
    <w:name w:val="toc 4"/>
    <w:basedOn w:val="806"/>
    <w:next w:val="806"/>
    <w:uiPriority w:val="39"/>
    <w:unhideWhenUsed/>
    <w:pPr>
      <w:pBdr/>
      <w:spacing w:after="100"/>
      <w:ind w:left="660"/>
    </w:pPr>
  </w:style>
  <w:style w:type="paragraph" w:styleId="192">
    <w:name w:val="toc 5"/>
    <w:basedOn w:val="806"/>
    <w:next w:val="806"/>
    <w:uiPriority w:val="39"/>
    <w:unhideWhenUsed/>
    <w:pPr>
      <w:pBdr/>
      <w:spacing w:after="100"/>
      <w:ind w:left="880"/>
    </w:pPr>
  </w:style>
  <w:style w:type="paragraph" w:styleId="193">
    <w:name w:val="toc 6"/>
    <w:basedOn w:val="806"/>
    <w:next w:val="806"/>
    <w:uiPriority w:val="39"/>
    <w:unhideWhenUsed/>
    <w:pPr>
      <w:pBdr/>
      <w:spacing w:after="100"/>
      <w:ind w:left="1100"/>
    </w:pPr>
  </w:style>
  <w:style w:type="paragraph" w:styleId="194">
    <w:name w:val="toc 7"/>
    <w:basedOn w:val="806"/>
    <w:next w:val="806"/>
    <w:uiPriority w:val="39"/>
    <w:unhideWhenUsed/>
    <w:pPr>
      <w:pBdr/>
      <w:spacing w:after="100"/>
      <w:ind w:left="1320"/>
    </w:pPr>
  </w:style>
  <w:style w:type="paragraph" w:styleId="195">
    <w:name w:val="toc 8"/>
    <w:basedOn w:val="806"/>
    <w:next w:val="806"/>
    <w:uiPriority w:val="39"/>
    <w:unhideWhenUsed/>
    <w:pPr>
      <w:pBdr/>
      <w:spacing w:after="100"/>
      <w:ind w:left="1540"/>
    </w:pPr>
  </w:style>
  <w:style w:type="paragraph" w:styleId="196">
    <w:name w:val="toc 9"/>
    <w:basedOn w:val="806"/>
    <w:next w:val="806"/>
    <w:uiPriority w:val="39"/>
    <w:unhideWhenUsed/>
    <w:pPr>
      <w:pBdr/>
      <w:spacing w:after="100"/>
      <w:ind w:left="1760"/>
    </w:pPr>
  </w:style>
  <w:style w:type="character" w:styleId="197">
    <w:name w:val="Placeholder Text"/>
    <w:basedOn w:val="816"/>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806"/>
    <w:next w:val="806"/>
    <w:uiPriority w:val="99"/>
    <w:unhideWhenUsed/>
    <w:pPr>
      <w:pBdr/>
      <w:spacing w:after="0" w:afterAutospacing="0"/>
      <w:ind/>
    </w:pPr>
  </w:style>
  <w:style w:type="paragraph" w:styleId="806" w:default="1">
    <w:name w:val="Normal"/>
    <w:qFormat/>
    <w:pPr>
      <w:pBdr/>
      <w:spacing/>
      <w:ind/>
      <w:jc w:val="both"/>
    </w:pPr>
    <w:rPr>
      <w:rFonts w:ascii="Arial" w:hAnsi="Arial" w:eastAsia="Times New Roman" w:cs="Arial"/>
      <w:sz w:val="24"/>
      <w:lang w:eastAsia="it-IT"/>
      <w14:ligatures w14:val="none"/>
    </w:rPr>
  </w:style>
  <w:style w:type="paragraph" w:styleId="807">
    <w:name w:val="Heading 1"/>
    <w:basedOn w:val="806"/>
    <w:next w:val="806"/>
    <w:link w:val="819"/>
    <w:qFormat/>
    <w:pPr>
      <w:keepNext w:val="true"/>
      <w:widowControl w:val="false"/>
      <w:numPr>
        <w:numId w:val="2"/>
      </w:numPr>
      <w:pBdr/>
      <w:spacing w:after="120" w:before="120"/>
      <w:ind w:firstLine="0" w:left="0"/>
      <w:outlineLvl w:val="0"/>
    </w:pPr>
    <w:rPr>
      <w:rFonts w:cs="Times New Roman"/>
      <w:b/>
      <w:sz w:val="28"/>
      <w:szCs w:val="24"/>
    </w:rPr>
  </w:style>
  <w:style w:type="paragraph" w:styleId="808">
    <w:name w:val="Heading 2"/>
    <w:basedOn w:val="806"/>
    <w:next w:val="806"/>
    <w:link w:val="820"/>
    <w:qFormat/>
    <w:pPr>
      <w:keepNext w:val="true"/>
      <w:widowControl w:val="false"/>
      <w:numPr>
        <w:ilvl w:val="1"/>
        <w:numId w:val="2"/>
      </w:numPr>
      <w:pBdr/>
      <w:spacing w:after="120" w:before="240"/>
      <w:ind/>
      <w:outlineLvl w:val="1"/>
    </w:pPr>
    <w:rPr>
      <w:rFonts w:cs="Times New Roman"/>
      <w:b/>
      <w:sz w:val="26"/>
      <w:szCs w:val="24"/>
    </w:rPr>
  </w:style>
  <w:style w:type="paragraph" w:styleId="809">
    <w:name w:val="Heading 3"/>
    <w:basedOn w:val="806"/>
    <w:next w:val="806"/>
    <w:link w:val="821"/>
    <w:qFormat/>
    <w:pPr>
      <w:keepNext w:val="true"/>
      <w:widowControl w:val="false"/>
      <w:numPr>
        <w:ilvl w:val="2"/>
        <w:numId w:val="2"/>
      </w:numPr>
      <w:pBdr/>
      <w:spacing w:after="120"/>
      <w:ind/>
      <w:outlineLvl w:val="2"/>
    </w:pPr>
    <w:rPr>
      <w:rFonts w:cs="Times New Roman"/>
      <w:b/>
    </w:rPr>
  </w:style>
  <w:style w:type="paragraph" w:styleId="810">
    <w:name w:val="Heading 4"/>
    <w:basedOn w:val="806"/>
    <w:next w:val="806"/>
    <w:link w:val="822"/>
    <w:qFormat/>
    <w:pPr>
      <w:keepNext w:val="true"/>
      <w:numPr>
        <w:ilvl w:val="3"/>
        <w:numId w:val="2"/>
      </w:numPr>
      <w:pBdr/>
      <w:spacing/>
      <w:ind/>
      <w:outlineLvl w:val="3"/>
    </w:pPr>
    <w:rPr>
      <w:sz w:val="28"/>
    </w:rPr>
  </w:style>
  <w:style w:type="paragraph" w:styleId="811">
    <w:name w:val="Heading 5"/>
    <w:basedOn w:val="806"/>
    <w:next w:val="806"/>
    <w:link w:val="823"/>
    <w:qFormat/>
    <w:pPr>
      <w:keepNext w:val="true"/>
      <w:numPr>
        <w:ilvl w:val="4"/>
        <w:numId w:val="2"/>
      </w:numPr>
      <w:pBdr/>
      <w:tabs>
        <w:tab w:val="left" w:leader="none" w:pos="570"/>
      </w:tabs>
      <w:spacing/>
      <w:ind/>
      <w:outlineLvl w:val="4"/>
    </w:pPr>
    <w:rPr>
      <w:rFonts w:ascii="Tahoma" w:hAnsi="Tahoma"/>
      <w:b/>
      <w:sz w:val="28"/>
    </w:rPr>
  </w:style>
  <w:style w:type="paragraph" w:styleId="812">
    <w:name w:val="Heading 6"/>
    <w:basedOn w:val="806"/>
    <w:next w:val="806"/>
    <w:link w:val="824"/>
    <w:qFormat/>
    <w:pPr>
      <w:keepNext w:val="true"/>
      <w:numPr>
        <w:ilvl w:val="5"/>
        <w:numId w:val="2"/>
      </w:numPr>
      <w:pBdr/>
      <w:tabs>
        <w:tab w:val="left" w:leader="none" w:pos="570"/>
      </w:tabs>
      <w:spacing/>
      <w:ind/>
      <w:outlineLvl w:val="5"/>
    </w:pPr>
    <w:rPr>
      <w:rFonts w:ascii="Tahoma" w:hAnsi="Tahoma"/>
    </w:rPr>
  </w:style>
  <w:style w:type="paragraph" w:styleId="813">
    <w:name w:val="Heading 7"/>
    <w:basedOn w:val="806"/>
    <w:next w:val="806"/>
    <w:link w:val="825"/>
    <w:qFormat/>
    <w:pPr>
      <w:keepNext w:val="true"/>
      <w:numPr>
        <w:ilvl w:val="6"/>
        <w:numId w:val="2"/>
      </w:numPr>
      <w:pBdr/>
      <w:spacing/>
      <w:ind/>
      <w:outlineLvl w:val="6"/>
    </w:pPr>
    <w:rPr>
      <w:b/>
      <w:i/>
    </w:rPr>
  </w:style>
  <w:style w:type="paragraph" w:styleId="814">
    <w:name w:val="Heading 8"/>
    <w:basedOn w:val="806"/>
    <w:next w:val="806"/>
    <w:link w:val="826"/>
    <w:qFormat/>
    <w:pPr>
      <w:keepNext w:val="true"/>
      <w:numPr>
        <w:ilvl w:val="7"/>
        <w:numId w:val="2"/>
      </w:numPr>
      <w:pBdr/>
      <w:tabs>
        <w:tab w:val="left" w:leader="none" w:pos="570"/>
      </w:tabs>
      <w:spacing/>
      <w:ind/>
      <w:jc w:val="center"/>
      <w:outlineLvl w:val="7"/>
    </w:pPr>
    <w:rPr>
      <w:rFonts w:ascii="Tahoma" w:hAnsi="Tahoma"/>
    </w:rPr>
  </w:style>
  <w:style w:type="paragraph" w:styleId="815">
    <w:name w:val="Heading 9"/>
    <w:basedOn w:val="806"/>
    <w:next w:val="806"/>
    <w:link w:val="827"/>
    <w:qFormat/>
    <w:pPr>
      <w:keepNext w:val="true"/>
      <w:numPr>
        <w:ilvl w:val="8"/>
        <w:numId w:val="2"/>
      </w:numPr>
      <w:pBdr/>
      <w:tabs>
        <w:tab w:val="left" w:leader="none" w:pos="570"/>
      </w:tabs>
      <w:spacing/>
      <w:ind/>
      <w:outlineLvl w:val="8"/>
    </w:pPr>
    <w:rPr>
      <w:rFonts w:ascii="Tahoma" w:hAnsi="Tahoma"/>
      <w:b/>
      <w:sz w:val="28"/>
    </w:rPr>
  </w:style>
  <w:style w:type="character" w:styleId="816" w:default="1">
    <w:name w:val="Default Paragraph Font"/>
    <w:uiPriority w:val="1"/>
    <w:semiHidden/>
    <w:unhideWhenUsed/>
    <w:pPr>
      <w:pBdr/>
      <w:spacing/>
      <w:ind/>
    </w:pPr>
  </w:style>
  <w:style w:type="table" w:styleId="8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8" w:default="1">
    <w:name w:val="No List"/>
    <w:uiPriority w:val="99"/>
    <w:semiHidden/>
    <w:unhideWhenUsed/>
    <w:pPr>
      <w:pBdr/>
      <w:spacing/>
      <w:ind/>
    </w:pPr>
  </w:style>
  <w:style w:type="character" w:styleId="819" w:customStyle="1">
    <w:name w:val="Titolo 1 Carattere"/>
    <w:basedOn w:val="816"/>
    <w:link w:val="807"/>
    <w:pPr>
      <w:pBdr/>
      <w:spacing/>
      <w:ind/>
    </w:pPr>
    <w:rPr>
      <w:rFonts w:ascii="Arial" w:hAnsi="Arial" w:eastAsia="Times New Roman"/>
      <w:b/>
      <w:sz w:val="28"/>
      <w:szCs w:val="24"/>
      <w14:ligatures w14:val="none"/>
    </w:rPr>
  </w:style>
  <w:style w:type="character" w:styleId="820" w:customStyle="1">
    <w:name w:val="Titolo 2 Carattere"/>
    <w:basedOn w:val="816"/>
    <w:link w:val="808"/>
    <w:pPr>
      <w:pBdr/>
      <w:spacing/>
      <w:ind/>
    </w:pPr>
    <w:rPr>
      <w:rFonts w:ascii="Arial" w:hAnsi="Arial" w:eastAsia="Times New Roman"/>
      <w:b/>
      <w:sz w:val="26"/>
      <w:szCs w:val="24"/>
      <w14:ligatures w14:val="none"/>
    </w:rPr>
  </w:style>
  <w:style w:type="character" w:styleId="821" w:customStyle="1">
    <w:name w:val="Titolo 3 Carattere"/>
    <w:basedOn w:val="816"/>
    <w:link w:val="809"/>
    <w:pPr>
      <w:pBdr/>
      <w:spacing/>
      <w:ind/>
    </w:pPr>
    <w:rPr>
      <w:rFonts w:ascii="Arial" w:hAnsi="Arial" w:eastAsia="Times New Roman"/>
      <w:b/>
      <w:sz w:val="24"/>
      <w:lang w:eastAsia="it-IT"/>
      <w14:ligatures w14:val="none"/>
    </w:rPr>
  </w:style>
  <w:style w:type="character" w:styleId="822" w:customStyle="1">
    <w:name w:val="Titolo 4 Carattere"/>
    <w:basedOn w:val="816"/>
    <w:link w:val="810"/>
    <w:pPr>
      <w:pBdr/>
      <w:spacing/>
      <w:ind/>
    </w:pPr>
    <w:rPr>
      <w:rFonts w:ascii="Arial" w:hAnsi="Arial" w:eastAsia="Times New Roman" w:cs="Arial"/>
      <w:sz w:val="28"/>
      <w:lang w:eastAsia="it-IT"/>
      <w14:ligatures w14:val="none"/>
    </w:rPr>
  </w:style>
  <w:style w:type="character" w:styleId="823" w:customStyle="1">
    <w:name w:val="Titolo 5 Carattere"/>
    <w:basedOn w:val="816"/>
    <w:link w:val="811"/>
    <w:pPr>
      <w:pBdr/>
      <w:spacing/>
      <w:ind/>
    </w:pPr>
    <w:rPr>
      <w:rFonts w:ascii="Tahoma" w:hAnsi="Tahoma" w:eastAsia="Times New Roman" w:cs="Arial"/>
      <w:b/>
      <w:sz w:val="28"/>
      <w:lang w:eastAsia="it-IT"/>
      <w14:ligatures w14:val="none"/>
    </w:rPr>
  </w:style>
  <w:style w:type="character" w:styleId="824" w:customStyle="1">
    <w:name w:val="Titolo 6 Carattere"/>
    <w:basedOn w:val="816"/>
    <w:link w:val="812"/>
    <w:pPr>
      <w:pBdr/>
      <w:spacing/>
      <w:ind/>
    </w:pPr>
    <w:rPr>
      <w:rFonts w:ascii="Tahoma" w:hAnsi="Tahoma" w:eastAsia="Times New Roman" w:cs="Arial"/>
      <w:sz w:val="24"/>
      <w:lang w:eastAsia="it-IT"/>
      <w14:ligatures w14:val="none"/>
    </w:rPr>
  </w:style>
  <w:style w:type="character" w:styleId="825" w:customStyle="1">
    <w:name w:val="Titolo 7 Carattere"/>
    <w:basedOn w:val="816"/>
    <w:link w:val="813"/>
    <w:pPr>
      <w:pBdr/>
      <w:spacing/>
      <w:ind/>
    </w:pPr>
    <w:rPr>
      <w:rFonts w:ascii="Arial" w:hAnsi="Arial" w:eastAsia="Times New Roman" w:cs="Arial"/>
      <w:b/>
      <w:i/>
      <w:sz w:val="24"/>
      <w:lang w:eastAsia="it-IT"/>
      <w14:ligatures w14:val="none"/>
    </w:rPr>
  </w:style>
  <w:style w:type="character" w:styleId="826" w:customStyle="1">
    <w:name w:val="Titolo 8 Carattere"/>
    <w:basedOn w:val="816"/>
    <w:link w:val="814"/>
    <w:pPr>
      <w:pBdr/>
      <w:spacing/>
      <w:ind/>
    </w:pPr>
    <w:rPr>
      <w:rFonts w:ascii="Tahoma" w:hAnsi="Tahoma" w:eastAsia="Times New Roman" w:cs="Arial"/>
      <w:sz w:val="24"/>
      <w:lang w:eastAsia="it-IT"/>
      <w14:ligatures w14:val="none"/>
    </w:rPr>
  </w:style>
  <w:style w:type="character" w:styleId="827" w:customStyle="1">
    <w:name w:val="Titolo 9 Carattere"/>
    <w:basedOn w:val="816"/>
    <w:link w:val="815"/>
    <w:pPr>
      <w:pBdr/>
      <w:spacing/>
      <w:ind/>
    </w:pPr>
    <w:rPr>
      <w:rFonts w:ascii="Tahoma" w:hAnsi="Tahoma" w:eastAsia="Times New Roman" w:cs="Arial"/>
      <w:b/>
      <w:sz w:val="28"/>
      <w:lang w:eastAsia="it-IT"/>
      <w14:ligatures w14:val="none"/>
    </w:rPr>
  </w:style>
  <w:style w:type="paragraph" w:styleId="828">
    <w:name w:val="Header"/>
    <w:basedOn w:val="806"/>
    <w:link w:val="829"/>
    <w:pPr>
      <w:pBdr/>
      <w:tabs>
        <w:tab w:val="center" w:leader="none" w:pos="4819"/>
        <w:tab w:val="right" w:leader="none" w:pos="9638"/>
      </w:tabs>
      <w:spacing/>
      <w:ind/>
    </w:pPr>
    <w:rPr>
      <w:rFonts w:cs="Times New Roman"/>
    </w:rPr>
  </w:style>
  <w:style w:type="character" w:styleId="829" w:customStyle="1">
    <w:name w:val="Intestazione Carattere"/>
    <w:basedOn w:val="816"/>
    <w:link w:val="828"/>
    <w:pPr>
      <w:pBdr/>
      <w:spacing/>
      <w:ind/>
    </w:pPr>
    <w:rPr>
      <w:rFonts w:ascii="Arial" w:hAnsi="Arial" w:eastAsia="Times New Roman"/>
      <w:sz w:val="24"/>
      <w14:ligatures w14:val="none"/>
    </w:rPr>
  </w:style>
  <w:style w:type="character" w:styleId="830">
    <w:name w:val="page number"/>
    <w:basedOn w:val="816"/>
    <w:pPr>
      <w:pBdr/>
      <w:spacing/>
      <w:ind/>
    </w:pPr>
  </w:style>
  <w:style w:type="paragraph" w:styleId="831" w:customStyle="1">
    <w:name w:val="Tabella 1"/>
    <w:basedOn w:val="828"/>
    <w:qFormat/>
    <w:pPr>
      <w:pBdr/>
      <w:tabs>
        <w:tab w:val="clear" w:leader="none" w:pos="4819"/>
        <w:tab w:val="clear" w:leader="none" w:pos="9638"/>
      </w:tabs>
      <w:spacing/>
      <w:ind/>
    </w:pPr>
  </w:style>
  <w:style w:type="paragraph" w:styleId="832">
    <w:name w:val="Footer"/>
    <w:basedOn w:val="806"/>
    <w:link w:val="833"/>
    <w:uiPriority w:val="99"/>
    <w:unhideWhenUsed/>
    <w:pPr>
      <w:pBdr/>
      <w:tabs>
        <w:tab w:val="center" w:leader="none" w:pos="4819"/>
        <w:tab w:val="right" w:leader="none" w:pos="9638"/>
      </w:tabs>
      <w:spacing/>
      <w:ind/>
    </w:pPr>
  </w:style>
  <w:style w:type="character" w:styleId="833" w:customStyle="1">
    <w:name w:val="Piè di pagina Carattere"/>
    <w:basedOn w:val="816"/>
    <w:link w:val="832"/>
    <w:uiPriority w:val="99"/>
    <w:pPr>
      <w:pBdr/>
      <w:spacing/>
      <w:ind/>
    </w:pPr>
    <w:rPr>
      <w:rFonts w:ascii="Arial" w:hAnsi="Arial" w:eastAsia="Times New Roman" w:cs="Arial"/>
      <w:sz w:val="24"/>
      <w:lang w:eastAsia="it-IT"/>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Massimo Parisi</dc:creator>
  <cp:keywords/>
  <dc:description/>
  <cp:lastModifiedBy>Francesco Scavello</cp:lastModifiedBy>
  <cp:revision>5</cp:revision>
  <dcterms:created xsi:type="dcterms:W3CDTF">2023-11-08T13:45:00Z</dcterms:created>
  <dcterms:modified xsi:type="dcterms:W3CDTF">2025-11-13T10:48:22Z</dcterms:modified>
</cp:coreProperties>
</file>