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0"/>
        <w:numPr>
          <w:ilvl w:val="0"/>
          <w:numId w:val="7"/>
        </w:num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SCOPO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Lo s</w:t>
      </w:r>
      <w:r>
        <w:rPr>
          <w:rFonts w:asciiTheme="minorHAnsi" w:hAnsiTheme="minorHAnsi" w:cstheme="minorHAnsi"/>
          <w:sz w:val="22"/>
          <w:szCs w:val="22"/>
        </w:rPr>
        <w:t xml:space="preserve">copo della presente procedura è a</w:t>
      </w:r>
      <w:r>
        <w:rPr>
          <w:rFonts w:asciiTheme="minorHAnsi" w:hAnsiTheme="minorHAnsi" w:cstheme="minorHAnsi"/>
          <w:sz w:val="22"/>
          <w:szCs w:val="22"/>
        </w:rPr>
        <w:t xml:space="preserve">ssicurare </w:t>
      </w:r>
      <w:r>
        <w:rPr>
          <w:rFonts w:asciiTheme="minorHAnsi" w:hAnsiTheme="minorHAnsi" w:cstheme="minorHAnsi"/>
          <w:sz w:val="22"/>
          <w:szCs w:val="22"/>
        </w:rPr>
        <w:t xml:space="preserve">una evidenza documentata che </w:t>
      </w:r>
      <w:r>
        <w:rPr>
          <w:rFonts w:asciiTheme="minorHAnsi" w:hAnsiTheme="minorHAnsi" w:cstheme="minorHAnsi"/>
          <w:sz w:val="22"/>
          <w:szCs w:val="22"/>
        </w:rPr>
        <w:t xml:space="preserve">garantisca la qualità di un prodotto e d</w:t>
      </w:r>
      <w:r>
        <w:rPr>
          <w:rFonts w:asciiTheme="minorHAnsi" w:hAnsiTheme="minorHAnsi" w:cstheme="minorHAnsi"/>
          <w:sz w:val="22"/>
          <w:szCs w:val="22"/>
        </w:rPr>
        <w:t xml:space="preserve">ei</w:t>
      </w:r>
      <w:r>
        <w:rPr>
          <w:rFonts w:asciiTheme="minorHAnsi" w:hAnsiTheme="minorHAnsi" w:cstheme="minorHAnsi"/>
          <w:sz w:val="22"/>
          <w:szCs w:val="22"/>
        </w:rPr>
        <w:t xml:space="preserve"> process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 di produzione</w:t>
      </w:r>
      <w:r>
        <w:rPr>
          <w:rFonts w:asciiTheme="minorHAnsi" w:hAnsiTheme="minorHAnsi" w:cstheme="minorHAnsi"/>
          <w:sz w:val="22"/>
          <w:szCs w:val="22"/>
        </w:rPr>
        <w:t xml:space="preserve"> effettuati da Agrumi-</w:t>
      </w:r>
      <w:r>
        <w:rPr>
          <w:rFonts w:asciiTheme="minorHAnsi" w:hAnsiTheme="minorHAnsi" w:cstheme="minorHAnsi"/>
          <w:sz w:val="22"/>
          <w:szCs w:val="22"/>
        </w:rPr>
        <w:t xml:space="preserve">G</w:t>
      </w:r>
      <w:r>
        <w:rPr>
          <w:rFonts w:asciiTheme="minorHAnsi" w:hAnsiTheme="minorHAnsi" w:cstheme="minorHAnsi"/>
          <w:sz w:val="22"/>
          <w:szCs w:val="22"/>
        </w:rPr>
        <w:t xml:space="preserve">el s.r.l.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30"/>
        <w:numPr>
          <w:ilvl w:val="0"/>
          <w:numId w:val="7"/>
        </w:num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CAMPO DI APPLICAZIONE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La presente procedura </w:t>
      </w:r>
      <w:r>
        <w:rPr>
          <w:rFonts w:asciiTheme="minorHAnsi" w:hAnsiTheme="minorHAnsi" w:cstheme="minorHAnsi"/>
          <w:sz w:val="22"/>
          <w:szCs w:val="22"/>
        </w:rPr>
        <w:t xml:space="preserve">viene utilizzata per garantire che </w:t>
      </w:r>
      <w:r>
        <w:rPr>
          <w:rFonts w:asciiTheme="minorHAnsi" w:hAnsiTheme="minorHAnsi" w:cstheme="minorHAnsi"/>
          <w:sz w:val="22"/>
          <w:szCs w:val="22"/>
        </w:rPr>
        <w:t xml:space="preserve">i prodotti siano adatti per l’uso previsto prima dell’immissione sul mercato. Pertanto l’azienda si impegna a produrre la documentazione necessaria per dimostrare che i processi, i metodi, le prove, le attività e le attrezzature di produzione siano in grad</w:t>
      </w:r>
      <w:r>
        <w:rPr>
          <w:rFonts w:asciiTheme="minorHAnsi" w:hAnsiTheme="minorHAnsi" w:cstheme="minorHAnsi"/>
          <w:sz w:val="22"/>
          <w:szCs w:val="22"/>
        </w:rPr>
        <w:t xml:space="preserve">o</w:t>
      </w:r>
      <w:r>
        <w:rPr>
          <w:rFonts w:asciiTheme="minorHAnsi" w:hAnsiTheme="minorHAnsi" w:cstheme="minorHAnsi"/>
          <w:sz w:val="22"/>
          <w:szCs w:val="22"/>
        </w:rPr>
        <w:t xml:space="preserve"> di garantire la qualità del prodotto. Essa </w:t>
      </w:r>
      <w:r>
        <w:rPr>
          <w:rFonts w:asciiTheme="minorHAnsi" w:hAnsiTheme="minorHAnsi" w:cstheme="minorHAnsi"/>
          <w:sz w:val="22"/>
          <w:szCs w:val="22"/>
        </w:rPr>
        <w:t xml:space="preserve">si applica</w:t>
      </w:r>
      <w:r>
        <w:rPr>
          <w:rFonts w:asciiTheme="minorHAnsi" w:hAnsiTheme="minorHAnsi" w:cstheme="minorHAnsi"/>
          <w:sz w:val="22"/>
          <w:szCs w:val="22"/>
        </w:rPr>
        <w:t xml:space="preserve"> ai seguenti aspetti</w:t>
      </w:r>
      <w:r>
        <w:rPr>
          <w:rFonts w:asciiTheme="minorHAnsi" w:hAnsiTheme="minorHAnsi" w:cstheme="minorHAnsi"/>
          <w:sz w:val="22"/>
          <w:szCs w:val="22"/>
        </w:rPr>
        <w:t xml:space="preserve">: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30"/>
        <w:numPr>
          <w:ilvl w:val="0"/>
          <w:numId w:val="5"/>
        </w:num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q</w:t>
      </w:r>
      <w:r>
        <w:rPr>
          <w:rFonts w:asciiTheme="minorHAnsi" w:hAnsiTheme="minorHAnsi" w:cstheme="minorHAnsi"/>
          <w:sz w:val="22"/>
          <w:szCs w:val="22"/>
        </w:rPr>
        <w:t xml:space="preserve">ualifica degli impianti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convalida dei processi</w:t>
      </w:r>
      <w:r>
        <w:rPr>
          <w:rFonts w:asciiTheme="minorHAnsi" w:hAnsiTheme="minorHAnsi" w:cstheme="minorHAnsi"/>
          <w:sz w:val="22"/>
          <w:szCs w:val="22"/>
        </w:rPr>
        <w:t xml:space="preserve">, qualifica del prodotto</w:t>
      </w:r>
      <w:r>
        <w:rPr>
          <w:rFonts w:asciiTheme="minorHAnsi" w:hAnsiTheme="minorHAnsi" w:cstheme="minorHAnsi"/>
          <w:sz w:val="22"/>
          <w:szCs w:val="22"/>
        </w:rPr>
        <w:t xml:space="preserve">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30"/>
        <w:numPr>
          <w:ilvl w:val="0"/>
          <w:numId w:val="5"/>
        </w:num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onvalida dei sistemi di pulizia</w:t>
      </w:r>
      <w:r>
        <w:rPr>
          <w:rFonts w:asciiTheme="minorHAnsi" w:hAnsiTheme="minorHAnsi" w:cstheme="minorHAnsi"/>
          <w:sz w:val="22"/>
          <w:szCs w:val="22"/>
        </w:rPr>
        <w:t xml:space="preserve">;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30"/>
        <w:numPr>
          <w:ilvl w:val="0"/>
          <w:numId w:val="5"/>
        </w:num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</w:t>
      </w:r>
      <w:r>
        <w:rPr>
          <w:rFonts w:asciiTheme="minorHAnsi" w:hAnsiTheme="minorHAnsi" w:cstheme="minorHAnsi"/>
          <w:sz w:val="22"/>
          <w:szCs w:val="22"/>
        </w:rPr>
        <w:t xml:space="preserve">i-</w:t>
      </w:r>
      <w:r>
        <w:rPr>
          <w:rFonts w:asciiTheme="minorHAnsi" w:hAnsiTheme="minorHAnsi" w:cstheme="minorHAnsi"/>
          <w:sz w:val="22"/>
          <w:szCs w:val="22"/>
        </w:rPr>
        <w:t xml:space="preserve">v</w:t>
      </w:r>
      <w:r>
        <w:rPr>
          <w:rFonts w:asciiTheme="minorHAnsi" w:hAnsiTheme="minorHAnsi" w:cstheme="minorHAnsi"/>
          <w:sz w:val="22"/>
          <w:szCs w:val="22"/>
        </w:rPr>
        <w:t xml:space="preserve">alidazione periodica</w:t>
      </w:r>
      <w:r>
        <w:rPr>
          <w:rFonts w:asciiTheme="minorHAnsi" w:hAnsiTheme="minorHAnsi" w:cstheme="minorHAnsi"/>
          <w:sz w:val="22"/>
          <w:szCs w:val="22"/>
        </w:rPr>
        <w:t xml:space="preserve"> dei processi e delle singole fasi</w:t>
      </w:r>
      <w:r>
        <w:rPr>
          <w:rFonts w:asciiTheme="minorHAnsi" w:hAnsiTheme="minorHAnsi" w:cstheme="minorHAnsi"/>
          <w:sz w:val="22"/>
          <w:szCs w:val="22"/>
        </w:rPr>
        <w:t xml:space="preserve">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p>
      <w:pPr>
        <w:pStyle w:val="830"/>
        <w:numPr>
          <w:ilvl w:val="0"/>
          <w:numId w:val="7"/>
        </w:num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FLUSSO OPERATIVO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tabs>
          <w:tab w:val="left" w:leader="none" w:pos="0"/>
        </w:tabs>
        <w:spacing w:after="24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Occorre</w:t>
      </w:r>
      <w:r>
        <w:rPr>
          <w:rFonts w:asciiTheme="minorHAnsi" w:hAnsiTheme="minorHAnsi" w:cstheme="minorHAnsi"/>
          <w:sz w:val="22"/>
          <w:szCs w:val="22"/>
        </w:rPr>
        <w:t xml:space="preserve"> stabilire che gli impianti ed i sistemi ad essi collegati siano in grado di operare entro </w:t>
      </w:r>
      <w:r>
        <w:rPr>
          <w:rFonts w:asciiTheme="minorHAnsi" w:hAnsiTheme="minorHAnsi" w:cstheme="minorHAnsi"/>
          <w:sz w:val="22"/>
          <w:szCs w:val="22"/>
        </w:rPr>
        <w:t xml:space="preserve">i limiti e le tolleranze fissate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>
        <w:rPr>
          <w:rFonts w:asciiTheme="minorHAnsi" w:hAnsiTheme="minorHAnsi" w:cstheme="minorHAnsi"/>
          <w:sz w:val="22"/>
          <w:szCs w:val="22"/>
        </w:rPr>
        <w:t xml:space="preserve">Nelle prove di validazione vengono simulate le reali condizioni di produzione ponendosi nella “situazione peggiore”. Le caratteristiche dell’impianto stabilite vengono documentate con documenti </w:t>
      </w:r>
      <w:r>
        <w:rPr>
          <w:rFonts w:asciiTheme="minorHAnsi" w:hAnsiTheme="minorHAnsi" w:cstheme="minorHAnsi"/>
          <w:sz w:val="22"/>
          <w:szCs w:val="22"/>
        </w:rPr>
        <w:t xml:space="preserve">tecnici forniti dai produttori degli impianti. Agrumi-</w:t>
      </w:r>
      <w:r>
        <w:rPr>
          <w:rFonts w:asciiTheme="minorHAnsi" w:hAnsiTheme="minorHAnsi" w:cstheme="minorHAnsi"/>
          <w:sz w:val="22"/>
          <w:szCs w:val="22"/>
        </w:rPr>
        <w:t xml:space="preserve">G</w:t>
      </w:r>
      <w:r>
        <w:rPr>
          <w:rFonts w:asciiTheme="minorHAnsi" w:hAnsiTheme="minorHAnsi" w:cstheme="minorHAnsi"/>
          <w:sz w:val="22"/>
          <w:szCs w:val="22"/>
        </w:rPr>
        <w:t xml:space="preserve">el s.r.l. ha effettuato le seguenti validazioni: </w:t>
      </w:r>
      <w:r>
        <w:rPr>
          <w:rFonts w:asciiTheme="minorHAnsi" w:hAnsiTheme="minorHAnsi" w:cstheme="minorHAnsi"/>
          <w:sz w:val="22"/>
          <w:szCs w:val="22"/>
        </w:rPr>
        <w:t xml:space="preserve">“validazione delle procedure di lavaggio delle linee di estrazione”, </w:t>
      </w:r>
      <w:r>
        <w:rPr>
          <w:rFonts w:asciiTheme="minorHAnsi" w:hAnsiTheme="minorHAnsi" w:cstheme="minorHAnsi"/>
          <w:sz w:val="22"/>
          <w:szCs w:val="22"/>
        </w:rPr>
        <w:t xml:space="preserve">“validazione dell’impostazione delle temperature e del tempo di sosta d</w:t>
      </w:r>
      <w:r>
        <w:rPr>
          <w:rFonts w:asciiTheme="minorHAnsi" w:hAnsiTheme="minorHAnsi" w:cstheme="minorHAnsi"/>
          <w:sz w:val="22"/>
          <w:szCs w:val="22"/>
        </w:rPr>
        <w:t xml:space="preserve">el pastorizzatore”, “test di integrità sul pastorizzatore”, “validazione delle procedure relative alla fase della triturazione del succo”, “validazione delle temperature e dei tempi </w:t>
      </w:r>
      <w:r>
        <w:rPr>
          <w:rFonts w:asciiTheme="minorHAnsi" w:hAnsiTheme="minorHAnsi" w:cstheme="minorHAnsi"/>
          <w:sz w:val="22"/>
          <w:szCs w:val="22"/>
        </w:rPr>
        <w:t xml:space="preserve">di </w:t>
      </w:r>
      <w:r>
        <w:rPr>
          <w:rFonts w:asciiTheme="minorHAnsi" w:hAnsiTheme="minorHAnsi" w:cstheme="minorHAnsi"/>
          <w:sz w:val="22"/>
          <w:szCs w:val="22"/>
        </w:rPr>
        <w:t xml:space="preserve">congelamento”</w:t>
      </w:r>
      <w:r>
        <w:rPr>
          <w:rFonts w:asciiTheme="minorHAnsi" w:hAnsiTheme="minorHAnsi" w:cstheme="minorHAnsi"/>
          <w:sz w:val="22"/>
          <w:szCs w:val="22"/>
        </w:rPr>
        <w:t xml:space="preserve">, mentre annualmente esegue la validazione dei CCP e delle metodiche di analisi interne relative ai parametri che hanno un’influenza sulla sicurezza del prodotto.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tabs>
          <w:tab w:val="left" w:leader="none" w:pos="720"/>
        </w:tabs>
        <w:spacing w:after="24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L’efficienza dei processi è rappresentata da prove rigorose effettuate al fine di dimostrare l’efficacia e la riproducibilità dei processi. </w:t>
      </w:r>
      <w:r>
        <w:rPr>
          <w:rFonts w:asciiTheme="minorHAnsi" w:hAnsiTheme="minorHAnsi" w:cstheme="minorHAnsi"/>
          <w:sz w:val="22"/>
          <w:szCs w:val="22"/>
        </w:rPr>
        <w:t xml:space="preserve">Con cadenza annuale viene effettuata anche la verifica annuale dei CCP (M 10.30) a cura dei membri del gruppo HACCP allo scopo di verificare la correttezza di funzionamento e la correttezza delle registrazioni del CCP1 (pastorizzazione)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del </w:t>
      </w:r>
      <w:r>
        <w:rPr>
          <w:rFonts w:asciiTheme="minorHAnsi" w:hAnsiTheme="minorHAnsi" w:cstheme="minorHAnsi"/>
          <w:sz w:val="22"/>
          <w:szCs w:val="22"/>
        </w:rPr>
        <w:t xml:space="preserve">CCP2 (filtrazione)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e del CCP4 (</w:t>
      </w:r>
      <w:r>
        <w:rPr>
          <w:rFonts w:asciiTheme="minorHAnsi" w:hAnsiTheme="minorHAnsi" w:cstheme="minorHAnsi"/>
          <w:sz w:val="22"/>
          <w:szCs w:val="22"/>
        </w:rPr>
        <w:t xml:space="preserve">B</w:t>
      </w:r>
      <w:r>
        <w:rPr>
          <w:rFonts w:asciiTheme="minorHAnsi" w:hAnsiTheme="minorHAnsi" w:cstheme="minorHAnsi"/>
          <w:sz w:val="22"/>
          <w:szCs w:val="22"/>
        </w:rPr>
        <w:t xml:space="preserve">lending a </w:t>
      </w:r>
      <w:r>
        <w:rPr>
          <w:rFonts w:asciiTheme="minorHAnsi" w:hAnsiTheme="minorHAnsi" w:cstheme="minorHAnsi"/>
          <w:sz w:val="22"/>
          <w:szCs w:val="22"/>
        </w:rPr>
        <w:t xml:space="preserve">p</w:t>
      </w:r>
      <w:r>
        <w:rPr>
          <w:rFonts w:asciiTheme="minorHAnsi" w:hAnsiTheme="minorHAnsi" w:cstheme="minorHAnsi"/>
          <w:sz w:val="22"/>
          <w:szCs w:val="22"/>
        </w:rPr>
        <w:t xml:space="preserve">H&lt;4 per succhi non pastorizzati)</w:t>
      </w:r>
      <w:r>
        <w:rPr>
          <w:rFonts w:asciiTheme="minorHAnsi" w:hAnsiTheme="minorHAnsi" w:cstheme="minorHAnsi"/>
          <w:sz w:val="22"/>
          <w:szCs w:val="22"/>
        </w:rPr>
        <w:t xml:space="preserve">. L’efficienza dei processi</w:t>
      </w:r>
      <w:r>
        <w:rPr>
          <w:rFonts w:asciiTheme="minorHAnsi" w:hAnsiTheme="minorHAnsi" w:cstheme="minorHAnsi"/>
          <w:sz w:val="22"/>
          <w:szCs w:val="22"/>
        </w:rPr>
        <w:t xml:space="preserve"> include</w:t>
      </w:r>
      <w:r>
        <w:rPr>
          <w:rFonts w:asciiTheme="minorHAnsi" w:hAnsiTheme="minorHAnsi" w:cstheme="minorHAnsi"/>
          <w:sz w:val="22"/>
          <w:szCs w:val="22"/>
        </w:rPr>
        <w:t xml:space="preserve"> anche</w:t>
      </w:r>
      <w:r>
        <w:rPr>
          <w:rFonts w:asciiTheme="minorHAnsi" w:hAnsiTheme="minorHAnsi" w:cstheme="minorHAnsi"/>
          <w:sz w:val="22"/>
          <w:szCs w:val="22"/>
        </w:rPr>
        <w:t xml:space="preserve"> l’esame del prodotto finito per dimostrare che esso risponda alle specifiche desiderate (caratteristiche organolettiche, particolari requisiti di sicurezza, etc.)</w:t>
      </w:r>
      <w:r>
        <w:rPr>
          <w:rFonts w:asciiTheme="minorHAnsi" w:hAnsiTheme="minorHAnsi" w:cstheme="minorHAnsi"/>
          <w:sz w:val="22"/>
          <w:szCs w:val="22"/>
        </w:rPr>
        <w:t xml:space="preserve">. Tale esame è visibile nel C</w:t>
      </w:r>
      <w:r>
        <w:rPr>
          <w:rFonts w:asciiTheme="minorHAnsi" w:hAnsiTheme="minorHAnsi" w:cstheme="minorHAnsi"/>
          <w:sz w:val="22"/>
          <w:szCs w:val="22"/>
        </w:rPr>
        <w:t xml:space="preserve">o</w:t>
      </w:r>
      <w:r>
        <w:rPr>
          <w:rFonts w:asciiTheme="minorHAnsi" w:hAnsiTheme="minorHAnsi" w:cstheme="minorHAnsi"/>
          <w:sz w:val="22"/>
          <w:szCs w:val="22"/>
        </w:rPr>
        <w:t xml:space="preserve">A.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Eventuali ri-validazioni si rendono necessarie ogni volta che vi sono cambiamenti relativi alle modalità di confezionamento, alla formulazione, all’impianto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al processo</w:t>
      </w:r>
      <w:r>
        <w:rPr>
          <w:rFonts w:asciiTheme="minorHAnsi" w:hAnsiTheme="minorHAnsi" w:cstheme="minorHAnsi"/>
          <w:sz w:val="22"/>
          <w:szCs w:val="22"/>
        </w:rPr>
        <w:t xml:space="preserve"> o </w:t>
      </w:r>
      <w:r>
        <w:rPr>
          <w:rFonts w:asciiTheme="minorHAnsi" w:hAnsiTheme="minorHAnsi" w:cstheme="minorHAnsi"/>
          <w:sz w:val="22"/>
          <w:szCs w:val="22"/>
        </w:rPr>
        <w:t xml:space="preserve">ai criteri di efficienza utilizzati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Style w:val="830"/>
        <w:numPr>
          <w:ilvl w:val="0"/>
          <w:numId w:val="7"/>
        </w:numPr>
        <w:pBdr/>
        <w:spacing w:after="240"/>
        <w:ind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ARCHIVIAZIONE</w:t>
      </w:r>
      <w:r>
        <w:rPr>
          <w:rFonts w:asciiTheme="minorHAnsi" w:hAnsiTheme="minorHAnsi" w:cstheme="minorHAnsi"/>
          <w:b/>
          <w:sz w:val="22"/>
          <w:szCs w:val="22"/>
        </w:rPr>
      </w:r>
    </w:p>
    <w:p>
      <w:pPr>
        <w:pBdr/>
        <w:spacing w:after="240"/>
        <w:ind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Tutta la documentazione, </w:t>
      </w:r>
      <w:r>
        <w:rPr>
          <w:rFonts w:asciiTheme="minorHAnsi" w:hAnsiTheme="minorHAnsi" w:cstheme="minorHAnsi"/>
          <w:sz w:val="22"/>
          <w:szCs w:val="22"/>
        </w:rPr>
        <w:t xml:space="preserve">attestante le validazioni effettuate compresi i moduli in esse richiamati</w:t>
      </w:r>
      <w:r>
        <w:rPr>
          <w:rFonts w:asciiTheme="minorHAnsi" w:hAnsiTheme="minorHAnsi" w:cstheme="minorHAnsi"/>
          <w:sz w:val="22"/>
          <w:szCs w:val="22"/>
        </w:rPr>
        <w:t xml:space="preserve"> sono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</w:t>
      </w:r>
      <w:r>
        <w:rPr>
          <w:rFonts w:asciiTheme="minorHAnsi" w:hAnsiTheme="minorHAnsi" w:cstheme="minorHAnsi"/>
          <w:sz w:val="22"/>
          <w:szCs w:val="22"/>
        </w:rPr>
        <w:t xml:space="preserve">onsiderat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 document</w:t>
      </w:r>
      <w:r>
        <w:rPr>
          <w:rFonts w:asciiTheme="minorHAnsi" w:hAnsiTheme="minorHAnsi" w:cstheme="minorHAnsi"/>
          <w:sz w:val="22"/>
          <w:szCs w:val="22"/>
        </w:rPr>
        <w:t xml:space="preserve">i</w:t>
      </w:r>
      <w:r>
        <w:rPr>
          <w:rFonts w:asciiTheme="minorHAnsi" w:hAnsiTheme="minorHAnsi" w:cstheme="minorHAnsi"/>
          <w:sz w:val="22"/>
          <w:szCs w:val="22"/>
        </w:rPr>
        <w:t xml:space="preserve"> di gestione della qualità </w:t>
      </w:r>
      <w:r>
        <w:rPr>
          <w:rFonts w:asciiTheme="minorHAnsi" w:hAnsiTheme="minorHAnsi" w:cstheme="minorHAnsi"/>
          <w:sz w:val="22"/>
          <w:szCs w:val="22"/>
        </w:rPr>
        <w:t xml:space="preserve">e sono conservati</w:t>
      </w:r>
      <w:r>
        <w:rPr>
          <w:rFonts w:asciiTheme="minorHAnsi" w:hAnsiTheme="minorHAnsi" w:cstheme="minorHAnsi"/>
          <w:sz w:val="22"/>
          <w:szCs w:val="22"/>
        </w:rPr>
        <w:t xml:space="preserve"> presso SGQ per almeno 4 anni.</w:t>
      </w:r>
      <w:r>
        <w:rPr>
          <w:rFonts w:asciiTheme="minorHAnsi" w:hAnsiTheme="minorHAnsi" w:cstheme="minorHAnsi"/>
          <w:sz w:val="22"/>
          <w:szCs w:val="22"/>
        </w:rPr>
      </w:r>
    </w:p>
    <w:p>
      <w:pPr>
        <w:pBdr/>
        <w:spacing/>
        <w:ind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</w:r>
      <w:r>
        <w:rPr>
          <w:rFonts w:asciiTheme="minorHAnsi" w:hAnsiTheme="minorHAnsi" w:cstheme="minorHAnsi"/>
          <w:sz w:val="22"/>
          <w:szCs w:val="22"/>
        </w:rPr>
      </w:r>
    </w:p>
    <w:sectPr>
      <w:headerReference w:type="default" r:id="rId9"/>
      <w:footnotePr>
        <w:pos w:val="beneathText"/>
      </w:footnotePr>
      <w:endnotePr/>
      <w:type w:val="nextPage"/>
      <w:pgSz w:h="16837" w:orient="portrait" w:w="11905"/>
      <w:pgMar w:top="957" w:right="848" w:bottom="1134" w:left="851" w:header="142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Verdana">
    <w:panose1 w:val="020B0604030504040204"/>
  </w:font>
  <w:font w:name="Lucida Sans Unicode">
    <w:panose1 w:val="020B060303080402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29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25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519171391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1" cy="51216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25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VALIDAZIONE DEI PROCESSI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25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11.02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25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05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25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25"/>
      <w:pBdr/>
      <w:tabs>
        <w:tab w:val="clear" w:leader="none" w:pos="4819"/>
        <w:tab w:val="clear" w:leader="none" w:pos="9638"/>
      </w:tabs>
      <w:spacing/>
      <w:ind/>
      <w:rPr/>
    </w:pPr>
    <w:r/>
    <w:r/>
  </w:p>
  <w:p>
    <w:pPr>
      <w:pStyle w:val="82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480"/>
      </w:pPr>
      <w:rPr>
        <w:rFonts w:hint="default" w:ascii="Verdana" w:hAnsi="Verdana" w:eastAsia="Times New Roman" w:cs="Times New Roman"/>
        <w:b w:val="0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2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9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6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8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5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24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9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04"/>
      </w:pPr>
      <w:rPr/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9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6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811"/>
    <w:next w:val="81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4"/>
    <w:basedOn w:val="811"/>
    <w:next w:val="81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11"/>
    <w:next w:val="81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11"/>
    <w:next w:val="81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11"/>
    <w:next w:val="81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11"/>
    <w:next w:val="81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11"/>
    <w:next w:val="81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14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14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14"/>
    <w:link w:val="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14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14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14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14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14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1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811"/>
    <w:next w:val="81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814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811"/>
    <w:next w:val="81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814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11"/>
    <w:next w:val="81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14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11"/>
    <w:next w:val="81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14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1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14"/>
    <w:link w:val="825"/>
    <w:uiPriority w:val="99"/>
    <w:pPr>
      <w:pBdr/>
      <w:spacing/>
      <w:ind/>
    </w:pPr>
  </w:style>
  <w:style w:type="character" w:styleId="178">
    <w:name w:val="Footer Char"/>
    <w:basedOn w:val="814"/>
    <w:link w:val="826"/>
    <w:uiPriority w:val="99"/>
    <w:pPr>
      <w:pBdr/>
      <w:spacing/>
      <w:ind/>
    </w:pPr>
  </w:style>
  <w:style w:type="paragraph" w:styleId="179">
    <w:name w:val="Caption"/>
    <w:basedOn w:val="811"/>
    <w:next w:val="81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1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1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1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1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11"/>
    <w:next w:val="811"/>
    <w:uiPriority w:val="39"/>
    <w:unhideWhenUsed/>
    <w:pPr>
      <w:pBdr/>
      <w:spacing w:after="100"/>
      <w:ind/>
    </w:pPr>
  </w:style>
  <w:style w:type="paragraph" w:styleId="189">
    <w:name w:val="toc 2"/>
    <w:basedOn w:val="811"/>
    <w:next w:val="811"/>
    <w:uiPriority w:val="39"/>
    <w:unhideWhenUsed/>
    <w:pPr>
      <w:pBdr/>
      <w:spacing w:after="100"/>
      <w:ind w:left="220"/>
    </w:pPr>
  </w:style>
  <w:style w:type="paragraph" w:styleId="190">
    <w:name w:val="toc 3"/>
    <w:basedOn w:val="811"/>
    <w:next w:val="811"/>
    <w:uiPriority w:val="39"/>
    <w:unhideWhenUsed/>
    <w:pPr>
      <w:pBdr/>
      <w:spacing w:after="100"/>
      <w:ind w:left="440"/>
    </w:pPr>
  </w:style>
  <w:style w:type="paragraph" w:styleId="191">
    <w:name w:val="toc 4"/>
    <w:basedOn w:val="811"/>
    <w:next w:val="811"/>
    <w:uiPriority w:val="39"/>
    <w:unhideWhenUsed/>
    <w:pPr>
      <w:pBdr/>
      <w:spacing w:after="100"/>
      <w:ind w:left="660"/>
    </w:pPr>
  </w:style>
  <w:style w:type="paragraph" w:styleId="192">
    <w:name w:val="toc 5"/>
    <w:basedOn w:val="811"/>
    <w:next w:val="811"/>
    <w:uiPriority w:val="39"/>
    <w:unhideWhenUsed/>
    <w:pPr>
      <w:pBdr/>
      <w:spacing w:after="100"/>
      <w:ind w:left="880"/>
    </w:pPr>
  </w:style>
  <w:style w:type="paragraph" w:styleId="193">
    <w:name w:val="toc 6"/>
    <w:basedOn w:val="811"/>
    <w:next w:val="811"/>
    <w:uiPriority w:val="39"/>
    <w:unhideWhenUsed/>
    <w:pPr>
      <w:pBdr/>
      <w:spacing w:after="100"/>
      <w:ind w:left="1100"/>
    </w:pPr>
  </w:style>
  <w:style w:type="paragraph" w:styleId="194">
    <w:name w:val="toc 7"/>
    <w:basedOn w:val="811"/>
    <w:next w:val="811"/>
    <w:uiPriority w:val="39"/>
    <w:unhideWhenUsed/>
    <w:pPr>
      <w:pBdr/>
      <w:spacing w:after="100"/>
      <w:ind w:left="1320"/>
    </w:pPr>
  </w:style>
  <w:style w:type="paragraph" w:styleId="195">
    <w:name w:val="toc 8"/>
    <w:basedOn w:val="811"/>
    <w:next w:val="811"/>
    <w:uiPriority w:val="39"/>
    <w:unhideWhenUsed/>
    <w:pPr>
      <w:pBdr/>
      <w:spacing w:after="100"/>
      <w:ind w:left="1540"/>
    </w:pPr>
  </w:style>
  <w:style w:type="paragraph" w:styleId="196">
    <w:name w:val="toc 9"/>
    <w:basedOn w:val="811"/>
    <w:next w:val="811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1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11"/>
    <w:next w:val="811"/>
    <w:uiPriority w:val="99"/>
    <w:unhideWhenUsed/>
    <w:pPr>
      <w:pBdr/>
      <w:spacing w:after="0" w:afterAutospacing="0"/>
      <w:ind/>
    </w:pPr>
  </w:style>
  <w:style w:type="paragraph" w:styleId="811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12">
    <w:name w:val="Heading 1"/>
    <w:basedOn w:val="811"/>
    <w:next w:val="811"/>
    <w:qFormat/>
    <w:pPr>
      <w:keepNext w:val="true"/>
      <w:pBdr/>
      <w:spacing/>
      <w:ind w:firstLine="708"/>
      <w:outlineLvl w:val="0"/>
    </w:pPr>
    <w:rPr>
      <w:b/>
      <w:bCs/>
    </w:rPr>
  </w:style>
  <w:style w:type="paragraph" w:styleId="813">
    <w:name w:val="Heading 3"/>
    <w:basedOn w:val="811"/>
    <w:next w:val="811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Carattere predefinito paragrafo"/>
    <w:pPr>
      <w:pBdr/>
      <w:spacing/>
      <w:ind/>
    </w:pPr>
  </w:style>
  <w:style w:type="paragraph" w:styleId="818">
    <w:name w:val="Body Text"/>
    <w:basedOn w:val="811"/>
    <w:pPr>
      <w:pBdr/>
      <w:spacing/>
      <w:ind/>
    </w:pPr>
    <w:rPr>
      <w:sz w:val="16"/>
    </w:rPr>
  </w:style>
  <w:style w:type="paragraph" w:styleId="819">
    <w:name w:val="List"/>
    <w:basedOn w:val="818"/>
    <w:pPr>
      <w:pBdr/>
      <w:spacing/>
      <w:ind/>
    </w:pPr>
    <w:rPr>
      <w:rFonts w:cs="Tahoma"/>
    </w:rPr>
  </w:style>
  <w:style w:type="paragraph" w:styleId="820" w:customStyle="1">
    <w:name w:val="Dicitura"/>
    <w:basedOn w:val="811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821" w:customStyle="1">
    <w:name w:val="Indice"/>
    <w:basedOn w:val="811"/>
    <w:pPr>
      <w:suppressLineNumbers w:val="true"/>
      <w:pBdr/>
      <w:spacing/>
      <w:ind/>
    </w:pPr>
    <w:rPr>
      <w:rFonts w:cs="Tahoma"/>
    </w:rPr>
  </w:style>
  <w:style w:type="paragraph" w:styleId="822" w:customStyle="1">
    <w:name w:val="Intestazione1"/>
    <w:basedOn w:val="811"/>
    <w:next w:val="818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823" w:customStyle="1">
    <w:name w:val="Corpo del testo 21"/>
    <w:basedOn w:val="811"/>
    <w:pPr>
      <w:pBdr/>
      <w:spacing/>
      <w:ind/>
      <w:jc w:val="center"/>
    </w:pPr>
  </w:style>
  <w:style w:type="paragraph" w:styleId="824" w:customStyle="1">
    <w:name w:val="Corpo del testo 31"/>
    <w:basedOn w:val="811"/>
    <w:pPr>
      <w:pBdr/>
      <w:spacing/>
      <w:ind/>
    </w:pPr>
    <w:rPr>
      <w:sz w:val="18"/>
    </w:rPr>
  </w:style>
  <w:style w:type="paragraph" w:styleId="825">
    <w:name w:val="Header"/>
    <w:basedOn w:val="81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26">
    <w:name w:val="Footer"/>
    <w:basedOn w:val="81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27" w:customStyle="1">
    <w:name w:val="Contenuto tabella"/>
    <w:basedOn w:val="811"/>
    <w:pPr>
      <w:suppressLineNumbers w:val="true"/>
      <w:pBdr/>
      <w:spacing/>
      <w:ind/>
    </w:pPr>
  </w:style>
  <w:style w:type="paragraph" w:styleId="828" w:customStyle="1">
    <w:name w:val="Intestazione tabella"/>
    <w:basedOn w:val="827"/>
    <w:pPr>
      <w:pBdr/>
      <w:spacing/>
      <w:ind/>
      <w:jc w:val="center"/>
    </w:pPr>
    <w:rPr>
      <w:b/>
      <w:bCs/>
      <w:i/>
      <w:iCs/>
    </w:rPr>
  </w:style>
  <w:style w:type="table" w:styleId="829">
    <w:name w:val="Table Grid"/>
    <w:basedOn w:val="81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List Paragraph"/>
    <w:basedOn w:val="811"/>
    <w:uiPriority w:val="34"/>
    <w:qFormat/>
    <w:pPr>
      <w:pBdr/>
      <w:spacing/>
      <w:ind w:left="720"/>
      <w:contextualSpacing w:val="true"/>
    </w:pPr>
  </w:style>
  <w:style w:type="character" w:styleId="831">
    <w:name w:val="page number"/>
    <w:pPr>
      <w:pBdr/>
      <w:spacing/>
      <w:ind/>
    </w:pPr>
    <w:rPr>
      <w:sz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Agrumigel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Francesco Scavello</cp:lastModifiedBy>
  <cp:revision>64</cp:revision>
  <dcterms:created xsi:type="dcterms:W3CDTF">2016-04-20T10:42:00Z</dcterms:created>
  <dcterms:modified xsi:type="dcterms:W3CDTF">2025-11-13T11:39:59Z</dcterms:modified>
</cp:coreProperties>
</file>