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85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85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854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PROC-01 – Gestione delle Emergenze</w:t>
      </w:r>
      <w:r>
        <w:rPr>
          <w:lang w:val="it-IT"/>
        </w:rPr>
      </w:r>
    </w:p>
    <w:p>
      <w:pPr>
        <w:pStyle w:val="85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</w:p>
    <w:p>
      <w:pPr>
        <w:pStyle w:val="853"/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</w:p>
    <w:p>
      <w:pPr>
        <w:pStyle w:val="853"/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</w:p>
    <w:p>
      <w:pPr>
        <w:pStyle w:val="85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927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85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</w:p>
          <w:p>
            <w:pPr>
              <w:pStyle w:val="85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</w:p>
          <w:p>
            <w:pPr>
              <w:pStyle w:val="85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  <w:p>
            <w:pPr>
              <w:pStyle w:val="85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</w:p>
          <w:p>
            <w:pPr>
              <w:pStyle w:val="85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  <w:p>
            <w:pPr>
              <w:pStyle w:val="85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</w:p>
        </w:tc>
      </w:tr>
    </w:tbl>
    <w:p>
      <w:pPr>
        <w:pStyle w:val="85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</w:p>
    <w:p>
      <w:pPr>
        <w:pStyle w:val="854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</w:tc>
      </w:tr>
    </w:tbl>
    <w:p>
      <w:pPr>
        <w:pStyle w:val="85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841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2180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928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2180" w:anchor="_Toc211352180" w:history="1">
            <w:r>
              <w:rPr>
                <w:rStyle w:val="889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_Toc211352180 \h </w:instrText>
            </w:r>
            <w:r/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1" w:anchor="_Toc211352181" w:history="1">
            <w:r>
              <w:rPr>
                <w:rStyle w:val="889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_Toc211352181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2" w:anchor="_Toc211352182" w:history="1">
            <w:r>
              <w:rPr>
                <w:rStyle w:val="889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_Toc211352182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3" w:anchor="_Toc211352183" w:history="1">
            <w:r>
              <w:rPr>
                <w:rStyle w:val="889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_Toc211352183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4" w:anchor="_Toc211352184" w:history="1">
            <w:r>
              <w:rPr>
                <w:rStyle w:val="889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_Toc211352184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5" w:anchor="_Toc211352185" w:history="1">
            <w:r>
              <w:rPr>
                <w:rStyle w:val="889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_Toc211352185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6" w:anchor="_Toc211352186" w:history="1">
            <w:r>
              <w:rPr>
                <w:rStyle w:val="889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_Toc211352186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7" w:anchor="_Toc211352187" w:history="1">
            <w:r>
              <w:rPr>
                <w:rStyle w:val="889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_Toc211352187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92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188" w:anchor="_Toc211352188" w:history="1">
            <w:r>
              <w:rPr>
                <w:rStyle w:val="889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889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_Toc211352188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841"/>
        <w:pBdr/>
        <w:spacing/>
        <w:ind/>
        <w:rPr/>
      </w:pPr>
      <w:r/>
      <w:bookmarkStart w:id="4" w:name="_Toc211352181"/>
      <w:r>
        <w:t xml:space="preserve">Scopo</w:t>
      </w:r>
      <w:bookmarkEnd w:id="4"/>
      <w:r/>
      <w:r/>
    </w:p>
    <w:p>
      <w:pPr>
        <w:pStyle w:val="854"/>
        <w:pBdr/>
        <w:spacing/>
        <w:ind/>
        <w:rPr/>
      </w:pPr>
      <w:r>
        <w:t xml:space="preserve">Definire le modalità di gestione delle situazioni di emergenza (incendi, evacuazioni, incidenti ri</w:t>
      </w:r>
      <w:r>
        <w:t xml:space="preserve">levanti, sversamenti chimici, etc.) al fine di proteggere la salute delle persone e limitare i danni a impianti e ambiente. La procedura assicura un’efficace preparazione e risposta alle emergenze in conformità al Piano di Emergenza ed Evacuazione interno.</w:t>
      </w:r>
      <w:r/>
    </w:p>
    <w:p>
      <w:pPr>
        <w:pStyle w:val="841"/>
        <w:pBdr/>
        <w:spacing/>
        <w:ind/>
        <w:rPr/>
      </w:pPr>
      <w:r/>
      <w:bookmarkStart w:id="5" w:name="_Toc211352182"/>
      <w:r>
        <w:t xml:space="preserve">Campo di Applicazione</w:t>
      </w:r>
      <w:bookmarkEnd w:id="5"/>
      <w:r/>
      <w:r/>
    </w:p>
    <w:p>
      <w:pPr>
        <w:pStyle w:val="853"/>
        <w:pBdr/>
        <w:spacing/>
        <w:ind/>
        <w:rPr/>
      </w:pPr>
      <w:r>
        <w:t xml:space="preserve">Tutti i lavoratori, visitatori e appaltatori presenti presso lo stabilimento di </w:t>
      </w:r>
      <w:r>
        <w:t xml:space="preserve">Agrumigel</w:t>
      </w:r>
      <w:r>
        <w:t xml:space="preserve"> s.r.l. Comprende le emergenze antincendio, infortunio grave, evacuazione generale, fughe di gas (es. ammoniaca) e ogni altra situazione pericolosa che richieda un intervento immediato.</w:t>
      </w:r>
      <w:r/>
    </w:p>
    <w:p>
      <w:pPr>
        <w:pStyle w:val="841"/>
        <w:pBdr/>
        <w:spacing/>
        <w:ind/>
        <w:rPr/>
      </w:pPr>
      <w:r/>
      <w:bookmarkStart w:id="6" w:name="_Toc211352183"/>
      <w:r>
        <w:t xml:space="preserve">Riferimenti</w:t>
      </w:r>
      <w:bookmarkEnd w:id="6"/>
      <w:r/>
      <w:r/>
    </w:p>
    <w:p>
      <w:pPr>
        <w:numPr>
          <w:ilvl w:val="0"/>
          <w:numId w:val="40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D.Lgs.</w:t>
      </w:r>
      <w:r>
        <w:rPr>
          <w:rFonts w:eastAsia="Times New Roman"/>
        </w:rPr>
        <w:t xml:space="preserve"> 81/2008, art. 43 e seguenti (gestione emergenze, evacuazione, primo soccorso)</w:t>
      </w:r>
      <w:r>
        <w:rPr>
          <w:rFonts w:eastAsia="Times New Roman"/>
        </w:rPr>
      </w:r>
    </w:p>
    <w:p>
      <w:pPr>
        <w:numPr>
          <w:ilvl w:val="0"/>
          <w:numId w:val="40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Piano di Emergenza ed Evacuazione aziendale</w:t>
      </w:r>
      <w:r>
        <w:rPr>
          <w:rFonts w:eastAsia="Times New Roman"/>
        </w:rPr>
      </w:r>
    </w:p>
    <w:p>
      <w:pPr>
        <w:numPr>
          <w:ilvl w:val="0"/>
          <w:numId w:val="40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Norme antincendio vigenti</w:t>
      </w:r>
      <w:r>
        <w:rPr>
          <w:rFonts w:eastAsia="Times New Roman"/>
        </w:rPr>
      </w:r>
    </w:p>
    <w:p>
      <w:pPr>
        <w:numPr>
          <w:ilvl w:val="0"/>
          <w:numId w:val="40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Valutazione dei rischi (DVR) </w:t>
      </w:r>
      <w:r>
        <w:rPr>
          <w:rFonts w:eastAsia="Times New Roman"/>
        </w:rPr>
        <w:t xml:space="preserve">Agrumigel</w:t>
      </w:r>
      <w:r>
        <w:rPr>
          <w:rFonts w:eastAsia="Times New Roman"/>
        </w:rPr>
      </w:r>
    </w:p>
    <w:p>
      <w:pPr>
        <w:pBdr/>
        <w:spacing/>
        <w:ind/>
        <w:rPr/>
      </w:pPr>
      <w:r>
        <w:t xml:space="preserve"> </w:t>
      </w:r>
      <w:r/>
    </w:p>
    <w:p>
      <w:pPr>
        <w:pStyle w:val="841"/>
        <w:pBdr/>
        <w:spacing/>
        <w:ind/>
        <w:rPr/>
      </w:pPr>
      <w:r/>
      <w:bookmarkStart w:id="7" w:name="_Toc211352184"/>
      <w:r>
        <w:t xml:space="preserve">Definizioni e modalità operative</w:t>
      </w:r>
      <w:bookmarkEnd w:id="7"/>
      <w:r/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Organizzazione delle Emergenze:</w:t>
      </w:r>
      <w:r>
        <w:t xml:space="preserve"> È istituita la Squadra di Emergenza interna, composta da addetti antincendio e primo soccorso designati </w:t>
      </w:r>
      <w:r>
        <w:t xml:space="preserve">dal Datore di Lavoro. I nominativi e i ruoli (Coordinatore dell’emergenza, Addetti antincendio, Addetti primo soccorso) sono indicati nel Piano di Emergenza. Tutti i lavoratori sono informati sugli allarmi e sulle procedure da seguire in caso di emergenza.</w:t>
      </w:r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Allarme e Comunicazione:</w:t>
      </w:r>
      <w:r>
        <w:t xml:space="preserve"> In caso di incendio o altra emergenza, chiunque la rilevi deve </w:t>
      </w:r>
      <w:r>
        <w:t xml:space="preserve">attivare immediatamente l’allarme (sirena o chiamata di emergenza interna) e avvisare un Addetto all’Emergenza. Il Coordinatore dell’emergenza valuta la situazione e, se necessario, dispone l’evacuazione e chiama i soccorsi esterni (Vigili del Fuoco, 112).</w:t>
      </w:r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Evacuazione:</w:t>
      </w:r>
      <w:r>
        <w:t xml:space="preserve"> All’ordine di evacuazione, tutti devono abbandonare l’area seguendo le vie di fuga </w:t>
      </w:r>
      <w:r>
        <w:t xml:space="preserve">segnalate, senza ritardi per recuperare oggetti personali. Le uscite di emergenza vanno tenute sempre sgombre e funzionanti. I lavoratori si radunano nel Punto di Raccolta designato all’esterno e attendono istruzioni. Il Coordinatore effettua il conteggio </w:t>
      </w:r>
      <w:r>
        <w:t xml:space="preserve">delle persone e segnala al 112 eventuali dispersi.</w:t>
      </w:r>
      <w:r>
        <w:br/>
      </w:r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Intervento Antincendio Iniziale:</w:t>
      </w:r>
      <w:r>
        <w:t xml:space="preserve"> Se l’incendio è di piccola entità e si è addestrati, gli Addetti Antincendio possono tentare di estinguerlo con gli estintori portatili appropriati (CO₂ per fuochi elettrici, polvere ABC</w:t>
      </w:r>
      <w:r>
        <w:t xml:space="preserve"> per fuochi generici). Operare sempre in coppia, con un estintore di riserva, mantenendo una via di fuga libera. Non usare l’acqua su impianti elettrici o su fiamme alimentate da liquidi infiammabili. Se il primo intervento fallisce o il fumo è eccessivo, </w:t>
      </w:r>
      <w:r>
        <w:rPr>
          <w:i/>
          <w:iCs/>
        </w:rPr>
        <w:t xml:space="preserve">abbandonare subito</w:t>
      </w:r>
      <w:r>
        <w:t xml:space="preserve"> e procedere all’evacuazione generale.</w:t>
      </w:r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Primo Soccorso:</w:t>
      </w:r>
      <w:r>
        <w:t xml:space="preserve"> In caso di infortunio o malore grave, chiamare immediatamente gli Addetti al Primo Soccorso. Questi intervengono con il contenuto della cassetta di primo soccorso (presente in reparto) e stabilizzano l’infortunato. </w:t>
      </w:r>
      <w:r>
        <w:t xml:space="preserve">Nel frattempo</w:t>
      </w:r>
      <w:r>
        <w:t xml:space="preserve"> si allerta il 112 fornendo informazioni su natura dell’evento, numero di persone coinvolte, condizioni dell’infortunato e indirizzo esatto dello stabilimento.</w:t>
      </w:r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Emergenze Specifiche:</w:t>
      </w:r>
      <w:r>
        <w:t xml:space="preserve"> Per emergenze da sostanze pericolose (es. fuga di ammoniaca dal sistema frigorifero), attivare l</w:t>
      </w:r>
      <w:r>
        <w:t xml:space="preserve">’allarme specifico (segnalatori acustico/luminosi installati nei locali tecnici) e far evacuare immediatamente la zona interessata. Il personale addestrato utilizzerà autorespiratori o maschere filtranti idonee prima di tentare manovre di contenimento solo</w:t>
      </w:r>
      <w:r>
        <w:t xml:space="preserve"> se addestrato e in sicurezza. In caso di fuoriuscita ammoniaca, azionare se possibile il sistema di emergenza (ad es. vasca di accumulo acqua per neutralizzare l’ammoniaca dalle valvole di sicurezza) e attendere i soccorsi esterni a distanza di sicurezza.</w:t>
      </w:r>
      <w:r/>
    </w:p>
    <w:p>
      <w:pPr>
        <w:pStyle w:val="853"/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Conclusione e Ripristino:</w:t>
      </w:r>
      <w:r>
        <w:t xml:space="preserve"> Terminata l’emergenza,</w:t>
      </w:r>
      <w:r>
        <w:t xml:space="preserve"> il Coordinatore dichiara cessato allarme quando la situazione è sotto controllo. Prima del rientro in area, si verifica l’assenza di pericoli residui (es. focolai, gas). Si esegue un briefing finale per raccogliere informazioni sull’evento e si redige un </w:t>
      </w:r>
      <w:r>
        <w:rPr>
          <w:i/>
          <w:iCs/>
        </w:rPr>
        <w:t xml:space="preserve">Rapporto di Emergenza</w:t>
      </w:r>
      <w:r>
        <w:t xml:space="preserve">. Ogni emergenza gestita sarà analizzata in seguito per migliorare le procedure (Lesson </w:t>
      </w:r>
      <w:r>
        <w:t xml:space="preserve">Learned</w:t>
      </w:r>
      <w:r>
        <w:t xml:space="preserve">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41"/>
        <w:pBdr/>
        <w:spacing/>
        <w:ind/>
        <w:rPr/>
      </w:pPr>
      <w:r/>
      <w:bookmarkStart w:id="8" w:name="_Toc211352185"/>
      <w:r>
        <w:t xml:space="preserve">Matrice RACI</w:t>
      </w:r>
      <w:bookmarkEnd w:id="8"/>
      <w:r/>
      <w:r/>
    </w:p>
    <w:p>
      <w:pPr>
        <w:pStyle w:val="853"/>
        <w:pBdr/>
        <w:spacing/>
        <w:ind/>
        <w:rPr/>
      </w:pPr>
      <w:r>
        <w:t xml:space="preserve">Ruoli e responsabilità nella gestione delle emergenze: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927"/>
      </w:tblPr>
      <w:tblGrid>
        <w:gridCol w:w="2484"/>
        <w:gridCol w:w="1544"/>
        <w:gridCol w:w="803"/>
        <w:gridCol w:w="2155"/>
        <w:gridCol w:w="1754"/>
        <w:gridCol w:w="1448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</w:t>
            </w:r>
            <w:r>
              <w:t xml:space="preserve"> (DL)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Coordinatore Emergenza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Addetti Emergenza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Lavoratori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t xml:space="preserve">Nomina squadra di emergenza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t xml:space="preserve">Redazione Piano di Emergenza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t xml:space="preserve">Gestione evento emergenziale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t xml:space="preserve">Evacuazione e primo intervento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 (eseguono)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t xml:space="preserve">Chiamata soccorsi esterni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rPr/>
            </w:pPr>
            <w:r>
              <w:t xml:space="preserve">Verifica periodica procedure/drill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85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853"/>
        <w:pBdr/>
        <w:spacing/>
        <w:ind/>
        <w:rPr/>
      </w:pPr>
      <w:r>
        <w:rPr>
          <w:i/>
          <w:iCs/>
        </w:rPr>
        <w:t xml:space="preserve">Legenda:</w:t>
      </w:r>
      <w:r>
        <w:t xml:space="preserve"> </w:t>
      </w:r>
      <w:r>
        <w:rPr>
          <w:b/>
          <w:bCs/>
        </w:rPr>
        <w:t xml:space="preserve">R = Responsible</w:t>
      </w:r>
      <w:r>
        <w:t xml:space="preserve"> (Esegue l’attività); </w:t>
      </w:r>
      <w:r>
        <w:rPr>
          <w:b/>
          <w:bCs/>
        </w:rPr>
        <w:t xml:space="preserve">A = </w:t>
      </w:r>
      <w:r>
        <w:rPr>
          <w:b/>
          <w:bCs/>
        </w:rPr>
        <w:t xml:space="preserve">Accountable</w:t>
      </w:r>
      <w:r>
        <w:t xml:space="preserve"> (Responsabile ultimo decisioni); </w:t>
      </w:r>
      <w:r>
        <w:rPr>
          <w:b/>
          <w:bCs/>
        </w:rPr>
        <w:t xml:space="preserve">C = </w:t>
      </w:r>
      <w:r>
        <w:rPr>
          <w:b/>
          <w:bCs/>
        </w:rPr>
        <w:t xml:space="preserve">Consulted</w:t>
      </w:r>
      <w:r>
        <w:t xml:space="preserve"> (Consultato per pareri); </w:t>
      </w:r>
      <w:r>
        <w:rPr>
          <w:b/>
          <w:bCs/>
        </w:rPr>
        <w:t xml:space="preserve">I = </w:t>
      </w:r>
      <w:r>
        <w:rPr>
          <w:b/>
          <w:bCs/>
        </w:rPr>
        <w:t xml:space="preserve">Informed</w:t>
      </w:r>
      <w:r>
        <w:t xml:space="preserve"> (Tenuto informato).</w:t>
      </w:r>
      <w:r/>
    </w:p>
    <w:p>
      <w:pPr>
        <w:pStyle w:val="841"/>
        <w:pBdr/>
        <w:spacing/>
        <w:ind/>
        <w:rPr/>
      </w:pPr>
      <w:r/>
      <w:bookmarkStart w:id="9" w:name="_Toc211352186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927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Indicatore</w:t>
            </w:r>
            <w:r>
              <w:rPr>
                <w:b/>
                <w:bCs/>
              </w:rPr>
            </w:r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Dettaglio/Obiettivo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esercitazioni di emergenza svolte annualmente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obiettivo ≥ 2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 medio di evacuazione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minuti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addetti formati antincendio/primo soccorso vs pianificato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≥ 100%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incidenti in emergenza reali gestiti correttamente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analisi post-evento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 di risposta all’allarme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minuti</w:t>
            </w:r>
            <w:r>
              <w:t xml:space="preserve">/secondi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Monitoraggio di </w:t>
            </w:r>
            <w:r>
              <w:t xml:space="preserve">near</w:t>
            </w:r>
            <w:r>
              <w:t xml:space="preserve"> miss in situazioni critiche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eventi evitati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conformità emerse durante le prove di evacuazione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5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841"/>
        <w:pBdr/>
        <w:spacing/>
        <w:ind/>
        <w:rPr/>
      </w:pPr>
      <w:r/>
      <w:bookmarkStart w:id="10" w:name="_Toc211352187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931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Verbale di prova di evacuazione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registro esito drill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MOD-09 Piano di Emergenza ed Evacuazione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scheda riepilogativa dei dati di emergenza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Report di incidente/emergenza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form interno per analisi post-evento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41"/>
        <w:pBdr/>
        <w:spacing/>
        <w:ind/>
        <w:rPr/>
      </w:pPr>
      <w:r/>
      <w:bookmarkStart w:id="11" w:name="_Toc211352188"/>
      <w:r>
        <w:t xml:space="preserve">Controlli Previsti</w:t>
      </w:r>
      <w:bookmarkEnd w:id="11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931"/>
      </w:tblPr>
      <w:tblGrid>
        <w:gridCol w:w="2528"/>
        <w:gridCol w:w="2528"/>
        <w:gridCol w:w="2528"/>
        <w:gridCol w:w="2528"/>
      </w:tblGrid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Note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Verifiche attrezzature di emergenza (estintori, idranti, allarmi di evacuazione)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Semestrale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Simulazioni di emergenza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Almeno annuali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Controllo vie di fuga e uscite di emergenza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Devono essere libere e segnalate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Audit interno sull’addestramento del personale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Registro formazione in emergenza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Aggiornamento Piano di Emergenza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 occasione della riunione periodica sulla sicurezza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Discussione e correzione carenze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Continuo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 di miglioramento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End w:id="3"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925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9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927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923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923"/>
            <w:pBdr/>
            <w:spacing/>
            <w:ind/>
            <w:rPr>
              <w:lang w:val="it-IT"/>
            </w:rPr>
          </w:pPr>
          <w:r>
            <w:rPr>
              <w:b/>
              <w:bCs/>
              <w:lang w:val="it-IT"/>
            </w:rPr>
            <w:t xml:space="preserve">PROC-01 – Gestione delle Emergenze</w:t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923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PROC-01</w:t>
          </w:r>
          <w:r>
            <w:rPr>
              <w:lang w:val="it-IT"/>
            </w:rPr>
            <w:t xml:space="preserve">.</w:t>
          </w:r>
          <w:r>
            <w:rPr>
              <w:lang w:val="it-IT"/>
            </w:rPr>
          </w:r>
        </w:p>
        <w:p>
          <w:pPr>
            <w:pStyle w:val="923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</w:p>
      </w:tc>
    </w:tr>
  </w:tbl>
  <w:p>
    <w:pPr>
      <w:pStyle w:val="92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41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42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4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44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45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46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47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48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49"/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8"/>
  </w:num>
  <w:num w:numId="32">
    <w:abstractNumId w:val="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</w:num>
  <w:num w:numId="34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6"/>
  </w:num>
  <w:num w:numId="37">
    <w:abstractNumId w:val="3"/>
  </w:num>
  <w:num w:numId="38">
    <w:abstractNumId w:val="2"/>
  </w:num>
  <w:num w:numId="39">
    <w:abstractNumId w:val="4"/>
  </w:num>
  <w:num w:numId="40">
    <w:abstractNumId w:val="10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850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50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40"/>
    <w:next w:val="84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5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4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40"/>
    <w:next w:val="84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5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50"/>
    <w:link w:val="923"/>
    <w:uiPriority w:val="99"/>
    <w:pPr>
      <w:pBdr/>
      <w:spacing/>
      <w:ind/>
    </w:pPr>
  </w:style>
  <w:style w:type="character" w:styleId="178">
    <w:name w:val="Footer Char"/>
    <w:basedOn w:val="850"/>
    <w:link w:val="925"/>
    <w:uiPriority w:val="99"/>
    <w:pPr>
      <w:pBdr/>
      <w:spacing/>
      <w:ind/>
    </w:pPr>
  </w:style>
  <w:style w:type="character" w:styleId="181">
    <w:name w:val="Footnote Text Char"/>
    <w:basedOn w:val="850"/>
    <w:link w:val="875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84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5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192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193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194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195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196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1"/>
    <w:basedOn w:val="840"/>
    <w:next w:val="853"/>
    <w:link w:val="865"/>
    <w:uiPriority w:val="9"/>
    <w:qFormat/>
    <w:pPr>
      <w:keepNext w:val="true"/>
      <w:keepLines w:val="true"/>
      <w:numPr>
        <w:numId w:val="33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42">
    <w:name w:val="Heading 2"/>
    <w:basedOn w:val="840"/>
    <w:next w:val="853"/>
    <w:link w:val="866"/>
    <w:uiPriority w:val="9"/>
    <w:unhideWhenUsed/>
    <w:qFormat/>
    <w:pPr>
      <w:keepNext w:val="true"/>
      <w:keepLines w:val="true"/>
      <w:numPr>
        <w:ilvl w:val="1"/>
        <w:numId w:val="33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43">
    <w:name w:val="Heading 3"/>
    <w:basedOn w:val="840"/>
    <w:next w:val="853"/>
    <w:link w:val="867"/>
    <w:uiPriority w:val="9"/>
    <w:unhideWhenUsed/>
    <w:qFormat/>
    <w:pPr>
      <w:keepNext w:val="true"/>
      <w:keepLines w:val="true"/>
      <w:numPr>
        <w:ilvl w:val="2"/>
        <w:numId w:val="33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44">
    <w:name w:val="Heading 4"/>
    <w:basedOn w:val="840"/>
    <w:next w:val="853"/>
    <w:link w:val="868"/>
    <w:uiPriority w:val="9"/>
    <w:semiHidden/>
    <w:unhideWhenUsed/>
    <w:qFormat/>
    <w:pPr>
      <w:keepNext w:val="true"/>
      <w:keepLines w:val="true"/>
      <w:numPr>
        <w:ilvl w:val="3"/>
        <w:numId w:val="33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45">
    <w:name w:val="Heading 5"/>
    <w:basedOn w:val="840"/>
    <w:next w:val="853"/>
    <w:link w:val="869"/>
    <w:uiPriority w:val="9"/>
    <w:semiHidden/>
    <w:unhideWhenUsed/>
    <w:qFormat/>
    <w:pPr>
      <w:keepNext w:val="true"/>
      <w:keepLines w:val="true"/>
      <w:numPr>
        <w:ilvl w:val="4"/>
        <w:numId w:val="33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46">
    <w:name w:val="Heading 6"/>
    <w:basedOn w:val="840"/>
    <w:next w:val="853"/>
    <w:link w:val="870"/>
    <w:uiPriority w:val="9"/>
    <w:semiHidden/>
    <w:unhideWhenUsed/>
    <w:qFormat/>
    <w:pPr>
      <w:keepNext w:val="true"/>
      <w:keepLines w:val="true"/>
      <w:numPr>
        <w:ilvl w:val="5"/>
        <w:numId w:val="33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7">
    <w:name w:val="Heading 7"/>
    <w:basedOn w:val="840"/>
    <w:next w:val="853"/>
    <w:link w:val="871"/>
    <w:uiPriority w:val="9"/>
    <w:semiHidden/>
    <w:unhideWhenUsed/>
    <w:qFormat/>
    <w:pPr>
      <w:keepNext w:val="true"/>
      <w:keepLines w:val="true"/>
      <w:numPr>
        <w:ilvl w:val="6"/>
        <w:numId w:val="33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48">
    <w:name w:val="Heading 8"/>
    <w:basedOn w:val="840"/>
    <w:next w:val="853"/>
    <w:link w:val="872"/>
    <w:uiPriority w:val="9"/>
    <w:semiHidden/>
    <w:unhideWhenUsed/>
    <w:qFormat/>
    <w:pPr>
      <w:keepNext w:val="true"/>
      <w:keepLines w:val="true"/>
      <w:numPr>
        <w:ilvl w:val="7"/>
        <w:numId w:val="33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9">
    <w:name w:val="Heading 9"/>
    <w:basedOn w:val="840"/>
    <w:next w:val="853"/>
    <w:link w:val="873"/>
    <w:uiPriority w:val="9"/>
    <w:semiHidden/>
    <w:unhideWhenUsed/>
    <w:qFormat/>
    <w:pPr>
      <w:keepNext w:val="true"/>
      <w:keepLines w:val="true"/>
      <w:numPr>
        <w:ilvl w:val="8"/>
        <w:numId w:val="33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50" w:default="1">
    <w:name w:val="Default Paragraph Font"/>
    <w:uiPriority w:val="1"/>
    <w:unhideWhenUsed/>
    <w:pPr>
      <w:pBdr/>
      <w:spacing/>
      <w:ind/>
    </w:pPr>
  </w:style>
  <w:style w:type="table" w:styleId="8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paragraph" w:styleId="853">
    <w:name w:val="Body Text"/>
    <w:basedOn w:val="840"/>
    <w:qFormat/>
    <w:pPr>
      <w:pBdr/>
      <w:spacing w:after="180" w:before="180"/>
      <w:ind/>
    </w:pPr>
  </w:style>
  <w:style w:type="paragraph" w:styleId="854" w:customStyle="1">
    <w:name w:val="First Paragraph"/>
    <w:basedOn w:val="853"/>
    <w:next w:val="853"/>
    <w:qFormat/>
    <w:pPr>
      <w:pBdr/>
      <w:spacing/>
      <w:ind/>
    </w:pPr>
  </w:style>
  <w:style w:type="paragraph" w:styleId="855" w:customStyle="1">
    <w:name w:val="Compact"/>
    <w:basedOn w:val="853"/>
    <w:qFormat/>
    <w:pPr>
      <w:pBdr/>
      <w:spacing w:after="36" w:before="36"/>
      <w:ind/>
    </w:pPr>
  </w:style>
  <w:style w:type="paragraph" w:styleId="856">
    <w:name w:val="Title"/>
    <w:basedOn w:val="840"/>
    <w:next w:val="853"/>
    <w:link w:val="857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7" w:customStyle="1">
    <w:name w:val="Titolo Carattere"/>
    <w:basedOn w:val="850"/>
    <w:link w:val="85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8">
    <w:name w:val="Subtitle"/>
    <w:basedOn w:val="856"/>
    <w:next w:val="853"/>
    <w:link w:val="859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859" w:customStyle="1">
    <w:name w:val="Sottotitolo Carattere"/>
    <w:basedOn w:val="850"/>
    <w:link w:val="85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0" w:customStyle="1">
    <w:name w:val="Author"/>
    <w:next w:val="853"/>
    <w:qFormat/>
    <w:pPr>
      <w:keepNext w:val="true"/>
      <w:keepLines w:val="true"/>
      <w:pBdr/>
      <w:spacing/>
      <w:ind/>
      <w:jc w:val="center"/>
    </w:pPr>
  </w:style>
  <w:style w:type="paragraph" w:styleId="861">
    <w:name w:val="Date"/>
    <w:next w:val="853"/>
    <w:qFormat/>
    <w:pPr>
      <w:keepNext w:val="true"/>
      <w:keepLines w:val="true"/>
      <w:pBdr/>
      <w:spacing/>
      <w:ind/>
      <w:jc w:val="center"/>
    </w:pPr>
  </w:style>
  <w:style w:type="paragraph" w:styleId="862" w:customStyle="1">
    <w:name w:val="Abstract Title"/>
    <w:basedOn w:val="840"/>
    <w:next w:val="863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63" w:customStyle="1">
    <w:name w:val="Abstract"/>
    <w:basedOn w:val="840"/>
    <w:next w:val="85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64">
    <w:name w:val="Bibliography"/>
    <w:basedOn w:val="840"/>
    <w:qFormat/>
    <w:pPr>
      <w:pBdr/>
      <w:spacing/>
      <w:ind/>
    </w:pPr>
  </w:style>
  <w:style w:type="character" w:styleId="865" w:customStyle="1">
    <w:name w:val="Titolo 1 Carattere"/>
    <w:basedOn w:val="850"/>
    <w:link w:val="84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66" w:customStyle="1">
    <w:name w:val="Titolo 2 Carattere"/>
    <w:basedOn w:val="850"/>
    <w:link w:val="84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67" w:customStyle="1">
    <w:name w:val="Titolo 3 Carattere"/>
    <w:basedOn w:val="850"/>
    <w:link w:val="843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68" w:customStyle="1">
    <w:name w:val="Titolo 4 Carattere"/>
    <w:basedOn w:val="850"/>
    <w:link w:val="84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69" w:customStyle="1">
    <w:name w:val="Titolo 5 Carattere"/>
    <w:basedOn w:val="850"/>
    <w:link w:val="84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0" w:customStyle="1">
    <w:name w:val="Titolo 6 Carattere"/>
    <w:basedOn w:val="850"/>
    <w:link w:val="84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1" w:customStyle="1">
    <w:name w:val="Titolo 7 Carattere"/>
    <w:basedOn w:val="850"/>
    <w:link w:val="84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2" w:customStyle="1">
    <w:name w:val="Titolo 8 Carattere"/>
    <w:basedOn w:val="850"/>
    <w:link w:val="84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3" w:customStyle="1">
    <w:name w:val="Titolo 9 Carattere"/>
    <w:basedOn w:val="850"/>
    <w:link w:val="84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4">
    <w:name w:val="Block Text"/>
    <w:basedOn w:val="853"/>
    <w:next w:val="853"/>
    <w:uiPriority w:val="9"/>
    <w:unhideWhenUsed/>
    <w:qFormat/>
    <w:pPr>
      <w:pBdr/>
      <w:spacing w:after="100" w:before="100"/>
      <w:ind w:right="480" w:left="480"/>
    </w:pPr>
  </w:style>
  <w:style w:type="paragraph" w:styleId="875">
    <w:name w:val="footnote text"/>
    <w:basedOn w:val="840"/>
    <w:uiPriority w:val="9"/>
    <w:unhideWhenUsed/>
    <w:qFormat/>
    <w:pPr>
      <w:pBdr/>
      <w:spacing/>
      <w:ind/>
    </w:pPr>
  </w:style>
  <w:style w:type="paragraph" w:styleId="876" w:customStyle="1">
    <w:name w:val="Footnote Block Text"/>
    <w:basedOn w:val="875"/>
    <w:next w:val="875"/>
    <w:uiPriority w:val="9"/>
    <w:unhideWhenUsed/>
    <w:qFormat/>
    <w:pPr>
      <w:pBdr/>
      <w:spacing w:after="100" w:before="100"/>
      <w:ind w:right="480" w:left="480"/>
    </w:pPr>
  </w:style>
  <w:style w:type="table" w:styleId="877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 w:customStyle="1">
    <w:name w:val="Definition Term"/>
    <w:basedOn w:val="840"/>
    <w:next w:val="879"/>
    <w:pPr>
      <w:keepNext w:val="true"/>
      <w:keepLines w:val="true"/>
      <w:pBdr/>
      <w:spacing w:after="0"/>
      <w:ind/>
    </w:pPr>
    <w:rPr>
      <w:b/>
    </w:rPr>
  </w:style>
  <w:style w:type="paragraph" w:styleId="879" w:customStyle="1">
    <w:name w:val="Definition"/>
    <w:basedOn w:val="840"/>
    <w:pPr>
      <w:pBdr/>
      <w:spacing/>
      <w:ind/>
    </w:pPr>
  </w:style>
  <w:style w:type="paragraph" w:styleId="880">
    <w:name w:val="Caption"/>
    <w:basedOn w:val="840"/>
    <w:link w:val="885"/>
    <w:pPr>
      <w:pBdr/>
      <w:spacing w:after="120"/>
      <w:ind/>
    </w:pPr>
    <w:rPr>
      <w:i/>
    </w:rPr>
  </w:style>
  <w:style w:type="paragraph" w:styleId="881" w:customStyle="1">
    <w:name w:val="Table Caption"/>
    <w:basedOn w:val="880"/>
    <w:pPr>
      <w:keepNext w:val="true"/>
      <w:pBdr/>
      <w:spacing/>
      <w:ind/>
    </w:pPr>
  </w:style>
  <w:style w:type="paragraph" w:styleId="882" w:customStyle="1">
    <w:name w:val="Image Caption"/>
    <w:basedOn w:val="880"/>
    <w:pPr>
      <w:pBdr/>
      <w:spacing/>
      <w:ind/>
    </w:pPr>
  </w:style>
  <w:style w:type="paragraph" w:styleId="883" w:customStyle="1">
    <w:name w:val="Figure"/>
    <w:basedOn w:val="840"/>
    <w:pPr>
      <w:pBdr/>
      <w:spacing/>
      <w:ind/>
    </w:pPr>
  </w:style>
  <w:style w:type="paragraph" w:styleId="884" w:customStyle="1">
    <w:name w:val="Captioned Figure"/>
    <w:basedOn w:val="883"/>
    <w:pPr>
      <w:keepNext w:val="true"/>
      <w:pBdr/>
      <w:spacing/>
      <w:ind/>
    </w:pPr>
  </w:style>
  <w:style w:type="character" w:styleId="885" w:customStyle="1">
    <w:name w:val="Didascalia Carattere"/>
    <w:basedOn w:val="850"/>
    <w:link w:val="880"/>
    <w:pPr>
      <w:pBdr/>
      <w:spacing/>
      <w:ind/>
    </w:pPr>
  </w:style>
  <w:style w:type="character" w:styleId="886" w:customStyle="1">
    <w:name w:val="Verbatim Char"/>
    <w:basedOn w:val="885"/>
    <w:link w:val="891"/>
    <w:pPr>
      <w:pBdr/>
      <w:spacing/>
      <w:ind/>
    </w:pPr>
    <w:rPr>
      <w:rFonts w:ascii="Consolas" w:hAnsi="Consolas"/>
      <w:sz w:val="22"/>
    </w:rPr>
  </w:style>
  <w:style w:type="character" w:styleId="887" w:customStyle="1">
    <w:name w:val="Section Number"/>
    <w:basedOn w:val="885"/>
    <w:pPr>
      <w:pBdr/>
      <w:spacing/>
      <w:ind/>
    </w:pPr>
  </w:style>
  <w:style w:type="character" w:styleId="888">
    <w:name w:val="footnote reference"/>
    <w:basedOn w:val="885"/>
    <w:pPr>
      <w:pBdr/>
      <w:spacing/>
      <w:ind/>
    </w:pPr>
    <w:rPr>
      <w:vertAlign w:val="superscript"/>
    </w:rPr>
  </w:style>
  <w:style w:type="character" w:styleId="889">
    <w:name w:val="Hyperlink"/>
    <w:basedOn w:val="885"/>
    <w:uiPriority w:val="99"/>
    <w:pPr>
      <w:pBdr/>
      <w:spacing/>
      <w:ind/>
    </w:pPr>
    <w:rPr>
      <w:color w:val="156082" w:themeColor="accent1"/>
    </w:rPr>
  </w:style>
  <w:style w:type="paragraph" w:styleId="890">
    <w:name w:val="TOC Heading"/>
    <w:basedOn w:val="841"/>
    <w:next w:val="853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91" w:customStyle="1">
    <w:name w:val="Source Code"/>
    <w:basedOn w:val="840"/>
    <w:link w:val="886"/>
    <w:pPr>
      <w:pBdr/>
      <w:spacing/>
      <w:ind/>
    </w:pPr>
  </w:style>
  <w:style w:type="character" w:styleId="892" w:customStyle="1">
    <w:name w:val="KeywordTok"/>
    <w:basedOn w:val="88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93" w:customStyle="1">
    <w:name w:val="DataTypeTok"/>
    <w:basedOn w:val="886"/>
    <w:pPr>
      <w:pBdr/>
      <w:spacing/>
      <w:ind/>
    </w:pPr>
    <w:rPr>
      <w:rFonts w:ascii="Consolas" w:hAnsi="Consolas"/>
      <w:color w:val="902000"/>
      <w:sz w:val="22"/>
    </w:rPr>
  </w:style>
  <w:style w:type="character" w:styleId="894" w:customStyle="1">
    <w:name w:val="DecValTok"/>
    <w:basedOn w:val="886"/>
    <w:pPr>
      <w:pBdr/>
      <w:spacing/>
      <w:ind/>
    </w:pPr>
    <w:rPr>
      <w:rFonts w:ascii="Consolas" w:hAnsi="Consolas"/>
      <w:color w:val="40a070"/>
      <w:sz w:val="22"/>
    </w:rPr>
  </w:style>
  <w:style w:type="character" w:styleId="895" w:customStyle="1">
    <w:name w:val="BaseNTok"/>
    <w:basedOn w:val="886"/>
    <w:pPr>
      <w:pBdr/>
      <w:spacing/>
      <w:ind/>
    </w:pPr>
    <w:rPr>
      <w:rFonts w:ascii="Consolas" w:hAnsi="Consolas"/>
      <w:color w:val="40a070"/>
      <w:sz w:val="22"/>
    </w:rPr>
  </w:style>
  <w:style w:type="character" w:styleId="896" w:customStyle="1">
    <w:name w:val="FloatTok"/>
    <w:basedOn w:val="886"/>
    <w:pPr>
      <w:pBdr/>
      <w:spacing/>
      <w:ind/>
    </w:pPr>
    <w:rPr>
      <w:rFonts w:ascii="Consolas" w:hAnsi="Consolas"/>
      <w:color w:val="40a070"/>
      <w:sz w:val="22"/>
    </w:rPr>
  </w:style>
  <w:style w:type="character" w:styleId="897" w:customStyle="1">
    <w:name w:val="ConstantTok"/>
    <w:basedOn w:val="886"/>
    <w:pPr>
      <w:pBdr/>
      <w:spacing/>
      <w:ind/>
    </w:pPr>
    <w:rPr>
      <w:rFonts w:ascii="Consolas" w:hAnsi="Consolas"/>
      <w:color w:val="880000"/>
      <w:sz w:val="22"/>
    </w:rPr>
  </w:style>
  <w:style w:type="character" w:styleId="898" w:customStyle="1">
    <w:name w:val="CharTok"/>
    <w:basedOn w:val="886"/>
    <w:pPr>
      <w:pBdr/>
      <w:spacing/>
      <w:ind/>
    </w:pPr>
    <w:rPr>
      <w:rFonts w:ascii="Consolas" w:hAnsi="Consolas"/>
      <w:color w:val="4070a0"/>
      <w:sz w:val="22"/>
    </w:rPr>
  </w:style>
  <w:style w:type="character" w:styleId="899" w:customStyle="1">
    <w:name w:val="SpecialCharTok"/>
    <w:basedOn w:val="886"/>
    <w:pPr>
      <w:pBdr/>
      <w:spacing/>
      <w:ind/>
    </w:pPr>
    <w:rPr>
      <w:rFonts w:ascii="Consolas" w:hAnsi="Consolas"/>
      <w:color w:val="4070a0"/>
      <w:sz w:val="22"/>
    </w:rPr>
  </w:style>
  <w:style w:type="character" w:styleId="900" w:customStyle="1">
    <w:name w:val="StringTok"/>
    <w:basedOn w:val="886"/>
    <w:pPr>
      <w:pBdr/>
      <w:spacing/>
      <w:ind/>
    </w:pPr>
    <w:rPr>
      <w:rFonts w:ascii="Consolas" w:hAnsi="Consolas"/>
      <w:color w:val="4070a0"/>
      <w:sz w:val="22"/>
    </w:rPr>
  </w:style>
  <w:style w:type="character" w:styleId="901" w:customStyle="1">
    <w:name w:val="VerbatimStringTok"/>
    <w:basedOn w:val="886"/>
    <w:pPr>
      <w:pBdr/>
      <w:spacing/>
      <w:ind/>
    </w:pPr>
    <w:rPr>
      <w:rFonts w:ascii="Consolas" w:hAnsi="Consolas"/>
      <w:color w:val="4070a0"/>
      <w:sz w:val="22"/>
    </w:rPr>
  </w:style>
  <w:style w:type="character" w:styleId="902" w:customStyle="1">
    <w:name w:val="SpecialStringTok"/>
    <w:basedOn w:val="886"/>
    <w:pPr>
      <w:pBdr/>
      <w:spacing/>
      <w:ind/>
    </w:pPr>
    <w:rPr>
      <w:rFonts w:ascii="Consolas" w:hAnsi="Consolas"/>
      <w:color w:val="bb6688"/>
      <w:sz w:val="22"/>
    </w:rPr>
  </w:style>
  <w:style w:type="character" w:styleId="903" w:customStyle="1">
    <w:name w:val="ImportTok"/>
    <w:basedOn w:val="886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904" w:customStyle="1">
    <w:name w:val="CommentTok"/>
    <w:basedOn w:val="886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905" w:customStyle="1">
    <w:name w:val="DocumentationTok"/>
    <w:basedOn w:val="886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906" w:customStyle="1">
    <w:name w:val="AnnotationTok"/>
    <w:basedOn w:val="88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07" w:customStyle="1">
    <w:name w:val="CommentVarTok"/>
    <w:basedOn w:val="88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08" w:customStyle="1">
    <w:name w:val="OtherTok"/>
    <w:basedOn w:val="886"/>
    <w:pPr>
      <w:pBdr/>
      <w:spacing/>
      <w:ind/>
    </w:pPr>
    <w:rPr>
      <w:rFonts w:ascii="Consolas" w:hAnsi="Consolas"/>
      <w:color w:val="007020"/>
      <w:sz w:val="22"/>
    </w:rPr>
  </w:style>
  <w:style w:type="character" w:styleId="909" w:customStyle="1">
    <w:name w:val="FunctionTok"/>
    <w:basedOn w:val="886"/>
    <w:pPr>
      <w:pBdr/>
      <w:spacing/>
      <w:ind/>
    </w:pPr>
    <w:rPr>
      <w:rFonts w:ascii="Consolas" w:hAnsi="Consolas"/>
      <w:color w:val="06287e"/>
      <w:sz w:val="22"/>
    </w:rPr>
  </w:style>
  <w:style w:type="character" w:styleId="910" w:customStyle="1">
    <w:name w:val="VariableTok"/>
    <w:basedOn w:val="886"/>
    <w:pPr>
      <w:pBdr/>
      <w:spacing/>
      <w:ind/>
    </w:pPr>
    <w:rPr>
      <w:rFonts w:ascii="Consolas" w:hAnsi="Consolas"/>
      <w:color w:val="19177c"/>
      <w:sz w:val="22"/>
    </w:rPr>
  </w:style>
  <w:style w:type="character" w:styleId="911" w:customStyle="1">
    <w:name w:val="ControlFlowTok"/>
    <w:basedOn w:val="88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12" w:customStyle="1">
    <w:name w:val="OperatorTok"/>
    <w:basedOn w:val="886"/>
    <w:pPr>
      <w:pBdr/>
      <w:spacing/>
      <w:ind/>
    </w:pPr>
    <w:rPr>
      <w:rFonts w:ascii="Consolas" w:hAnsi="Consolas"/>
      <w:color w:val="666666"/>
      <w:sz w:val="22"/>
    </w:rPr>
  </w:style>
  <w:style w:type="character" w:styleId="913" w:customStyle="1">
    <w:name w:val="BuiltInTok"/>
    <w:basedOn w:val="886"/>
    <w:pPr>
      <w:pBdr/>
      <w:spacing/>
      <w:ind/>
    </w:pPr>
    <w:rPr>
      <w:rFonts w:ascii="Consolas" w:hAnsi="Consolas"/>
      <w:color w:val="008000"/>
      <w:sz w:val="22"/>
    </w:rPr>
  </w:style>
  <w:style w:type="character" w:styleId="914" w:customStyle="1">
    <w:name w:val="ExtensionTok"/>
    <w:basedOn w:val="886"/>
    <w:pPr>
      <w:pBdr/>
      <w:spacing/>
      <w:ind/>
    </w:pPr>
    <w:rPr>
      <w:rFonts w:ascii="Consolas" w:hAnsi="Consolas"/>
      <w:sz w:val="22"/>
    </w:rPr>
  </w:style>
  <w:style w:type="character" w:styleId="915" w:customStyle="1">
    <w:name w:val="PreprocessorTok"/>
    <w:basedOn w:val="886"/>
    <w:pPr>
      <w:pBdr/>
      <w:spacing/>
      <w:ind/>
    </w:pPr>
    <w:rPr>
      <w:rFonts w:ascii="Consolas" w:hAnsi="Consolas"/>
      <w:color w:val="bc7a00"/>
      <w:sz w:val="22"/>
    </w:rPr>
  </w:style>
  <w:style w:type="character" w:styleId="916" w:customStyle="1">
    <w:name w:val="AttributeTok"/>
    <w:basedOn w:val="886"/>
    <w:pPr>
      <w:pBdr/>
      <w:spacing/>
      <w:ind/>
    </w:pPr>
    <w:rPr>
      <w:rFonts w:ascii="Consolas" w:hAnsi="Consolas"/>
      <w:color w:val="7d9029"/>
      <w:sz w:val="22"/>
    </w:rPr>
  </w:style>
  <w:style w:type="character" w:styleId="917" w:customStyle="1">
    <w:name w:val="RegionMarkerTok"/>
    <w:basedOn w:val="886"/>
    <w:pPr>
      <w:pBdr/>
      <w:spacing/>
      <w:ind/>
    </w:pPr>
    <w:rPr>
      <w:rFonts w:ascii="Consolas" w:hAnsi="Consolas"/>
      <w:sz w:val="22"/>
    </w:rPr>
  </w:style>
  <w:style w:type="character" w:styleId="918" w:customStyle="1">
    <w:name w:val="InformationTok"/>
    <w:basedOn w:val="88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19" w:customStyle="1">
    <w:name w:val="WarningTok"/>
    <w:basedOn w:val="88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20" w:customStyle="1">
    <w:name w:val="AlertTok"/>
    <w:basedOn w:val="88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21" w:customStyle="1">
    <w:name w:val="ErrorTok"/>
    <w:basedOn w:val="88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22" w:customStyle="1">
    <w:name w:val="NormalTok"/>
    <w:basedOn w:val="886"/>
    <w:pPr>
      <w:pBdr/>
      <w:spacing/>
      <w:ind/>
    </w:pPr>
    <w:rPr>
      <w:rFonts w:ascii="Consolas" w:hAnsi="Consolas"/>
      <w:sz w:val="22"/>
    </w:rPr>
  </w:style>
  <w:style w:type="paragraph" w:styleId="923">
    <w:name w:val="Header"/>
    <w:basedOn w:val="840"/>
    <w:link w:val="924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924" w:customStyle="1">
    <w:name w:val="Intestazione Carattere"/>
    <w:basedOn w:val="850"/>
    <w:link w:val="923"/>
    <w:uiPriority w:val="99"/>
    <w:pPr>
      <w:pBdr/>
      <w:spacing/>
      <w:ind/>
    </w:pPr>
  </w:style>
  <w:style w:type="paragraph" w:styleId="925">
    <w:name w:val="Footer"/>
    <w:basedOn w:val="840"/>
    <w:link w:val="926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926" w:customStyle="1">
    <w:name w:val="Piè di pagina Carattere"/>
    <w:basedOn w:val="850"/>
    <w:link w:val="925"/>
    <w:uiPriority w:val="99"/>
    <w:pPr>
      <w:pBdr/>
      <w:spacing/>
      <w:ind/>
    </w:pPr>
  </w:style>
  <w:style w:type="table" w:styleId="927">
    <w:name w:val="Table Grid"/>
    <w:basedOn w:val="851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8">
    <w:name w:val="toc 1"/>
    <w:basedOn w:val="840"/>
    <w:next w:val="840"/>
    <w:uiPriority w:val="39"/>
    <w:pPr>
      <w:pBdr/>
      <w:spacing w:after="100"/>
      <w:ind/>
    </w:pPr>
  </w:style>
  <w:style w:type="paragraph" w:styleId="929">
    <w:name w:val="toc 2"/>
    <w:basedOn w:val="840"/>
    <w:next w:val="840"/>
    <w:uiPriority w:val="39"/>
    <w:pPr>
      <w:pBdr/>
      <w:spacing w:after="100"/>
      <w:ind w:left="240"/>
    </w:pPr>
  </w:style>
  <w:style w:type="paragraph" w:styleId="930">
    <w:name w:val="toc 3"/>
    <w:basedOn w:val="840"/>
    <w:next w:val="840"/>
    <w:uiPriority w:val="39"/>
    <w:pPr>
      <w:pBdr/>
      <w:spacing w:after="100"/>
      <w:ind w:left="480"/>
    </w:pPr>
  </w:style>
  <w:style w:type="table" w:styleId="931">
    <w:name w:val="Plain Table 1"/>
    <w:basedOn w:val="851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3</cp:revision>
  <dcterms:created xsi:type="dcterms:W3CDTF">2025-10-14T14:36:00Z</dcterms:created>
  <dcterms:modified xsi:type="dcterms:W3CDTF">2025-10-29T08:23:15Z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