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29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29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29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29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PROC-02 – Gestione dei Dispositivi di Protezione Individuale (DPI)</w:t>
      </w:r>
      <w:r>
        <w:rPr>
          <w:lang w:val="it-IT"/>
        </w:rPr>
      </w:r>
      <w:r>
        <w:rPr>
          <w:lang w:val="it-IT"/>
        </w:rPr>
      </w:r>
    </w:p>
    <w:p>
      <w:pPr>
        <w:pStyle w:val="1028"/>
        <w:pBdr/>
        <w:spacing/>
        <w:ind/>
        <w:rPr>
          <w:lang w:val="it-IT"/>
        </w:rPr>
      </w:pPr>
      <w:r>
        <w:rPr>
          <w:lang w:val="it-IT"/>
        </w:rPr>
      </w:r>
      <w:r>
        <w:rPr>
          <w:lang w:val="it-IT"/>
        </w:rPr>
      </w:r>
      <w:r>
        <w:rPr>
          <w:lang w:val="it-IT"/>
        </w:rPr>
      </w:r>
    </w:p>
    <w:p>
      <w:pPr>
        <w:pStyle w:val="1028"/>
        <w:pBdr/>
        <w:spacing/>
        <w:ind/>
        <w:rPr>
          <w:lang w:val="it-IT"/>
        </w:rPr>
      </w:pPr>
      <w:r>
        <w:rPr>
          <w:lang w:val="it-IT"/>
        </w:rPr>
      </w:r>
      <w:r>
        <w:rPr>
          <w:lang w:val="it-IT"/>
        </w:rPr>
      </w:r>
      <w:r>
        <w:rPr>
          <w:lang w:val="it-IT"/>
        </w:rPr>
      </w:r>
    </w:p>
    <w:p>
      <w:pPr>
        <w:pStyle w:val="1029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102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2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2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2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2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2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29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29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29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29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29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781731850"/>
        <w:docPartObj>
          <w:docPartGallery w:val="Table of Contents"/>
          <w:docPartUnique w:val="true"/>
        </w:docPartObj>
        <w:rPr>
          <w:lang w:val="it-IT"/>
        </w:rPr>
      </w:sdtPr>
      <w:sdtContent>
        <w:p>
          <w:pPr>
            <w:pStyle w:val="1016"/>
            <w:numPr>
              <w:ilvl w:val="0"/>
              <w:numId w:val="0"/>
            </w:numPr>
            <w:pBdr/>
            <w:spacing/>
            <w:ind w:hanging="360" w:left="360"/>
            <w:rPr/>
          </w:pPr>
          <w:r/>
          <w:bookmarkStart w:id="2" w:name="_Toc211352485"/>
          <w:r>
            <w:rPr>
              <w:lang w:val="it-IT"/>
            </w:rPr>
            <w:t xml:space="preserve">Sommario</w:t>
          </w:r>
          <w:bookmarkEnd w:id="2"/>
          <w:r/>
          <w:r/>
        </w:p>
        <w:p>
          <w:pPr>
            <w:pStyle w:val="1103"/>
            <w:pBdr/>
            <w:tabs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352485" w:anchor="_Toc211352485" w:history="1">
            <w:r>
              <w:rPr>
                <w:rStyle w:val="1064"/>
                <w:lang w:val="it-IT"/>
              </w:rPr>
              <w:t xml:space="preserve">Sommario</w:t>
            </w:r>
            <w:r>
              <w:tab/>
            </w:r>
            <w:r>
              <w:fldChar w:fldCharType="begin"/>
            </w:r>
            <w:r>
              <w:instrText xml:space="preserve"> PAGEREF _Toc211352485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3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486" w:anchor="_Toc211352486" w:history="1">
            <w:r>
              <w:rPr>
                <w:rStyle w:val="1064"/>
              </w:rPr>
              <w:t xml:space="preserve">1.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4"/>
              </w:rPr>
              <w:t xml:space="preserve">Scopo</w:t>
            </w:r>
            <w:r>
              <w:tab/>
            </w:r>
            <w:r>
              <w:fldChar w:fldCharType="begin"/>
            </w:r>
            <w:r>
              <w:instrText xml:space="preserve"> PAGEREF _Toc211352486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3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487" w:anchor="_Toc211352487" w:history="1">
            <w:r>
              <w:rPr>
                <w:rStyle w:val="1064"/>
              </w:rPr>
              <w:t xml:space="preserve">2.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4"/>
              </w:rPr>
              <w:t xml:space="preserve">Campo di Applicazione</w:t>
            </w:r>
            <w:r>
              <w:tab/>
            </w:r>
            <w:r>
              <w:fldChar w:fldCharType="begin"/>
            </w:r>
            <w:r>
              <w:instrText xml:space="preserve"> PAGEREF _Toc211352487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3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488" w:anchor="_Toc211352488" w:history="1">
            <w:r>
              <w:rPr>
                <w:rStyle w:val="1064"/>
              </w:rPr>
              <w:t xml:space="preserve">3.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4"/>
              </w:rPr>
              <w:t xml:space="preserve">Riferimenti</w:t>
            </w:r>
            <w:r>
              <w:tab/>
            </w:r>
            <w:r>
              <w:fldChar w:fldCharType="begin"/>
            </w:r>
            <w:r>
              <w:instrText xml:space="preserve"> PAGEREF _Toc211352488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3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489" w:anchor="_Toc211352489" w:history="1">
            <w:r>
              <w:rPr>
                <w:rStyle w:val="1064"/>
              </w:rPr>
              <w:t xml:space="preserve">4.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4"/>
              </w:rPr>
              <w:t xml:space="preserve">Definizioni e Modalità Operative</w:t>
            </w:r>
            <w:r>
              <w:tab/>
            </w:r>
            <w:r>
              <w:fldChar w:fldCharType="begin"/>
            </w:r>
            <w:r>
              <w:instrText xml:space="preserve"> PAGEREF _Toc211352489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3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490" w:anchor="_Toc211352490" w:history="1">
            <w:r>
              <w:rPr>
                <w:rStyle w:val="1064"/>
              </w:rPr>
              <w:t xml:space="preserve">5.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4"/>
              </w:rPr>
              <w:t xml:space="preserve">Matrice RACI</w:t>
            </w:r>
            <w:r>
              <w:tab/>
            </w:r>
            <w:r>
              <w:fldChar w:fldCharType="begin"/>
            </w:r>
            <w:r>
              <w:instrText xml:space="preserve"> PAGEREF _Toc211352490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3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491" w:anchor="_Toc211352491" w:history="1">
            <w:r>
              <w:rPr>
                <w:rStyle w:val="1064"/>
              </w:rPr>
              <w:t xml:space="preserve">6.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4"/>
              </w:rPr>
              <w:t xml:space="preserve">KPI</w:t>
            </w:r>
            <w:r>
              <w:tab/>
            </w:r>
            <w:r>
              <w:fldChar w:fldCharType="begin"/>
            </w:r>
            <w:r>
              <w:instrText xml:space="preserve"> PAGEREF _Toc211352491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3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492" w:anchor="_Toc211352492" w:history="1">
            <w:r>
              <w:rPr>
                <w:rStyle w:val="1064"/>
              </w:rPr>
              <w:t xml:space="preserve">7.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4"/>
              </w:rPr>
              <w:t xml:space="preserve">Modulistica</w:t>
            </w:r>
            <w:r>
              <w:tab/>
            </w:r>
            <w:r>
              <w:fldChar w:fldCharType="begin"/>
            </w:r>
            <w:r>
              <w:instrText xml:space="preserve"> PAGEREF _Toc211352492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3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493" w:anchor="_Toc211352493" w:history="1">
            <w:r>
              <w:rPr>
                <w:rStyle w:val="1064"/>
              </w:rPr>
              <w:t xml:space="preserve">8.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4"/>
              </w:rPr>
              <w:t xml:space="preserve">Controlli Previsti</w:t>
            </w:r>
            <w:r>
              <w:tab/>
            </w:r>
            <w:r>
              <w:fldChar w:fldCharType="begin"/>
            </w:r>
            <w:r>
              <w:instrText xml:space="preserve"> PAGEREF _Toc211352493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bookmarkStart w:id="3" w:name="citations"/>
      <w:r/>
      <w:bookmarkEnd w:id="0"/>
      <w:r/>
      <w:bookmarkEnd w:id="1"/>
      <w:r>
        <w:br w:type="page" w:clear="all"/>
      </w:r>
      <w:r/>
    </w:p>
    <w:p>
      <w:pPr>
        <w:pStyle w:val="1016"/>
        <w:pBdr/>
        <w:spacing/>
        <w:ind/>
        <w:rPr/>
      </w:pPr>
      <w:r/>
      <w:bookmarkStart w:id="4" w:name="_Toc211352486"/>
      <w:r>
        <w:t xml:space="preserve">Scopo</w:t>
      </w:r>
      <w:bookmarkEnd w:id="4"/>
      <w:r/>
      <w:r/>
    </w:p>
    <w:p>
      <w:pPr>
        <w:pStyle w:val="1029"/>
        <w:pBdr/>
        <w:spacing/>
        <w:ind/>
        <w:rPr/>
      </w:pPr>
      <w:r>
        <w:t xml:space="preserve">Garantire che tutti i lavoratori siano dotati, informati e utilizzino c</w:t>
      </w:r>
      <w:r>
        <w:t xml:space="preserve">orrettamente i Dispositivi di Protezione Individuale appropriati per prevenire lesioni e malattie professionali. La procedura disciplina l’individuazione dei DPI necessari, la fornitura, l’addestramento all’uso, la manutenzione e la sostituzione periodica.</w:t>
      </w:r>
      <w:r/>
    </w:p>
    <w:p>
      <w:pPr>
        <w:pStyle w:val="1016"/>
        <w:pBdr/>
        <w:spacing/>
        <w:ind/>
        <w:rPr/>
      </w:pPr>
      <w:r/>
      <w:bookmarkStart w:id="5" w:name="_Toc211352487"/>
      <w:r>
        <w:t xml:space="preserve">Campo di Applicazione</w:t>
      </w:r>
      <w:bookmarkEnd w:id="5"/>
      <w:r/>
      <w:r/>
    </w:p>
    <w:p>
      <w:pPr>
        <w:pStyle w:val="1028"/>
        <w:pBdr/>
        <w:spacing/>
        <w:ind/>
        <w:rPr/>
      </w:pPr>
      <w:r>
        <w:t xml:space="preserve">Tutti i lavoratori di </w:t>
      </w:r>
      <w:r>
        <w:t xml:space="preserve">Agrumigel</w:t>
      </w:r>
      <w:r>
        <w:t xml:space="preserve"> s.r.l. e, laddove applicabile, anche visitatori </w:t>
      </w:r>
      <w:r>
        <w:t xml:space="preserve">e personale di ditte esterne presenti in stabilimento. Si applica a tutti i DPI obbligatori per legge o valutati necessari dal DVR per mansioni specifiche (es. protezioni acustiche, visive, respiratorie, anticaduta,</w:t>
      </w:r>
      <w:r>
        <w:rPr>
          <w:highlight w:val="yellow"/>
        </w:rPr>
        <w:t xml:space="preserve"> abbigliamento ad alta visibilità</w:t>
      </w:r>
      <w:r>
        <w:t xml:space="preserve">, ecc.).</w:t>
      </w:r>
      <w:r/>
    </w:p>
    <w:p>
      <w:pPr>
        <w:pStyle w:val="1016"/>
        <w:pBdr/>
        <w:spacing/>
        <w:ind/>
        <w:rPr/>
      </w:pPr>
      <w:r/>
      <w:bookmarkStart w:id="6" w:name="_Toc211352488"/>
      <w:r>
        <w:t xml:space="preserve">Riferimenti</w:t>
      </w:r>
      <w:bookmarkEnd w:id="6"/>
      <w:r/>
      <w:r/>
    </w:p>
    <w:p>
      <w:pPr>
        <w:pStyle w:val="1028"/>
        <w:pBdr/>
        <w:spacing/>
        <w:ind/>
        <w:rPr/>
      </w:pPr>
      <w:r>
        <w:t xml:space="preserve">D.Lgs.</w:t>
      </w:r>
      <w:r>
        <w:t xml:space="preserve"> 81/2008 art.74-79 (Obblighi datore di lavoro e lavoratori sull’uso dei DPI); Norme UNI di riferimento per ciascun DPI; Valutazione dei Rischi aziendale (capitoli relativi ai rischi specifici e DPI associati); Manuali d’uso dei DPI forniti dai produttori.</w:t>
      </w:r>
      <w:r/>
    </w:p>
    <w:p>
      <w:pPr>
        <w:pStyle w:val="1016"/>
        <w:pBdr/>
        <w:spacing/>
        <w:ind/>
        <w:rPr/>
      </w:pPr>
      <w:r/>
      <w:bookmarkStart w:id="7" w:name="_Toc211352489"/>
      <w:r>
        <w:t xml:space="preserve">Definizioni e </w:t>
      </w:r>
      <w:r>
        <w:t xml:space="preserve">Modalità Operative</w:t>
      </w:r>
      <w:bookmarkEnd w:id="7"/>
      <w:r/>
      <w:r/>
    </w:p>
    <w:p>
      <w:pPr>
        <w:pStyle w:val="1028"/>
        <w:numPr>
          <w:ilvl w:val="0"/>
          <w:numId w:val="42"/>
        </w:numPr>
        <w:pBdr/>
        <w:spacing/>
        <w:ind/>
        <w:rPr/>
      </w:pPr>
      <w:r>
        <w:rPr>
          <w:b/>
          <w:bCs/>
        </w:rPr>
        <w:t xml:space="preserve">Individuazione DPI Necessari:</w:t>
      </w:r>
      <w:r>
        <w:t xml:space="preserve"> Il RSPP, in collaborazione con il Medico Competente e i Preposti, identifica per ogni mansione e attività i DPI necessari sulla base del DVR (ad es.</w:t>
      </w:r>
      <w:r>
        <w:t xml:space="preserve"> otoprotettori in area rumorosa, guanti anti-taglio per chi manipola lame, autorespiratore per ingressi in ambienti con carenza di ossigeno, ecc.). L’elenco dei DPI obbligatori per ciascuna posizione è riportato nella tabella DPI aziendale allegata al DVR.</w:t>
      </w:r>
      <w:r/>
    </w:p>
    <w:p>
      <w:pPr>
        <w:pStyle w:val="1028"/>
        <w:numPr>
          <w:ilvl w:val="0"/>
          <w:numId w:val="42"/>
        </w:numPr>
        <w:pBdr/>
        <w:spacing/>
        <w:ind/>
        <w:rPr/>
      </w:pPr>
      <w:r>
        <w:rPr>
          <w:b/>
          <w:bCs/>
        </w:rPr>
        <w:t xml:space="preserve">Approvvigionamento e Consegna:</w:t>
      </w:r>
      <w:r>
        <w:t xml:space="preserve"> </w:t>
      </w:r>
      <w:r>
        <w:t xml:space="preserve">L’Ufficio Acquisti o il Magazzino DPI mantiene scorte adeguate di DPI conformi (marchio CE, norme tecniche EN applicabili). Ad ogni nuova assunzione o cambio mansione, i DPI vengono consegnati gratuitamente al lavoratore. La consegna è documentata tramite </w:t>
      </w:r>
      <w:r>
        <w:rPr>
          <w:b/>
          <w:bCs/>
          <w:highlight w:val="none"/>
        </w:rPr>
        <w:t xml:space="preserve">MOD-02 Registro Consegna DPI</w:t>
      </w:r>
      <w:r>
        <w:t xml:space="preserve">, firmato dal lavoratore per ricevuta e accompagnato dalla nota informativa d’uso e manutenzione del DPI stesso. I DPI consegnati sono di taglia appropriata e, ove richiesto, personalizzati (es. tappi su misura, occhiali graduati).</w:t>
      </w:r>
      <w:r/>
    </w:p>
    <w:p>
      <w:pPr>
        <w:pStyle w:val="1028"/>
        <w:numPr>
          <w:ilvl w:val="0"/>
          <w:numId w:val="42"/>
        </w:numPr>
        <w:pBdr/>
        <w:spacing/>
        <w:ind/>
        <w:rPr/>
      </w:pPr>
      <w:r>
        <w:rPr>
          <w:b/>
          <w:bCs/>
        </w:rPr>
        <w:t xml:space="preserve">Formazione e Addestramento all’Uso:</w:t>
      </w:r>
      <w:r>
        <w:t xml:space="preserve"> Ogni lavoratore riceve istruzioni pratiche sul corretto utilizzo dei DPI: ad esempio, come indossare e regolare l’imbracatura anticaduta, come controllare il filtro di una maschera, come togliere i guanti contaminati. Vengono fornite le </w:t>
      </w:r>
      <w:r>
        <w:rPr>
          <w:i/>
          <w:iCs/>
        </w:rPr>
        <w:t xml:space="preserve">schede informative</w:t>
      </w:r>
      <w:r>
        <w:t xml:space="preserve"> del produttore in lingua comprensibile. L’addestramento è registrato su registro formazione. Particolare attenzione è data ai DPI </w:t>
      </w:r>
      <w:r>
        <w:t xml:space="preserve">di III categoria (salvataggio, anticaduta, respiratori), che richiedono addestramento specifico periodico.</w:t>
      </w:r>
      <w:r/>
    </w:p>
    <w:p>
      <w:pPr>
        <w:pStyle w:val="1028"/>
        <w:numPr>
          <w:ilvl w:val="0"/>
          <w:numId w:val="42"/>
        </w:numPr>
        <w:pBdr/>
        <w:spacing/>
        <w:ind/>
        <w:rPr/>
      </w:pPr>
      <w:r>
        <w:rPr>
          <w:b/>
          <w:bCs/>
        </w:rPr>
        <w:t xml:space="preserve">Utilizzo e Obblighi dei Lavoratori:</w:t>
      </w:r>
      <w:r>
        <w:t xml:space="preserve"> I lavora</w:t>
      </w:r>
      <w:r>
        <w:t xml:space="preserve">tori devono utilizzare i DPI messi a disposizione ogni volta che è necessario, in modo conforme alle istruzioni ricevute. È fatto divieto di iniziare un’operazione pericolosa sprovvisti dei DPI previsti; in caso di mancanza o difetto del DPI, il lavoratore</w:t>
      </w:r>
      <w:r>
        <w:t xml:space="preserve"> deve informare immediatamente il suo preposto e astenersi dall’esporsi al rischio senza protezione. I DPI devono essere indossati correttamente (es. casco allacciato, cuffie ben aderenti, etc.) e mantenuti puliti. È vietato manomettere o modificare i DPI.</w:t>
      </w:r>
      <w:r/>
    </w:p>
    <w:p>
      <w:pPr>
        <w:pStyle w:val="1028"/>
        <w:numPr>
          <w:ilvl w:val="0"/>
          <w:numId w:val="42"/>
        </w:numPr>
        <w:pBdr/>
        <w:spacing/>
        <w:ind/>
        <w:rPr/>
      </w:pPr>
      <w:r>
        <w:rPr>
          <w:b/>
          <w:bCs/>
        </w:rPr>
        <w:t xml:space="preserve">Manutenzione e Sostituzione:</w:t>
      </w:r>
      <w:r>
        <w:t xml:space="preserve"> I DPI riutilizzabili devono essere mantenuti in efficienza: i lavoratori li puliscono e ripongono dopo l’uso secondo le indicazioni. La manutenzione periodica (es. verifica trimestrale delle funi e dei moschettoni, calibraz</w:t>
      </w:r>
      <w:r>
        <w:t xml:space="preserve">ione di rilevatori gas) è organizzata dal Servizio di Prevenzione: vengono effettuati controlli e, se un DPI risulta danneggiato o scaduto, viene immediatamente sostituito. Per DPI monouso, si provvede allo smaltimento dopo l’uso singolo. Viene utilizzata </w:t>
      </w:r>
      <w:r>
        <w:rPr>
          <w:b/>
          <w:bCs/>
        </w:rPr>
        <w:t xml:space="preserve">MOD-01 Check-list DPI</w:t>
      </w:r>
      <w:r>
        <w:t xml:space="preserve"> per le verifiche ispettive periodiche sullo stato dei DPI (ad esempio controllo scadenza filtri, integrità dei caschi, usura delle calzature).</w:t>
      </w:r>
      <w:r/>
    </w:p>
    <w:p>
      <w:pPr>
        <w:pStyle w:val="1028"/>
        <w:numPr>
          <w:ilvl w:val="0"/>
          <w:numId w:val="42"/>
        </w:numPr>
        <w:pBdr/>
        <w:spacing/>
        <w:ind/>
        <w:rPr/>
      </w:pPr>
      <w:r>
        <w:rPr>
          <w:b/>
          <w:bCs/>
        </w:rPr>
        <w:t xml:space="preserve">Registrazione e Tracciabilità:</w:t>
      </w:r>
      <w:r>
        <w:rPr>
          <w:highlight w:val="none"/>
        </w:rPr>
        <w:t xml:space="preserve"> Ogni lavoratore ha una scheda pers</w:t>
      </w:r>
      <w:r>
        <w:rPr>
          <w:highlight w:val="none"/>
        </w:rPr>
        <w:t xml:space="preserve">onale DPI dove sono annotati i DPI consegnati e le date di consegna/sostituzione.</w:t>
      </w:r>
      <w:r>
        <w:rPr>
          <w:highlight w:val="none"/>
        </w:rPr>
        <w:t xml:space="preserve"> </w:t>
      </w:r>
      <w:r>
        <w:t xml:space="preserve">Eventuali non conformità (ad es. uso improprio o rifiuto del DPI) sono registrate e portate all’attenzione del preposto e RSPP per azioni correttive (es. richiamo formativo).</w:t>
      </w:r>
      <w:r/>
    </w:p>
    <w:p>
      <w:pPr>
        <w:pStyle w:val="1016"/>
        <w:pBdr/>
        <w:spacing/>
        <w:ind/>
        <w:rPr/>
      </w:pPr>
      <w:r/>
      <w:bookmarkStart w:id="8" w:name="_Toc211352490"/>
      <w:r>
        <w:t xml:space="preserve">Matrice RACI</w:t>
      </w:r>
      <w:bookmarkEnd w:id="8"/>
      <w:r/>
      <w:r/>
    </w:p>
    <w:p>
      <w:pPr>
        <w:pStyle w:val="1028"/>
        <w:pBdr/>
        <w:spacing/>
        <w:ind/>
        <w:rPr/>
      </w:pPr>
      <w:r>
        <w:t xml:space="preserve">Ruoli coinvolti nella gestione dei DPI:</w:t>
      </w:r>
      <w:r/>
    </w:p>
    <w:tbl>
      <w:tblPr>
        <w:tblW w:w="0" w:type="auto"/>
        <w:tblBorders/>
        <w:tblLook w:val="0020" w:firstRow="1" w:lastRow="0" w:firstColumn="0" w:lastColumn="0" w:noHBand="0" w:noVBand="0"/>
        <w:tblStyle w:val="1102"/>
      </w:tblPr>
      <w:tblGrid>
        <w:gridCol w:w="3134"/>
        <w:gridCol w:w="1217"/>
        <w:gridCol w:w="803"/>
        <w:gridCol w:w="1283"/>
        <w:gridCol w:w="2357"/>
        <w:gridCol w:w="1394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rPr/>
            </w:pPr>
            <w:r>
              <w:rPr>
                <w:b/>
                <w:bCs/>
              </w:rPr>
              <w:t xml:space="preserve">Attività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Datore di Lavoro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RSPP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Preposto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Magazzino/Acquisti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Lavoratore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rPr/>
            </w:pPr>
            <w:r>
              <w:t xml:space="preserve">Selezione tipologie DPI (DVR)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rPr/>
            </w:pPr>
            <w:r>
              <w:t xml:space="preserve">Acquisto e scorta DPI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A (budget)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rPr/>
            </w:pPr>
            <w:r>
              <w:t xml:space="preserve">Consegna e documentazione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rPr/>
            </w:pPr>
            <w:r>
              <w:t xml:space="preserve">Formazione e addestramento uso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rPr/>
            </w:pPr>
            <w:r>
              <w:t xml:space="preserve">Utilizzo corretto in operatività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 (vigilanza)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rPr/>
            </w:pPr>
            <w:r>
              <w:t xml:space="preserve">Manutenzione/sostituzione DPI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R (fornitura)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 (segnala)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rPr/>
            </w:pPr>
            <w:r>
              <w:t xml:space="preserve">Verifiche ispettive conformità DPI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</w:tbl>
    <w:p>
      <w:pPr>
        <w:pStyle w:val="1016"/>
        <w:pBdr/>
        <w:spacing/>
        <w:ind/>
        <w:rPr/>
      </w:pPr>
      <w:r/>
      <w:bookmarkStart w:id="9" w:name="_Toc211352491"/>
      <w:r>
        <w:t xml:space="preserve">KPI</w:t>
      </w:r>
      <w:bookmarkEnd w:id="9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06"/>
      </w:tblPr>
      <w:tblGrid>
        <w:gridCol w:w="5056"/>
        <w:gridCol w:w="5056"/>
      </w:tblGrid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Indicatore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Dettaglio/Obiettivo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% di lavoratori dotati di tutti i DPI previsti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target 100%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Frequenza di sostituzione DPI critici rispettata (%)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es. sostituzione filtri respiratori entro scadenza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segnalazioni di DPI non idonei o mancanti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infortuni occorsi per mancato uso di DPI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target 0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Risultati delle checklist DPI (percentuale di conformità)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percentuale di conformità riscontrata durante ispezioni periodiche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016"/>
        <w:pBdr/>
        <w:spacing/>
        <w:ind/>
        <w:rPr/>
      </w:pPr>
      <w:r/>
      <w:bookmarkStart w:id="10" w:name="_Toc211352492"/>
      <w:r>
        <w:t xml:space="preserve">Modulistica</w:t>
      </w:r>
      <w:bookmarkEnd w:id="10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06"/>
      </w:tblPr>
      <w:tblGrid>
        <w:gridCol w:w="3370"/>
        <w:gridCol w:w="3371"/>
        <w:gridCol w:w="3371"/>
      </w:tblGrid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Codice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Nome Documento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Descrizione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MOD-01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Check-list DPI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controllo periodico dotazione e stato DPI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MOD-02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Registro Consegna DPI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firma per ricevuta DPI e note informative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Schede tecniche/istruzioni DPI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fornite ai lavoratori (allegate, non compilative)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016"/>
        <w:pBdr/>
        <w:spacing/>
        <w:ind/>
        <w:rPr/>
      </w:pPr>
      <w:r/>
      <w:bookmarkStart w:id="11" w:name="_Toc211352493"/>
      <w:r>
        <w:t xml:space="preserve">Controlli Previsti</w:t>
      </w:r>
      <w:bookmarkEnd w:id="11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06"/>
      </w:tblPr>
      <w:tblGrid>
        <w:gridCol w:w="2022"/>
        <w:gridCol w:w="2022"/>
        <w:gridCol w:w="2022"/>
        <w:gridCol w:w="2023"/>
        <w:gridCol w:w="2023"/>
      </w:tblGrid>
      <w:tr>
        <w:trPr/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Attività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Frequenza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Responsabile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Obiettivo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Azioni correlate</w:t>
            </w:r>
            <w:r/>
          </w:p>
        </w:tc>
      </w:tr>
      <w:tr>
        <w:trPr/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Audit interni a sorpresa sull’uso dei DPI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specificata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Preposti, RSPP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Osservare se il personale indossa i DPI corretti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Osservazione durante il lavoro</w:t>
            </w:r>
            <w:r/>
          </w:p>
        </w:tc>
      </w:tr>
      <w:tr>
        <w:trPr/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Verifica dello stato dei DPI con check-list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Trimestrale a campione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specificata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Verificare stato DPI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Report al Datore di Lavoro</w:t>
            </w:r>
            <w:r/>
          </w:p>
        </w:tc>
      </w:tr>
      <w:tr>
        <w:trPr/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Manutenzione </w:t>
            </w:r>
            <w:r>
              <w:t xml:space="preserve">programmata DPI complessi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Almeno annuale </w:t>
            </w:r>
            <w:r>
              <w:t xml:space="preserve">(es. taratura rilevatori gas), secondo scadenze (funi anticaduta)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specificata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Mantenere </w:t>
            </w:r>
            <w:r>
              <w:t xml:space="preserve">efficienza DPI complessi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Taratura, </w:t>
            </w:r>
            <w:r>
              <w:t xml:space="preserve">revisione</w:t>
            </w:r>
            <w:r/>
          </w:p>
        </w:tc>
      </w:tr>
      <w:tr>
        <w:trPr/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Monitoraggio comportamenti sull’uso DPI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Costante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Preposti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Segnalare infrazioni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Misure disciplinari secondo regolamento interno</w:t>
            </w:r>
            <w:r/>
          </w:p>
        </w:tc>
      </w:tr>
      <w:tr>
        <w:trPr/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Riunione periodica annuale sulla sicurezza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Annuale</w:t>
            </w:r>
            <w:r/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specificata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Discussione adeguatezza DPI, problemi riscontrati</w:t>
            </w:r>
            <w:r/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Pianificazione miglioramenti (es. DPI più confortevoli o efficaci)</w:t>
            </w:r>
            <w:r/>
          </w:p>
        </w:tc>
      </w:tr>
    </w:tbl>
    <w:p>
      <w:pPr>
        <w:pBdr/>
        <w:spacing/>
        <w:ind/>
        <w:rPr/>
      </w:pPr>
      <w:r/>
      <w:bookmarkEnd w:id="3"/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100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10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102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098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098"/>
            <w:pBdr/>
            <w:spacing/>
            <w:ind/>
            <w:rPr>
              <w:lang w:val="it-IT"/>
            </w:rPr>
          </w:pPr>
          <w:r>
            <w:rPr>
              <w:b/>
              <w:bCs/>
              <w:lang w:val="it-IT"/>
            </w:rPr>
            <w:t xml:space="preserve">PROC-02 – Gestione dei Dispositivi di Protezione Individuale (DPI)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098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PROC-0</w:t>
          </w:r>
          <w:r>
            <w:rPr>
              <w:lang w:val="it-IT"/>
            </w:rPr>
            <w:t xml:space="preserve">2</w:t>
          </w:r>
          <w:r>
            <w:rPr>
              <w:lang w:val="it-IT"/>
            </w:rPr>
            <w:t xml:space="preserve">.</w:t>
          </w:r>
          <w:r>
            <w:rPr>
              <w:lang w:val="it-IT"/>
            </w:rPr>
          </w:r>
          <w:r>
            <w:rPr>
              <w:lang w:val="it-IT"/>
            </w:rPr>
          </w:r>
        </w:p>
        <w:p>
          <w:pPr>
            <w:pStyle w:val="1098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09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16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17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18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19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20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21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22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23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24"/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8"/>
  </w:num>
  <w:num w:numId="32">
    <w:abstractNumId w:val="8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</w:num>
  <w:num w:numId="34">
    <w:abstractNumId w:val="9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6"/>
  </w:num>
  <w:num w:numId="37">
    <w:abstractNumId w:val="3"/>
  </w:num>
  <w:num w:numId="38">
    <w:abstractNumId w:val="2"/>
  </w:num>
  <w:num w:numId="39">
    <w:abstractNumId w:val="4"/>
  </w:num>
  <w:num w:numId="40">
    <w:abstractNumId w:val="10"/>
  </w:num>
  <w:num w:numId="41">
    <w:abstractNumId w:val="7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2">
    <w:name w:val="Table Grid Light"/>
    <w:basedOn w:val="10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2"/>
    <w:basedOn w:val="10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1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2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3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4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5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6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1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2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3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4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5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6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1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2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3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4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5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6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6">
    <w:name w:val="Heading 1 Char"/>
    <w:basedOn w:val="1025"/>
    <w:link w:val="10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7">
    <w:name w:val="Heading 2 Char"/>
    <w:basedOn w:val="1025"/>
    <w:link w:val="10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8">
    <w:name w:val="Heading 3 Char"/>
    <w:basedOn w:val="1025"/>
    <w:link w:val="10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9">
    <w:name w:val="Heading 4 Char"/>
    <w:basedOn w:val="1025"/>
    <w:link w:val="10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0">
    <w:name w:val="Heading 5 Char"/>
    <w:basedOn w:val="1025"/>
    <w:link w:val="10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1">
    <w:name w:val="Heading 6 Char"/>
    <w:basedOn w:val="1025"/>
    <w:link w:val="10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2">
    <w:name w:val="Heading 7 Char"/>
    <w:basedOn w:val="1025"/>
    <w:link w:val="102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3">
    <w:name w:val="Heading 8 Char"/>
    <w:basedOn w:val="1025"/>
    <w:link w:val="10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4">
    <w:name w:val="Heading 9 Char"/>
    <w:basedOn w:val="1025"/>
    <w:link w:val="10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5">
    <w:name w:val="Title Char"/>
    <w:basedOn w:val="1025"/>
    <w:link w:val="10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86">
    <w:name w:val="Subtitle Char"/>
    <w:basedOn w:val="1025"/>
    <w:link w:val="10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7">
    <w:name w:val="Quote"/>
    <w:basedOn w:val="1015"/>
    <w:next w:val="1015"/>
    <w:link w:val="9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8">
    <w:name w:val="Quote Char"/>
    <w:basedOn w:val="1025"/>
    <w:link w:val="98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89">
    <w:name w:val="List Paragraph"/>
    <w:basedOn w:val="1015"/>
    <w:uiPriority w:val="34"/>
    <w:qFormat/>
    <w:pPr>
      <w:pBdr/>
      <w:spacing/>
      <w:ind w:left="720"/>
      <w:contextualSpacing w:val="true"/>
    </w:pPr>
  </w:style>
  <w:style w:type="character" w:styleId="990">
    <w:name w:val="Intense Emphasis"/>
    <w:basedOn w:val="10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1">
    <w:name w:val="Intense Quote"/>
    <w:basedOn w:val="1015"/>
    <w:next w:val="1015"/>
    <w:link w:val="9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2">
    <w:name w:val="Intense Quote Char"/>
    <w:basedOn w:val="1025"/>
    <w:link w:val="9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3">
    <w:name w:val="Intense Reference"/>
    <w:basedOn w:val="10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4">
    <w:name w:val="No Spacing"/>
    <w:basedOn w:val="1015"/>
    <w:uiPriority w:val="1"/>
    <w:qFormat/>
    <w:pPr>
      <w:pBdr/>
      <w:spacing w:after="0" w:line="240" w:lineRule="auto"/>
      <w:ind/>
    </w:pPr>
  </w:style>
  <w:style w:type="character" w:styleId="995">
    <w:name w:val="Subtle Emphasis"/>
    <w:basedOn w:val="10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6">
    <w:name w:val="Emphasis"/>
    <w:basedOn w:val="1025"/>
    <w:uiPriority w:val="20"/>
    <w:qFormat/>
    <w:pPr>
      <w:pBdr/>
      <w:spacing/>
      <w:ind/>
    </w:pPr>
    <w:rPr>
      <w:i/>
      <w:iCs/>
    </w:rPr>
  </w:style>
  <w:style w:type="character" w:styleId="997">
    <w:name w:val="Strong"/>
    <w:basedOn w:val="1025"/>
    <w:uiPriority w:val="22"/>
    <w:qFormat/>
    <w:pPr>
      <w:pBdr/>
      <w:spacing/>
      <w:ind/>
    </w:pPr>
    <w:rPr>
      <w:b/>
      <w:bCs/>
    </w:rPr>
  </w:style>
  <w:style w:type="character" w:styleId="998">
    <w:name w:val="Subtle Reference"/>
    <w:basedOn w:val="10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9">
    <w:name w:val="Book Title"/>
    <w:basedOn w:val="102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0">
    <w:name w:val="Header Char"/>
    <w:basedOn w:val="1025"/>
    <w:link w:val="1098"/>
    <w:uiPriority w:val="99"/>
    <w:pPr>
      <w:pBdr/>
      <w:spacing/>
      <w:ind/>
    </w:pPr>
  </w:style>
  <w:style w:type="character" w:styleId="1001">
    <w:name w:val="Footer Char"/>
    <w:basedOn w:val="1025"/>
    <w:link w:val="1100"/>
    <w:uiPriority w:val="99"/>
    <w:pPr>
      <w:pBdr/>
      <w:spacing/>
      <w:ind/>
    </w:pPr>
  </w:style>
  <w:style w:type="character" w:styleId="1002">
    <w:name w:val="Footnote Text Char"/>
    <w:basedOn w:val="1025"/>
    <w:link w:val="1050"/>
    <w:uiPriority w:val="99"/>
    <w:semiHidden/>
    <w:pPr>
      <w:pBdr/>
      <w:spacing/>
      <w:ind/>
    </w:pPr>
    <w:rPr>
      <w:sz w:val="20"/>
      <w:szCs w:val="20"/>
    </w:rPr>
  </w:style>
  <w:style w:type="paragraph" w:styleId="1003">
    <w:name w:val="endnote text"/>
    <w:basedOn w:val="1015"/>
    <w:link w:val="10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4">
    <w:name w:val="Endnote Text Char"/>
    <w:basedOn w:val="1025"/>
    <w:link w:val="1003"/>
    <w:uiPriority w:val="99"/>
    <w:semiHidden/>
    <w:pPr>
      <w:pBdr/>
      <w:spacing/>
      <w:ind/>
    </w:pPr>
    <w:rPr>
      <w:sz w:val="20"/>
      <w:szCs w:val="20"/>
    </w:rPr>
  </w:style>
  <w:style w:type="character" w:styleId="1005">
    <w:name w:val="endnote reference"/>
    <w:basedOn w:val="1025"/>
    <w:uiPriority w:val="99"/>
    <w:semiHidden/>
    <w:unhideWhenUsed/>
    <w:pPr>
      <w:pBdr/>
      <w:spacing/>
      <w:ind/>
    </w:pPr>
    <w:rPr>
      <w:vertAlign w:val="superscript"/>
    </w:rPr>
  </w:style>
  <w:style w:type="character" w:styleId="1006">
    <w:name w:val="FollowedHyperlink"/>
    <w:basedOn w:val="10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7">
    <w:name w:val="toc 4"/>
    <w:basedOn w:val="1015"/>
    <w:next w:val="1015"/>
    <w:uiPriority w:val="39"/>
    <w:unhideWhenUsed/>
    <w:pPr>
      <w:pBdr/>
      <w:spacing w:after="100"/>
      <w:ind w:left="660"/>
    </w:pPr>
  </w:style>
  <w:style w:type="paragraph" w:styleId="1008">
    <w:name w:val="toc 5"/>
    <w:basedOn w:val="1015"/>
    <w:next w:val="1015"/>
    <w:uiPriority w:val="39"/>
    <w:unhideWhenUsed/>
    <w:pPr>
      <w:pBdr/>
      <w:spacing w:after="100"/>
      <w:ind w:left="880"/>
    </w:pPr>
  </w:style>
  <w:style w:type="paragraph" w:styleId="1009">
    <w:name w:val="toc 6"/>
    <w:basedOn w:val="1015"/>
    <w:next w:val="1015"/>
    <w:uiPriority w:val="39"/>
    <w:unhideWhenUsed/>
    <w:pPr>
      <w:pBdr/>
      <w:spacing w:after="100"/>
      <w:ind w:left="1100"/>
    </w:pPr>
  </w:style>
  <w:style w:type="paragraph" w:styleId="1010">
    <w:name w:val="toc 7"/>
    <w:basedOn w:val="1015"/>
    <w:next w:val="1015"/>
    <w:uiPriority w:val="39"/>
    <w:unhideWhenUsed/>
    <w:pPr>
      <w:pBdr/>
      <w:spacing w:after="100"/>
      <w:ind w:left="1320"/>
    </w:pPr>
  </w:style>
  <w:style w:type="paragraph" w:styleId="1011">
    <w:name w:val="toc 8"/>
    <w:basedOn w:val="1015"/>
    <w:next w:val="1015"/>
    <w:uiPriority w:val="39"/>
    <w:unhideWhenUsed/>
    <w:pPr>
      <w:pBdr/>
      <w:spacing w:after="100"/>
      <w:ind w:left="1540"/>
    </w:pPr>
  </w:style>
  <w:style w:type="paragraph" w:styleId="1012">
    <w:name w:val="toc 9"/>
    <w:basedOn w:val="1015"/>
    <w:next w:val="1015"/>
    <w:uiPriority w:val="39"/>
    <w:unhideWhenUsed/>
    <w:pPr>
      <w:pBdr/>
      <w:spacing w:after="100"/>
      <w:ind w:left="1760"/>
    </w:pPr>
  </w:style>
  <w:style w:type="character" w:styleId="1013">
    <w:name w:val="Placeholder Text"/>
    <w:basedOn w:val="1025"/>
    <w:uiPriority w:val="99"/>
    <w:semiHidden/>
    <w:pPr>
      <w:pBdr/>
      <w:spacing/>
      <w:ind/>
    </w:pPr>
    <w:rPr>
      <w:color w:val="666666"/>
    </w:rPr>
  </w:style>
  <w:style w:type="paragraph" w:styleId="1014">
    <w:name w:val="table of figures"/>
    <w:basedOn w:val="1015"/>
    <w:next w:val="1015"/>
    <w:uiPriority w:val="99"/>
    <w:unhideWhenUsed/>
    <w:pPr>
      <w:pBdr/>
      <w:spacing w:after="0" w:afterAutospacing="0"/>
      <w:ind/>
    </w:pPr>
  </w:style>
  <w:style w:type="paragraph" w:styleId="1015" w:default="1">
    <w:name w:val="Normal"/>
    <w:qFormat/>
    <w:pPr>
      <w:pBdr/>
      <w:spacing/>
      <w:ind/>
    </w:pPr>
  </w:style>
  <w:style w:type="paragraph" w:styleId="1016">
    <w:name w:val="Heading 1"/>
    <w:basedOn w:val="1015"/>
    <w:next w:val="1028"/>
    <w:link w:val="1040"/>
    <w:uiPriority w:val="9"/>
    <w:qFormat/>
    <w:pPr>
      <w:keepNext w:val="true"/>
      <w:keepLines w:val="true"/>
      <w:numPr>
        <w:numId w:val="33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17">
    <w:name w:val="Heading 2"/>
    <w:basedOn w:val="1015"/>
    <w:next w:val="1028"/>
    <w:link w:val="1041"/>
    <w:uiPriority w:val="9"/>
    <w:unhideWhenUsed/>
    <w:qFormat/>
    <w:pPr>
      <w:keepNext w:val="true"/>
      <w:keepLines w:val="true"/>
      <w:numPr>
        <w:ilvl w:val="1"/>
        <w:numId w:val="33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18">
    <w:name w:val="Heading 3"/>
    <w:basedOn w:val="1015"/>
    <w:next w:val="1028"/>
    <w:link w:val="1042"/>
    <w:uiPriority w:val="9"/>
    <w:unhideWhenUsed/>
    <w:qFormat/>
    <w:pPr>
      <w:keepNext w:val="true"/>
      <w:keepLines w:val="true"/>
      <w:numPr>
        <w:ilvl w:val="2"/>
        <w:numId w:val="33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19">
    <w:name w:val="Heading 4"/>
    <w:basedOn w:val="1015"/>
    <w:next w:val="1028"/>
    <w:link w:val="1043"/>
    <w:uiPriority w:val="9"/>
    <w:semiHidden/>
    <w:unhideWhenUsed/>
    <w:qFormat/>
    <w:pPr>
      <w:keepNext w:val="true"/>
      <w:keepLines w:val="true"/>
      <w:numPr>
        <w:ilvl w:val="3"/>
        <w:numId w:val="33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20">
    <w:name w:val="Heading 5"/>
    <w:basedOn w:val="1015"/>
    <w:next w:val="1028"/>
    <w:link w:val="1044"/>
    <w:uiPriority w:val="9"/>
    <w:semiHidden/>
    <w:unhideWhenUsed/>
    <w:qFormat/>
    <w:pPr>
      <w:keepNext w:val="true"/>
      <w:keepLines w:val="true"/>
      <w:numPr>
        <w:ilvl w:val="4"/>
        <w:numId w:val="33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21">
    <w:name w:val="Heading 6"/>
    <w:basedOn w:val="1015"/>
    <w:next w:val="1028"/>
    <w:link w:val="1045"/>
    <w:uiPriority w:val="9"/>
    <w:semiHidden/>
    <w:unhideWhenUsed/>
    <w:qFormat/>
    <w:pPr>
      <w:keepNext w:val="true"/>
      <w:keepLines w:val="true"/>
      <w:numPr>
        <w:ilvl w:val="5"/>
        <w:numId w:val="33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22">
    <w:name w:val="Heading 7"/>
    <w:basedOn w:val="1015"/>
    <w:next w:val="1028"/>
    <w:link w:val="1046"/>
    <w:uiPriority w:val="9"/>
    <w:semiHidden/>
    <w:unhideWhenUsed/>
    <w:qFormat/>
    <w:pPr>
      <w:keepNext w:val="true"/>
      <w:keepLines w:val="true"/>
      <w:numPr>
        <w:ilvl w:val="6"/>
        <w:numId w:val="33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23">
    <w:name w:val="Heading 8"/>
    <w:basedOn w:val="1015"/>
    <w:next w:val="1028"/>
    <w:link w:val="1047"/>
    <w:uiPriority w:val="9"/>
    <w:semiHidden/>
    <w:unhideWhenUsed/>
    <w:qFormat/>
    <w:pPr>
      <w:keepNext w:val="true"/>
      <w:keepLines w:val="true"/>
      <w:numPr>
        <w:ilvl w:val="7"/>
        <w:numId w:val="33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24">
    <w:name w:val="Heading 9"/>
    <w:basedOn w:val="1015"/>
    <w:next w:val="1028"/>
    <w:link w:val="1048"/>
    <w:uiPriority w:val="9"/>
    <w:semiHidden/>
    <w:unhideWhenUsed/>
    <w:qFormat/>
    <w:pPr>
      <w:keepNext w:val="true"/>
      <w:keepLines w:val="true"/>
      <w:numPr>
        <w:ilvl w:val="8"/>
        <w:numId w:val="33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25" w:default="1">
    <w:name w:val="Default Paragraph Font"/>
    <w:uiPriority w:val="1"/>
    <w:unhideWhenUsed/>
    <w:pPr>
      <w:pBdr/>
      <w:spacing/>
      <w:ind/>
    </w:pPr>
  </w:style>
  <w:style w:type="table" w:styleId="10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7" w:default="1">
    <w:name w:val="No List"/>
    <w:uiPriority w:val="99"/>
    <w:semiHidden/>
    <w:unhideWhenUsed/>
    <w:pPr>
      <w:pBdr/>
      <w:spacing/>
      <w:ind/>
    </w:pPr>
  </w:style>
  <w:style w:type="paragraph" w:styleId="1028">
    <w:name w:val="Body Text"/>
    <w:basedOn w:val="1015"/>
    <w:qFormat/>
    <w:pPr>
      <w:pBdr/>
      <w:spacing w:after="180" w:before="180"/>
      <w:ind/>
    </w:pPr>
  </w:style>
  <w:style w:type="paragraph" w:styleId="1029" w:customStyle="1">
    <w:name w:val="First Paragraph"/>
    <w:basedOn w:val="1028"/>
    <w:next w:val="1028"/>
    <w:qFormat/>
    <w:pPr>
      <w:pBdr/>
      <w:spacing/>
      <w:ind/>
    </w:pPr>
  </w:style>
  <w:style w:type="paragraph" w:styleId="1030" w:customStyle="1">
    <w:name w:val="Compact"/>
    <w:basedOn w:val="1028"/>
    <w:qFormat/>
    <w:pPr>
      <w:pBdr/>
      <w:spacing w:after="36" w:before="36"/>
      <w:ind/>
    </w:pPr>
  </w:style>
  <w:style w:type="paragraph" w:styleId="1031">
    <w:name w:val="Title"/>
    <w:basedOn w:val="1015"/>
    <w:next w:val="1028"/>
    <w:link w:val="1032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32" w:customStyle="1">
    <w:name w:val="Titolo Carattere"/>
    <w:basedOn w:val="1025"/>
    <w:link w:val="103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33">
    <w:name w:val="Subtitle"/>
    <w:basedOn w:val="1031"/>
    <w:next w:val="1028"/>
    <w:link w:val="1034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34" w:customStyle="1">
    <w:name w:val="Sottotitolo Carattere"/>
    <w:basedOn w:val="1025"/>
    <w:link w:val="103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35" w:customStyle="1">
    <w:name w:val="Author"/>
    <w:next w:val="1028"/>
    <w:qFormat/>
    <w:pPr>
      <w:keepNext w:val="true"/>
      <w:keepLines w:val="true"/>
      <w:pBdr/>
      <w:spacing/>
      <w:ind/>
      <w:jc w:val="center"/>
    </w:pPr>
  </w:style>
  <w:style w:type="paragraph" w:styleId="1036">
    <w:name w:val="Date"/>
    <w:next w:val="1028"/>
    <w:qFormat/>
    <w:pPr>
      <w:keepNext w:val="true"/>
      <w:keepLines w:val="true"/>
      <w:pBdr/>
      <w:spacing/>
      <w:ind/>
      <w:jc w:val="center"/>
    </w:pPr>
  </w:style>
  <w:style w:type="paragraph" w:styleId="1037" w:customStyle="1">
    <w:name w:val="Abstract Title"/>
    <w:basedOn w:val="1015"/>
    <w:next w:val="103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38" w:customStyle="1">
    <w:name w:val="Abstract"/>
    <w:basedOn w:val="1015"/>
    <w:next w:val="102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39">
    <w:name w:val="Bibliography"/>
    <w:basedOn w:val="1015"/>
    <w:qFormat/>
    <w:pPr>
      <w:pBdr/>
      <w:spacing/>
      <w:ind/>
    </w:pPr>
  </w:style>
  <w:style w:type="character" w:styleId="1040" w:customStyle="1">
    <w:name w:val="Titolo 1 Carattere"/>
    <w:basedOn w:val="1025"/>
    <w:link w:val="101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41" w:customStyle="1">
    <w:name w:val="Titolo 2 Carattere"/>
    <w:basedOn w:val="1025"/>
    <w:link w:val="101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42" w:customStyle="1">
    <w:name w:val="Titolo 3 Carattere"/>
    <w:basedOn w:val="1025"/>
    <w:link w:val="1018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43" w:customStyle="1">
    <w:name w:val="Titolo 4 Carattere"/>
    <w:basedOn w:val="1025"/>
    <w:link w:val="101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44" w:customStyle="1">
    <w:name w:val="Titolo 5 Carattere"/>
    <w:basedOn w:val="1025"/>
    <w:link w:val="102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45" w:customStyle="1">
    <w:name w:val="Titolo 6 Carattere"/>
    <w:basedOn w:val="1025"/>
    <w:link w:val="102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46" w:customStyle="1">
    <w:name w:val="Titolo 7 Carattere"/>
    <w:basedOn w:val="1025"/>
    <w:link w:val="102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47" w:customStyle="1">
    <w:name w:val="Titolo 8 Carattere"/>
    <w:basedOn w:val="1025"/>
    <w:link w:val="102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48" w:customStyle="1">
    <w:name w:val="Titolo 9 Carattere"/>
    <w:basedOn w:val="1025"/>
    <w:link w:val="102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49">
    <w:name w:val="Block Text"/>
    <w:basedOn w:val="1028"/>
    <w:next w:val="1028"/>
    <w:uiPriority w:val="9"/>
    <w:unhideWhenUsed/>
    <w:qFormat/>
    <w:pPr>
      <w:pBdr/>
      <w:spacing w:after="100" w:before="100"/>
      <w:ind w:right="480" w:left="480"/>
    </w:pPr>
  </w:style>
  <w:style w:type="paragraph" w:styleId="1050">
    <w:name w:val="footnote text"/>
    <w:basedOn w:val="1015"/>
    <w:uiPriority w:val="9"/>
    <w:unhideWhenUsed/>
    <w:qFormat/>
    <w:pPr>
      <w:pBdr/>
      <w:spacing/>
      <w:ind/>
    </w:pPr>
  </w:style>
  <w:style w:type="paragraph" w:styleId="1051" w:customStyle="1">
    <w:name w:val="Footnote Block Text"/>
    <w:basedOn w:val="1050"/>
    <w:next w:val="1050"/>
    <w:uiPriority w:val="9"/>
    <w:unhideWhenUsed/>
    <w:qFormat/>
    <w:pPr>
      <w:pBdr/>
      <w:spacing w:after="100" w:before="100"/>
      <w:ind w:right="480" w:left="480"/>
    </w:pPr>
  </w:style>
  <w:style w:type="table" w:styleId="1052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3" w:customStyle="1">
    <w:name w:val="Definition Term"/>
    <w:basedOn w:val="1015"/>
    <w:next w:val="1054"/>
    <w:pPr>
      <w:keepNext w:val="true"/>
      <w:keepLines w:val="true"/>
      <w:pBdr/>
      <w:spacing w:after="0"/>
      <w:ind/>
    </w:pPr>
    <w:rPr>
      <w:b/>
    </w:rPr>
  </w:style>
  <w:style w:type="paragraph" w:styleId="1054" w:customStyle="1">
    <w:name w:val="Definition"/>
    <w:basedOn w:val="1015"/>
    <w:pPr>
      <w:pBdr/>
      <w:spacing/>
      <w:ind/>
    </w:pPr>
  </w:style>
  <w:style w:type="paragraph" w:styleId="1055">
    <w:name w:val="Caption"/>
    <w:basedOn w:val="1015"/>
    <w:link w:val="1060"/>
    <w:pPr>
      <w:pBdr/>
      <w:spacing w:after="120"/>
      <w:ind/>
    </w:pPr>
    <w:rPr>
      <w:i/>
    </w:rPr>
  </w:style>
  <w:style w:type="paragraph" w:styleId="1056" w:customStyle="1">
    <w:name w:val="Table Caption"/>
    <w:basedOn w:val="1055"/>
    <w:pPr>
      <w:keepNext w:val="true"/>
      <w:pBdr/>
      <w:spacing/>
      <w:ind/>
    </w:pPr>
  </w:style>
  <w:style w:type="paragraph" w:styleId="1057" w:customStyle="1">
    <w:name w:val="Image Caption"/>
    <w:basedOn w:val="1055"/>
    <w:pPr>
      <w:pBdr/>
      <w:spacing/>
      <w:ind/>
    </w:pPr>
  </w:style>
  <w:style w:type="paragraph" w:styleId="1058" w:customStyle="1">
    <w:name w:val="Figure"/>
    <w:basedOn w:val="1015"/>
    <w:pPr>
      <w:pBdr/>
      <w:spacing/>
      <w:ind/>
    </w:pPr>
  </w:style>
  <w:style w:type="paragraph" w:styleId="1059" w:customStyle="1">
    <w:name w:val="Captioned Figure"/>
    <w:basedOn w:val="1058"/>
    <w:pPr>
      <w:keepNext w:val="true"/>
      <w:pBdr/>
      <w:spacing/>
      <w:ind/>
    </w:pPr>
  </w:style>
  <w:style w:type="character" w:styleId="1060" w:customStyle="1">
    <w:name w:val="Didascalia Carattere"/>
    <w:basedOn w:val="1025"/>
    <w:link w:val="1055"/>
    <w:pPr>
      <w:pBdr/>
      <w:spacing/>
      <w:ind/>
    </w:pPr>
  </w:style>
  <w:style w:type="character" w:styleId="1061" w:customStyle="1">
    <w:name w:val="Verbatim Char"/>
    <w:basedOn w:val="1060"/>
    <w:link w:val="1066"/>
    <w:pPr>
      <w:pBdr/>
      <w:spacing/>
      <w:ind/>
    </w:pPr>
    <w:rPr>
      <w:rFonts w:ascii="Consolas" w:hAnsi="Consolas"/>
      <w:sz w:val="22"/>
    </w:rPr>
  </w:style>
  <w:style w:type="character" w:styleId="1062" w:customStyle="1">
    <w:name w:val="Section Number"/>
    <w:basedOn w:val="1060"/>
    <w:pPr>
      <w:pBdr/>
      <w:spacing/>
      <w:ind/>
    </w:pPr>
  </w:style>
  <w:style w:type="character" w:styleId="1063">
    <w:name w:val="footnote reference"/>
    <w:basedOn w:val="1060"/>
    <w:pPr>
      <w:pBdr/>
      <w:spacing/>
      <w:ind/>
    </w:pPr>
    <w:rPr>
      <w:vertAlign w:val="superscript"/>
    </w:rPr>
  </w:style>
  <w:style w:type="character" w:styleId="1064">
    <w:name w:val="Hyperlink"/>
    <w:basedOn w:val="1060"/>
    <w:uiPriority w:val="99"/>
    <w:pPr>
      <w:pBdr/>
      <w:spacing/>
      <w:ind/>
    </w:pPr>
    <w:rPr>
      <w:color w:val="156082" w:themeColor="accent1"/>
    </w:rPr>
  </w:style>
  <w:style w:type="paragraph" w:styleId="1065">
    <w:name w:val="TOC Heading"/>
    <w:basedOn w:val="1016"/>
    <w:next w:val="1028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66" w:customStyle="1">
    <w:name w:val="Source Code"/>
    <w:basedOn w:val="1015"/>
    <w:link w:val="1061"/>
    <w:pPr>
      <w:pBdr/>
      <w:spacing/>
      <w:ind/>
    </w:pPr>
  </w:style>
  <w:style w:type="character" w:styleId="1067" w:customStyle="1">
    <w:name w:val="KeywordTok"/>
    <w:basedOn w:val="1061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68" w:customStyle="1">
    <w:name w:val="DataTypeTok"/>
    <w:basedOn w:val="1061"/>
    <w:pPr>
      <w:pBdr/>
      <w:spacing/>
      <w:ind/>
    </w:pPr>
    <w:rPr>
      <w:rFonts w:ascii="Consolas" w:hAnsi="Consolas"/>
      <w:color w:val="902000"/>
      <w:sz w:val="22"/>
    </w:rPr>
  </w:style>
  <w:style w:type="character" w:styleId="1069" w:customStyle="1">
    <w:name w:val="DecValTok"/>
    <w:basedOn w:val="1061"/>
    <w:pPr>
      <w:pBdr/>
      <w:spacing/>
      <w:ind/>
    </w:pPr>
    <w:rPr>
      <w:rFonts w:ascii="Consolas" w:hAnsi="Consolas"/>
      <w:color w:val="40a070"/>
      <w:sz w:val="22"/>
    </w:rPr>
  </w:style>
  <w:style w:type="character" w:styleId="1070" w:customStyle="1">
    <w:name w:val="BaseNTok"/>
    <w:basedOn w:val="1061"/>
    <w:pPr>
      <w:pBdr/>
      <w:spacing/>
      <w:ind/>
    </w:pPr>
    <w:rPr>
      <w:rFonts w:ascii="Consolas" w:hAnsi="Consolas"/>
      <w:color w:val="40a070"/>
      <w:sz w:val="22"/>
    </w:rPr>
  </w:style>
  <w:style w:type="character" w:styleId="1071" w:customStyle="1">
    <w:name w:val="FloatTok"/>
    <w:basedOn w:val="1061"/>
    <w:pPr>
      <w:pBdr/>
      <w:spacing/>
      <w:ind/>
    </w:pPr>
    <w:rPr>
      <w:rFonts w:ascii="Consolas" w:hAnsi="Consolas"/>
      <w:color w:val="40a070"/>
      <w:sz w:val="22"/>
    </w:rPr>
  </w:style>
  <w:style w:type="character" w:styleId="1072" w:customStyle="1">
    <w:name w:val="ConstantTok"/>
    <w:basedOn w:val="1061"/>
    <w:pPr>
      <w:pBdr/>
      <w:spacing/>
      <w:ind/>
    </w:pPr>
    <w:rPr>
      <w:rFonts w:ascii="Consolas" w:hAnsi="Consolas"/>
      <w:color w:val="880000"/>
      <w:sz w:val="22"/>
    </w:rPr>
  </w:style>
  <w:style w:type="character" w:styleId="1073" w:customStyle="1">
    <w:name w:val="CharTok"/>
    <w:basedOn w:val="1061"/>
    <w:pPr>
      <w:pBdr/>
      <w:spacing/>
      <w:ind/>
    </w:pPr>
    <w:rPr>
      <w:rFonts w:ascii="Consolas" w:hAnsi="Consolas"/>
      <w:color w:val="4070a0"/>
      <w:sz w:val="22"/>
    </w:rPr>
  </w:style>
  <w:style w:type="character" w:styleId="1074" w:customStyle="1">
    <w:name w:val="SpecialCharTok"/>
    <w:basedOn w:val="1061"/>
    <w:pPr>
      <w:pBdr/>
      <w:spacing/>
      <w:ind/>
    </w:pPr>
    <w:rPr>
      <w:rFonts w:ascii="Consolas" w:hAnsi="Consolas"/>
      <w:color w:val="4070a0"/>
      <w:sz w:val="22"/>
    </w:rPr>
  </w:style>
  <w:style w:type="character" w:styleId="1075" w:customStyle="1">
    <w:name w:val="StringTok"/>
    <w:basedOn w:val="1061"/>
    <w:pPr>
      <w:pBdr/>
      <w:spacing/>
      <w:ind/>
    </w:pPr>
    <w:rPr>
      <w:rFonts w:ascii="Consolas" w:hAnsi="Consolas"/>
      <w:color w:val="4070a0"/>
      <w:sz w:val="22"/>
    </w:rPr>
  </w:style>
  <w:style w:type="character" w:styleId="1076" w:customStyle="1">
    <w:name w:val="VerbatimStringTok"/>
    <w:basedOn w:val="1061"/>
    <w:pPr>
      <w:pBdr/>
      <w:spacing/>
      <w:ind/>
    </w:pPr>
    <w:rPr>
      <w:rFonts w:ascii="Consolas" w:hAnsi="Consolas"/>
      <w:color w:val="4070a0"/>
      <w:sz w:val="22"/>
    </w:rPr>
  </w:style>
  <w:style w:type="character" w:styleId="1077" w:customStyle="1">
    <w:name w:val="SpecialStringTok"/>
    <w:basedOn w:val="1061"/>
    <w:pPr>
      <w:pBdr/>
      <w:spacing/>
      <w:ind/>
    </w:pPr>
    <w:rPr>
      <w:rFonts w:ascii="Consolas" w:hAnsi="Consolas"/>
      <w:color w:val="bb6688"/>
      <w:sz w:val="22"/>
    </w:rPr>
  </w:style>
  <w:style w:type="character" w:styleId="1078" w:customStyle="1">
    <w:name w:val="ImportTok"/>
    <w:basedOn w:val="1061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79" w:customStyle="1">
    <w:name w:val="CommentTok"/>
    <w:basedOn w:val="1061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80" w:customStyle="1">
    <w:name w:val="DocumentationTok"/>
    <w:basedOn w:val="1061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81" w:customStyle="1">
    <w:name w:val="AnnotationTok"/>
    <w:basedOn w:val="106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82" w:customStyle="1">
    <w:name w:val="CommentVarTok"/>
    <w:basedOn w:val="106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83" w:customStyle="1">
    <w:name w:val="OtherTok"/>
    <w:basedOn w:val="1061"/>
    <w:pPr>
      <w:pBdr/>
      <w:spacing/>
      <w:ind/>
    </w:pPr>
    <w:rPr>
      <w:rFonts w:ascii="Consolas" w:hAnsi="Consolas"/>
      <w:color w:val="007020"/>
      <w:sz w:val="22"/>
    </w:rPr>
  </w:style>
  <w:style w:type="character" w:styleId="1084" w:customStyle="1">
    <w:name w:val="FunctionTok"/>
    <w:basedOn w:val="1061"/>
    <w:pPr>
      <w:pBdr/>
      <w:spacing/>
      <w:ind/>
    </w:pPr>
    <w:rPr>
      <w:rFonts w:ascii="Consolas" w:hAnsi="Consolas"/>
      <w:color w:val="06287e"/>
      <w:sz w:val="22"/>
    </w:rPr>
  </w:style>
  <w:style w:type="character" w:styleId="1085" w:customStyle="1">
    <w:name w:val="VariableTok"/>
    <w:basedOn w:val="1061"/>
    <w:pPr>
      <w:pBdr/>
      <w:spacing/>
      <w:ind/>
    </w:pPr>
    <w:rPr>
      <w:rFonts w:ascii="Consolas" w:hAnsi="Consolas"/>
      <w:color w:val="19177c"/>
      <w:sz w:val="22"/>
    </w:rPr>
  </w:style>
  <w:style w:type="character" w:styleId="1086" w:customStyle="1">
    <w:name w:val="ControlFlowTok"/>
    <w:basedOn w:val="1061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87" w:customStyle="1">
    <w:name w:val="OperatorTok"/>
    <w:basedOn w:val="1061"/>
    <w:pPr>
      <w:pBdr/>
      <w:spacing/>
      <w:ind/>
    </w:pPr>
    <w:rPr>
      <w:rFonts w:ascii="Consolas" w:hAnsi="Consolas"/>
      <w:color w:val="666666"/>
      <w:sz w:val="22"/>
    </w:rPr>
  </w:style>
  <w:style w:type="character" w:styleId="1088" w:customStyle="1">
    <w:name w:val="BuiltInTok"/>
    <w:basedOn w:val="1061"/>
    <w:pPr>
      <w:pBdr/>
      <w:spacing/>
      <w:ind/>
    </w:pPr>
    <w:rPr>
      <w:rFonts w:ascii="Consolas" w:hAnsi="Consolas"/>
      <w:color w:val="008000"/>
      <w:sz w:val="22"/>
    </w:rPr>
  </w:style>
  <w:style w:type="character" w:styleId="1089" w:customStyle="1">
    <w:name w:val="ExtensionTok"/>
    <w:basedOn w:val="1061"/>
    <w:pPr>
      <w:pBdr/>
      <w:spacing/>
      <w:ind/>
    </w:pPr>
    <w:rPr>
      <w:rFonts w:ascii="Consolas" w:hAnsi="Consolas"/>
      <w:sz w:val="22"/>
    </w:rPr>
  </w:style>
  <w:style w:type="character" w:styleId="1090" w:customStyle="1">
    <w:name w:val="PreprocessorTok"/>
    <w:basedOn w:val="1061"/>
    <w:pPr>
      <w:pBdr/>
      <w:spacing/>
      <w:ind/>
    </w:pPr>
    <w:rPr>
      <w:rFonts w:ascii="Consolas" w:hAnsi="Consolas"/>
      <w:color w:val="bc7a00"/>
      <w:sz w:val="22"/>
    </w:rPr>
  </w:style>
  <w:style w:type="character" w:styleId="1091" w:customStyle="1">
    <w:name w:val="AttributeTok"/>
    <w:basedOn w:val="1061"/>
    <w:pPr>
      <w:pBdr/>
      <w:spacing/>
      <w:ind/>
    </w:pPr>
    <w:rPr>
      <w:rFonts w:ascii="Consolas" w:hAnsi="Consolas"/>
      <w:color w:val="7d9029"/>
      <w:sz w:val="22"/>
    </w:rPr>
  </w:style>
  <w:style w:type="character" w:styleId="1092" w:customStyle="1">
    <w:name w:val="RegionMarkerTok"/>
    <w:basedOn w:val="1061"/>
    <w:pPr>
      <w:pBdr/>
      <w:spacing/>
      <w:ind/>
    </w:pPr>
    <w:rPr>
      <w:rFonts w:ascii="Consolas" w:hAnsi="Consolas"/>
      <w:sz w:val="22"/>
    </w:rPr>
  </w:style>
  <w:style w:type="character" w:styleId="1093" w:customStyle="1">
    <w:name w:val="InformationTok"/>
    <w:basedOn w:val="106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94" w:customStyle="1">
    <w:name w:val="WarningTok"/>
    <w:basedOn w:val="106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95" w:customStyle="1">
    <w:name w:val="AlertTok"/>
    <w:basedOn w:val="1061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96" w:customStyle="1">
    <w:name w:val="ErrorTok"/>
    <w:basedOn w:val="1061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97" w:customStyle="1">
    <w:name w:val="NormalTok"/>
    <w:basedOn w:val="1061"/>
    <w:pPr>
      <w:pBdr/>
      <w:spacing/>
      <w:ind/>
    </w:pPr>
    <w:rPr>
      <w:rFonts w:ascii="Consolas" w:hAnsi="Consolas"/>
      <w:sz w:val="22"/>
    </w:rPr>
  </w:style>
  <w:style w:type="paragraph" w:styleId="1098">
    <w:name w:val="Header"/>
    <w:basedOn w:val="1015"/>
    <w:link w:val="1099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99" w:customStyle="1">
    <w:name w:val="Intestazione Carattere"/>
    <w:basedOn w:val="1025"/>
    <w:link w:val="1098"/>
    <w:uiPriority w:val="99"/>
    <w:pPr>
      <w:pBdr/>
      <w:spacing/>
      <w:ind/>
    </w:pPr>
  </w:style>
  <w:style w:type="paragraph" w:styleId="1100">
    <w:name w:val="Footer"/>
    <w:basedOn w:val="1015"/>
    <w:link w:val="1101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01" w:customStyle="1">
    <w:name w:val="Piè di pagina Carattere"/>
    <w:basedOn w:val="1025"/>
    <w:link w:val="1100"/>
    <w:uiPriority w:val="99"/>
    <w:pPr>
      <w:pBdr/>
      <w:spacing/>
      <w:ind/>
    </w:pPr>
  </w:style>
  <w:style w:type="table" w:styleId="1102">
    <w:name w:val="Table Grid"/>
    <w:basedOn w:val="1026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3">
    <w:name w:val="toc 1"/>
    <w:basedOn w:val="1015"/>
    <w:next w:val="1015"/>
    <w:uiPriority w:val="39"/>
    <w:pPr>
      <w:pBdr/>
      <w:spacing w:after="100"/>
      <w:ind/>
    </w:pPr>
  </w:style>
  <w:style w:type="paragraph" w:styleId="1104">
    <w:name w:val="toc 2"/>
    <w:basedOn w:val="1015"/>
    <w:next w:val="1015"/>
    <w:uiPriority w:val="39"/>
    <w:pPr>
      <w:pBdr/>
      <w:spacing w:after="100"/>
      <w:ind w:left="240"/>
    </w:pPr>
  </w:style>
  <w:style w:type="paragraph" w:styleId="1105">
    <w:name w:val="toc 3"/>
    <w:basedOn w:val="1015"/>
    <w:next w:val="1015"/>
    <w:uiPriority w:val="39"/>
    <w:pPr>
      <w:pBdr/>
      <w:spacing w:after="100"/>
      <w:ind w:left="480"/>
    </w:pPr>
  </w:style>
  <w:style w:type="table" w:styleId="1106">
    <w:name w:val="Plain Table 1"/>
    <w:basedOn w:val="1026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9</cp:revision>
  <dcterms:created xsi:type="dcterms:W3CDTF">2025-10-14T14:38:00Z</dcterms:created>
  <dcterms:modified xsi:type="dcterms:W3CDTF">2025-10-29T10:32:32Z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