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pBdr/>
        <w:spacing/>
        <w:ind/>
        <w:rPr/>
      </w:pPr>
      <w:r/>
      <w:bookmarkStart w:id="0" w:name="Xaee967420e0e5eb86af13f7b8dc8dff3f8766cb"/>
      <w:r/>
      <w:bookmarkStart w:id="1" w:name="proc-01-monitoraggio-del-contesto"/>
      <w:r/>
      <w:bookmarkStart w:id="2" w:name="X105c11b80172a704df4db7eafdbb20a22e6ddd1"/>
      <w:r>
        <w:t xml:space="preserve">PROC-02 – Gestione della Politica per la SSL</w:t>
      </w:r>
      <w:r/>
    </w:p>
    <w:p>
      <w:pPr>
        <w:pStyle w:val="883"/>
        <w:pBdr/>
        <w:spacing/>
        <w:ind/>
        <w:rPr/>
      </w:pPr>
      <w:r>
        <w:t xml:space="preserve">Scopo</w:t>
      </w:r>
      <w:r/>
    </w:p>
    <w:p>
      <w:pPr>
        <w:pStyle w:val="917"/>
        <w:pBdr/>
        <w:spacing/>
        <w:ind/>
        <w:rPr/>
      </w:pPr>
      <w:r>
        <w:t xml:space="preserve">Stabilire come </w:t>
      </w:r>
      <w:r>
        <w:t xml:space="preserve">Agrumigel</w:t>
      </w:r>
      <w:r>
        <w:t xml:space="preserve"> elabora, approva, diffonde, riesamina e aggiorna la </w:t>
      </w:r>
      <w:r>
        <w:rPr>
          <w:b/>
          <w:bCs/>
        </w:rPr>
        <w:t xml:space="preserve">Politica Aziendale per la Salute e Sicurezza sul Lavoro</w:t>
      </w:r>
      <w:r>
        <w:t xml:space="preserve">, garantendo che essa rifletta il contesto e gli impegni dell’organizzazione in materia di SSL e soddisfi i requisiti ISO 45001 (clausola 5.2).</w:t>
      </w:r>
      <w:r/>
    </w:p>
    <w:p>
      <w:pPr>
        <w:pStyle w:val="883"/>
        <w:pBdr/>
        <w:spacing/>
        <w:ind/>
        <w:rPr/>
      </w:pPr>
      <w:r>
        <w:t xml:space="preserve">Campo di Applicazione</w:t>
      </w:r>
      <w:r/>
    </w:p>
    <w:p>
      <w:pPr>
        <w:pStyle w:val="915"/>
        <w:pBdr/>
        <w:spacing/>
        <w:ind/>
        <w:rPr/>
      </w:pPr>
      <w:r>
        <w:t xml:space="preserve">Tutte le attività relative alla definizione del contenuto della Politica SSL, al suo aggiornamento periodico, alla comunicazione ai lavoratori e alle parti interessate, e alla verifica della sua attuazione nell’ambito del SGSSL.</w:t>
      </w:r>
      <w:r/>
    </w:p>
    <w:p>
      <w:pPr>
        <w:pStyle w:val="883"/>
        <w:pBdr/>
        <w:spacing/>
        <w:ind/>
        <w:rPr/>
      </w:pPr>
      <w:r>
        <w:t xml:space="preserve">Riferimenti Normativ</w:t>
      </w:r>
      <w:r>
        <w:t xml:space="preserve">i</w:t>
      </w:r>
      <w:r/>
    </w:p>
    <w:p>
      <w:pPr>
        <w:pStyle w:val="915"/>
        <w:pBdr/>
        <w:spacing/>
        <w:ind/>
        <w:rPr/>
      </w:pPr>
      <w:r>
        <w:br/>
        <w:t xml:space="preserve">- UNI ISO 45001:2018 – §5.2 “Politica per la SSL” (requisiti e contenuti della politica).</w:t>
      </w:r>
      <w:r>
        <w:br/>
        <w:t xml:space="preserve">- Linee Guida INAIL SGSL (2018) – impegno della Direzione e definizione della politica di SSL.</w:t>
      </w:r>
      <w:r>
        <w:br/>
        <w:t xml:space="preserve">- Art.30 </w:t>
      </w:r>
      <w:r>
        <w:t xml:space="preserve">D.Lgs.</w:t>
      </w:r>
      <w:r>
        <w:t xml:space="preserve"> 81/2008 – modelli di organizzazione: prevede che la politica salute e sicurezza sia adeguata e attuata.</w:t>
      </w:r>
      <w:r/>
    </w:p>
    <w:p>
      <w:pPr>
        <w:pStyle w:val="883"/>
        <w:pBdr/>
        <w:spacing/>
        <w:ind/>
        <w:rPr/>
      </w:pPr>
      <w:r>
        <w:t xml:space="preserve">Definizioni</w:t>
      </w:r>
      <w:r/>
    </w:p>
    <w:p>
      <w:pPr>
        <w:pBdr/>
        <w:spacing/>
        <w:ind/>
        <w:rPr/>
      </w:pPr>
      <w:r>
        <w:t xml:space="preserve">Descrizione delle Attività: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Elaborazione/Riesame della Politica</w:t>
      </w:r>
      <w:r>
        <w:t xml:space="preserve"> – La Direzione, con il supporto del RSPP, definisce gli indirizzi generali della Politica SSL. Quando nasce il SGSSL o in caso di variazioni significative (contesto mutato, incidenti gravi, nuovi obiettivi strategici), la Politica viene rivista.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Input per la Politica</w:t>
      </w:r>
      <w:r>
        <w:t xml:space="preserve">: si considerano i risultati dell’analisi del contesto (v. PROC-01) e le esigenze delle parti interessate; i requisiti di legge applicabili; i valori etici aziendali e altri sistemi di gestione presenti (Qualità, Ambiente</w:t>
      </w:r>
      <w:r>
        <w:t xml:space="preserve">) per valutare </w:t>
      </w:r>
      <w:r>
        <w:t xml:space="preserve">l’adozione di un’eventuale Politica Integrata. La bozza di Politica include gli impegni fondamentali (conformità legale, miglioramento continuo, prevenzione rischi, partecipazione lavoratori, ecc.) e riferimenti a eventuali aspetti specifici rilevanti per </w:t>
      </w:r>
      <w:r>
        <w:t xml:space="preserve">Agrumigel</w:t>
      </w:r>
      <w:r>
        <w:t xml:space="preserve">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Coinvolgimento e consultazione</w:t>
      </w:r>
      <w:r>
        <w:t xml:space="preserve">: prima dell’approvazione, la bozza di Politica SSL è condivisa con</w:t>
      </w:r>
      <w:r>
        <w:t xml:space="preserve"> l’RLS per raccolta di feedback e per garantire che tenga conto del punto di vista dei lavoratori (questo soddisfa i requisiti di consultazione). Anche eventuali dirigenti chiave vengono consultati. L’RLS firma un verbale di consultazione a riguardo (vedi </w:t>
      </w:r>
      <w:r>
        <w:rPr>
          <w:i/>
          <w:iCs/>
        </w:rPr>
        <w:t xml:space="preserve">Moduli</w:t>
      </w:r>
      <w:r>
        <w:t xml:space="preserve">).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Approvazione</w:t>
      </w:r>
      <w:r>
        <w:t xml:space="preserve"> – La Politica SSL definitiva è approvata formalmente dall’Amministratore Unico (Datore di Lavoro). Egli la sottoscrive, impegnando l’organizzazione al rispetto di quanto in essa dichiarato. La Politica assume un codice documentale (es. </w:t>
      </w:r>
      <w:r>
        <w:rPr>
          <w:i/>
          <w:iCs/>
        </w:rPr>
        <w:t xml:space="preserve">POL-SSL-01 Rev.0</w:t>
      </w:r>
      <w:r>
        <w:t xml:space="preserve">) ed è emessa come documento controllato.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Diffusione</w:t>
      </w:r>
      <w:r>
        <w:t xml:space="preserve"> – La Politica viene comunicata a tutti i livelli interni e resa disponibile alle parti interessate esterne. In particolare: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Internamente, se ne dà copia/cartella a ciascun responsabile di reparto perché ne parli ai lavoratori; se ne affigge una copia stampata in bacheca aziendale (area ingresso, spogliatoi); la si pubblica sull’intranet aziendale.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Il Responsabile Comunicazione/Qualità support</w:t>
      </w:r>
      <w:r>
        <w:t xml:space="preserve">a la diffusione: pubblica la Politica sui canali appropriati (intranet, eventuale sito web) e la include nella documentazione fornita a stakeholder esterni (ad es. allegandola a dossier per clienti, inserendola nel Bilancio di sostenibilità, se esistente).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Per i lavoratori stranieri o con scarsa alfabetizzazione, si prevede eventualmente la traduzione in lingua comprensibile o l’uso di supporti visuali per spiegare i principi.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Agli appaltatori e visitatori la Politica viene resa nota: </w:t>
      </w:r>
      <w:r>
        <w:rPr>
          <w:i/>
          <w:iCs/>
        </w:rPr>
        <w:t xml:space="preserve">es.</w:t>
      </w:r>
      <w:r>
        <w:t xml:space="preserve"> può essere consegnata sinteticamente all’ingresso oppure esposta all’entrata dello stabilimento.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Implementazione e monitoraggio</w:t>
      </w:r>
      <w:r>
        <w:t xml:space="preserve"> – Tutti i</w:t>
      </w:r>
      <w:r>
        <w:t xml:space="preserve"> lavoratori devono prendere atto della Politica e impegnarsi a rispettarne i principi nello svolgimento delle proprie mansioni (come segnalare pericoli in ottica di miglioramento continuo, usare i DPI in linea con l’impegno dichiarato di ridurre i rischi).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I preposti e dirigenti integrano i principi di Politica nella gestione quotidiana: parlano di sicurezza nelle riunioni, danno il buon esempio seguendo le regole, promuovono un clima di coinvolgimento.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L’RLS viene consultato durante l’elaborazione e l’aggiornamento della Politica, garantendo che tenga conto anche del punto di vista dei lavoratori; inoltre promuove la conoscenza dei principi dichiarati presso i colleghi.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Il RSPP verifica, durante i sopralluoghi e colloqui, la consapevolezza dei lavoratori sui principi della Politica (es. chiedendo se ne conoscono i punti chiave) e riferisce eventuali carenze alla Direzione.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Revisione periodica</w:t>
      </w:r>
      <w:r>
        <w:t xml:space="preserve"> – La Politica SSL viene riesaminata almeno annualmente in sede di Riesame di Direzione (v. PROC-18) o comunque quando vi siano cambiamenti significativi (contesto, normative, performance SSL) che possano renderla non più adeguata.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Il RSPP propone eventuali modif</w:t>
      </w:r>
      <w:r>
        <w:t xml:space="preserve">iche sulla base dei risultati ottenuti (infortuni, audit) e di nuovi requisiti o obiettivi. Ad es., se emerge come nuovo tema lo stress lavoro-correlato, la Politica potrebbe essere aggiornata per includere un impegno alla tutela del benessere psicologico.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La nuova bozza segue lo stesso iter: consultazione RLS, approvazione DL, diffusione.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Integrazione e coerenza</w:t>
      </w:r>
      <w:r>
        <w:t xml:space="preserve"> – La Politica SSL di </w:t>
      </w:r>
      <w:r>
        <w:t xml:space="preserve">Agrumigel</w:t>
      </w:r>
      <w:r>
        <w:t xml:space="preserve"> è coerente e integrata con le altre politiche aziendali (Qualità, Ambiente</w:t>
      </w:r>
      <w:r>
        <w:t xml:space="preserve">). Nel caso di Politica Integrata, essa contiene sezioni relative a sicurezza sul lavoro; se esiste una Politica separata di </w:t>
      </w:r>
      <w:r>
        <w:t xml:space="preserve">Qualità/Sicurezza Alimentare (come in </w:t>
      </w:r>
      <w:r>
        <w:t xml:space="preserve">Agrumigel</w:t>
      </w:r>
      <w:r>
        <w:t xml:space="preserve">, P 01.01 Rev.14) che già menziona sicurezza lavoratori, la Politica SSL approfondisce e specifica tali impegni.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Si assicura che non vi siano contraddizioni tra diverse politiche (es. su priorità produttive vs sicurezza) – in caso, la Politica SSL predomina per gli aspetti di prevenzione.</w:t>
      </w:r>
      <w:r/>
    </w:p>
    <w:p>
      <w:pPr>
        <w:pStyle w:val="918"/>
        <w:numPr>
          <w:ilvl w:val="0"/>
          <w:numId w:val="3"/>
        </w:numPr>
        <w:pBdr/>
        <w:spacing/>
        <w:ind/>
        <w:rPr/>
      </w:pPr>
      <w:r>
        <w:t xml:space="preserve">Eventuali riferimenti incrociati (es. rimandi alla Politica Integrata) sono mantenuti aggiornati.</w:t>
      </w:r>
      <w:r/>
    </w:p>
    <w:p>
      <w:pPr>
        <w:pStyle w:val="883"/>
        <w:pBdr/>
        <w:spacing/>
        <w:ind/>
        <w:rPr/>
      </w:pPr>
      <w:r>
        <w:t xml:space="preserve">Responsabilità</w:t>
      </w:r>
      <w:r/>
    </w:p>
    <w:p>
      <w:pPr>
        <w:pStyle w:val="917"/>
        <w:pBdr/>
        <w:spacing/>
        <w:ind/>
        <w:rPr/>
      </w:pPr>
      <w:r>
        <w:br/>
        <w:t xml:space="preserve">- </w:t>
      </w:r>
      <w:r>
        <w:rPr>
          <w:b/>
          <w:bCs/>
        </w:rPr>
        <w:t xml:space="preserve">Datore di Lavoro/Direzione</w:t>
      </w:r>
      <w:r>
        <w:t xml:space="preserve">: approva e firma la Politica; assicura che sia coerente con la strategia aziendale; promuove la Politica con il proprio comportamento e negli incontri (es. la illustra a inizio anno a tutti i responsabili).</w:t>
      </w:r>
      <w:r>
        <w:br/>
        <w:t xml:space="preserve">- </w:t>
      </w:r>
      <w:r>
        <w:rPr>
          <w:b/>
          <w:bCs/>
        </w:rPr>
        <w:t xml:space="preserve">RSPP</w:t>
      </w:r>
      <w:r>
        <w:t xml:space="preserve">: predispone la bozza iniziale e le revisioni basandosi su contesto, rischi e leggi; coordina la consultazione dell’RLS; distribuisce la Politica approvata; verifica l’affissione e la comprensione; propone aggiornamenti alla Direzione quando necessario.</w:t>
      </w:r>
      <w:r>
        <w:br/>
        <w:t xml:space="preserve">- </w:t>
      </w:r>
      <w:r>
        <w:rPr>
          <w:b/>
          <w:bCs/>
        </w:rPr>
        <w:t xml:space="preserve">RLS</w:t>
      </w:r>
      <w:r>
        <w:t xml:space="preserve">: v</w:t>
      </w:r>
      <w:r>
        <w:t xml:space="preserve">iene consultato sulla bozza di Politica, fornendo suggerimenti o sollevando istanze dei lavoratori. Firma un verbale di consultazione a riguardo. Promuove tra i colleghi la conoscenza dei principi dichiarati e vigila che la direzione li rispetti anch’essa.</w:t>
      </w:r>
      <w:r>
        <w:br/>
        <w:t xml:space="preserve">- </w:t>
      </w:r>
      <w:r>
        <w:rPr>
          <w:b/>
          <w:bCs/>
        </w:rPr>
        <w:t xml:space="preserve">Responsabile Comunicazione/Qualità</w:t>
      </w:r>
      <w:r>
        <w:t xml:space="preserve">: supporta la diffusione esterna </w:t>
      </w:r>
      <w:r>
        <w:t xml:space="preserve">ed</w:t>
      </w:r>
      <w:r>
        <w:t xml:space="preserve"> interna (pubblicazione su intranet, sito web; inserimento nei materiali per stakeholder esterni, ecc.).</w:t>
      </w:r>
      <w:r>
        <w:br/>
        <w:t xml:space="preserve">- </w:t>
      </w:r>
      <w:r>
        <w:rPr>
          <w:b/>
          <w:bCs/>
        </w:rPr>
        <w:t xml:space="preserve">Dirigenti e Preposti</w:t>
      </w:r>
      <w:r>
        <w:t xml:space="preserve">: diffondono e spiegano la Politica ai rispettivi collaboratori; fanno rispettare quanto enunciato (es. se la politica dice “nessun compromesso su sicurezza”, sospendono attività non sicure nonostante pressioni produttive).</w:t>
      </w:r>
      <w:r>
        <w:br/>
        <w:t xml:space="preserve">- </w:t>
      </w:r>
      <w:r>
        <w:rPr>
          <w:b/>
          <w:bCs/>
        </w:rPr>
        <w:t xml:space="preserve">Tutti i Lavoratori</w:t>
      </w:r>
      <w:r>
        <w:t xml:space="preserve">: prend</w:t>
      </w:r>
      <w:r>
        <w:t xml:space="preserve">ono atto della Politica (con firma per presa visione se previsto) e si impegnano a rispettarne i principi nello svolgimento delle proprie mansioni (es. segnalare pericoli, seguire procedure, usare DPI, partecipare attivamente alle iniziative di sicurezza).</w:t>
      </w:r>
      <w:r/>
    </w:p>
    <w:p>
      <w:pPr>
        <w:pStyle w:val="883"/>
        <w:pBdr/>
        <w:spacing/>
        <w:ind/>
        <w:rPr/>
      </w:pPr>
      <w:r>
        <w:t xml:space="preserve">Moduli e Registrazioni</w:t>
      </w:r>
      <w:r/>
    </w:p>
    <w:p>
      <w:pPr>
        <w:pStyle w:val="915"/>
        <w:pBdr/>
        <w:spacing/>
        <w:ind/>
        <w:rPr/>
      </w:pPr>
      <w:r>
        <w:br/>
        <w:t xml:space="preserve">- </w:t>
      </w:r>
      <w:r>
        <w:rPr>
          <w:b/>
          <w:bCs/>
        </w:rPr>
        <w:t xml:space="preserve">Politica SSL – Documento Ufficiale</w:t>
      </w:r>
      <w:r>
        <w:t xml:space="preserve">: documento controllato (codice es. </w:t>
      </w:r>
      <w:r>
        <w:rPr>
          <w:i/>
          <w:iCs/>
        </w:rPr>
        <w:t xml:space="preserve">POL-SSL-01 </w:t>
      </w:r>
      <w:r>
        <w:rPr>
          <w:i/>
          <w:iCs/>
        </w:rPr>
        <w:t xml:space="preserve">Rev.X</w:t>
      </w:r>
      <w:r>
        <w:t xml:space="preserve">) firmato dalla Direzione, da conservare e distribuire come da elenco distribuzione. Eventuali versioni in lingue diverse (es. inglese per clienti) possono essere allegate.</w:t>
      </w:r>
      <w:r>
        <w:br/>
        <w:t xml:space="preserve">- </w:t>
      </w:r>
      <w:r>
        <w:rPr>
          <w:b/>
          <w:bCs/>
        </w:rPr>
        <w:t xml:space="preserve">Registro Revisioni Politica</w:t>
      </w:r>
      <w:r>
        <w:t xml:space="preserve">: sezione sul documento stesso o registro separato che traccia date di emissione e modifiche apportate ad ogni revisione.</w:t>
      </w:r>
      <w:r>
        <w:br/>
        <w:t xml:space="preserve">- </w:t>
      </w:r>
      <w:r>
        <w:rPr>
          <w:b/>
          <w:bCs/>
        </w:rPr>
        <w:t xml:space="preserve">Evidenze di Comunicazione</w:t>
      </w:r>
      <w:r>
        <w:t xml:space="preserve">: es. foto di bacheche con Politica affissa (archiviate digitalmente), elenco firme dei partecipanti a meeting informativi sulla Politica, copie di email inviate a fornitori con allegata Politica (dimostrano la diffusione).</w:t>
      </w:r>
      <w:r>
        <w:br/>
        <w:t xml:space="preserve">- </w:t>
      </w:r>
      <w:r>
        <w:rPr>
          <w:b/>
          <w:bCs/>
        </w:rPr>
        <w:t xml:space="preserve">Verbale consultazione RLS sulla Politica</w:t>
      </w:r>
      <w:r>
        <w:t xml:space="preserve">: modulo (facoltativo) che attesta che l’RLS è stato coinvolto e ha espresso parere sulla bozza di Politica (adempimento che dimostra consultazione attiva – collegato a PROC-04).</w:t>
      </w:r>
      <w:r>
        <w:br/>
        <w:t xml:space="preserve">- </w:t>
      </w:r>
      <w:r>
        <w:rPr>
          <w:b/>
          <w:bCs/>
        </w:rPr>
        <w:t xml:space="preserve">Modulo di presa visione lavoratori</w:t>
      </w:r>
      <w:r>
        <w:t xml:space="preserve">: </w:t>
      </w:r>
      <w:r>
        <w:rPr>
          <w:highlight w:val="none"/>
        </w:rPr>
        <w:t xml:space="preserve">elenco o foglio firme in cui i lavoratori dichiarano di aver ricevuto/capito la Politica (se adottato, utile per evidenze).</w:t>
      </w:r>
      <w:r>
        <w:br/>
      </w:r>
      <w:r>
        <w:t xml:space="preserve">- </w:t>
      </w:r>
      <w:r>
        <w:rPr>
          <w:b/>
          <w:bCs/>
        </w:rPr>
        <w:t xml:space="preserve">Copia Politica integrata</w:t>
      </w:r>
      <w:r>
        <w:t xml:space="preserve">: riferimento alla Politica Qualità/Sicurezza Alimentare (P 01.01 Rev.14) dove si menzionano impegni su sicurezza lavoratori, archiviata insieme per coerenza.</w:t>
      </w:r>
      <w:bookmarkEnd w:id="2"/>
      <w:r/>
      <w:r/>
    </w:p>
    <w:p>
      <w:pPr>
        <w:pBdr/>
        <w:spacing/>
        <w:ind/>
        <w:rPr/>
      </w:pPr>
      <w:r/>
      <w:bookmarkEnd w:id="1"/>
      <w:r/>
      <w:bookmarkEnd w:id="0"/>
      <w:r/>
      <w:r/>
    </w:p>
    <w:sectPr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883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884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885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886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887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888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889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890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891"/>
      <w:rPr/>
      <w:start w:val="1"/>
      <w:suff w:val="tab"/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-IT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9">
    <w:name w:val="Heading 1 Char"/>
    <w:basedOn w:val="892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92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92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92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9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92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92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Title Char"/>
    <w:basedOn w:val="892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Subtitle Char"/>
    <w:basedOn w:val="892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Quote Char"/>
    <w:basedOn w:val="892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1">
    <w:name w:val="Intense Quote Char"/>
    <w:basedOn w:val="892"/>
    <w:link w:val="91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No Spacing"/>
    <w:basedOn w:val="882"/>
    <w:uiPriority w:val="1"/>
    <w:qFormat/>
    <w:pPr>
      <w:pBdr/>
      <w:spacing w:after="0" w:line="240" w:lineRule="auto"/>
      <w:ind/>
    </w:pPr>
  </w:style>
  <w:style w:type="character" w:styleId="853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55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856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7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8">
    <w:name w:val="Header"/>
    <w:basedOn w:val="882"/>
    <w:link w:val="8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9">
    <w:name w:val="Header Char"/>
    <w:basedOn w:val="892"/>
    <w:link w:val="858"/>
    <w:uiPriority w:val="99"/>
    <w:pPr>
      <w:pBdr/>
      <w:spacing/>
      <w:ind/>
    </w:pPr>
  </w:style>
  <w:style w:type="paragraph" w:styleId="860">
    <w:name w:val="Footer"/>
    <w:basedOn w:val="882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Footer Char"/>
    <w:basedOn w:val="892"/>
    <w:link w:val="860"/>
    <w:uiPriority w:val="99"/>
    <w:pPr>
      <w:pBdr/>
      <w:spacing/>
      <w:ind/>
    </w:pPr>
  </w:style>
  <w:style w:type="paragraph" w:styleId="862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3">
    <w:name w:val="footnote text"/>
    <w:basedOn w:val="882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Footnote Text Char"/>
    <w:basedOn w:val="892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2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92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871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872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3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4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5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6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7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78">
    <w:name w:val="toc 9"/>
    <w:basedOn w:val="882"/>
    <w:next w:val="882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pBdr/>
      <w:spacing w:after="200" w:line="240" w:lineRule="auto"/>
      <w:ind/>
    </w:pPr>
    <w:rPr>
      <w:lang w:val="it"/>
      <w14:ligatures w14:val="none"/>
    </w:rPr>
  </w:style>
  <w:style w:type="paragraph" w:styleId="883">
    <w:name w:val="Heading 1"/>
    <w:basedOn w:val="882"/>
    <w:next w:val="882"/>
    <w:link w:val="895"/>
    <w:uiPriority w:val="9"/>
    <w:qFormat/>
    <w:pPr>
      <w:keepNext w:val="true"/>
      <w:keepLines w:val="true"/>
      <w:numPr>
        <w:numId w:val="6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4">
    <w:name w:val="Heading 2"/>
    <w:basedOn w:val="882"/>
    <w:next w:val="882"/>
    <w:link w:val="896"/>
    <w:uiPriority w:val="9"/>
    <w:semiHidden/>
    <w:unhideWhenUsed/>
    <w:qFormat/>
    <w:pPr>
      <w:keepNext w:val="true"/>
      <w:keepLines w:val="true"/>
      <w:numPr>
        <w:ilvl w:val="1"/>
        <w:numId w:val="6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5">
    <w:name w:val="Heading 3"/>
    <w:basedOn w:val="882"/>
    <w:next w:val="882"/>
    <w:link w:val="897"/>
    <w:uiPriority w:val="9"/>
    <w:semiHidden/>
    <w:unhideWhenUsed/>
    <w:qFormat/>
    <w:pPr>
      <w:keepNext w:val="true"/>
      <w:keepLines w:val="true"/>
      <w:numPr>
        <w:ilvl w:val="2"/>
        <w:numId w:val="6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6">
    <w:name w:val="Heading 4"/>
    <w:basedOn w:val="882"/>
    <w:next w:val="882"/>
    <w:link w:val="898"/>
    <w:uiPriority w:val="9"/>
    <w:semiHidden/>
    <w:unhideWhenUsed/>
    <w:qFormat/>
    <w:pPr>
      <w:keepNext w:val="true"/>
      <w:keepLines w:val="true"/>
      <w:numPr>
        <w:ilvl w:val="3"/>
        <w:numId w:val="6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7">
    <w:name w:val="Heading 5"/>
    <w:basedOn w:val="882"/>
    <w:next w:val="882"/>
    <w:link w:val="899"/>
    <w:uiPriority w:val="9"/>
    <w:semiHidden/>
    <w:unhideWhenUsed/>
    <w:qFormat/>
    <w:pPr>
      <w:keepNext w:val="true"/>
      <w:keepLines w:val="true"/>
      <w:numPr>
        <w:ilvl w:val="4"/>
        <w:numId w:val="6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8">
    <w:name w:val="Heading 6"/>
    <w:basedOn w:val="882"/>
    <w:next w:val="882"/>
    <w:link w:val="900"/>
    <w:uiPriority w:val="9"/>
    <w:semiHidden/>
    <w:unhideWhenUsed/>
    <w:qFormat/>
    <w:pPr>
      <w:keepNext w:val="true"/>
      <w:keepLines w:val="true"/>
      <w:numPr>
        <w:ilvl w:val="5"/>
        <w:numId w:val="6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9">
    <w:name w:val="Heading 7"/>
    <w:basedOn w:val="882"/>
    <w:next w:val="882"/>
    <w:link w:val="901"/>
    <w:uiPriority w:val="9"/>
    <w:semiHidden/>
    <w:unhideWhenUsed/>
    <w:qFormat/>
    <w:pPr>
      <w:keepNext w:val="true"/>
      <w:keepLines w:val="true"/>
      <w:numPr>
        <w:ilvl w:val="6"/>
        <w:numId w:val="6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0">
    <w:name w:val="Heading 8"/>
    <w:basedOn w:val="882"/>
    <w:next w:val="882"/>
    <w:link w:val="902"/>
    <w:uiPriority w:val="9"/>
    <w:semiHidden/>
    <w:unhideWhenUsed/>
    <w:qFormat/>
    <w:pPr>
      <w:keepNext w:val="true"/>
      <w:keepLines w:val="true"/>
      <w:numPr>
        <w:ilvl w:val="7"/>
        <w:numId w:val="6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1">
    <w:name w:val="Heading 9"/>
    <w:basedOn w:val="882"/>
    <w:next w:val="882"/>
    <w:link w:val="903"/>
    <w:uiPriority w:val="9"/>
    <w:semiHidden/>
    <w:unhideWhenUsed/>
    <w:qFormat/>
    <w:pPr>
      <w:keepNext w:val="true"/>
      <w:keepLines w:val="true"/>
      <w:numPr>
        <w:ilvl w:val="8"/>
        <w:numId w:val="6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character" w:styleId="895" w:customStyle="1">
    <w:name w:val="Titolo 1 Carattere"/>
    <w:basedOn w:val="892"/>
    <w:link w:val="88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it"/>
      <w14:ligatures w14:val="none"/>
    </w:rPr>
  </w:style>
  <w:style w:type="character" w:styleId="896" w:customStyle="1">
    <w:name w:val="Titolo 2 Carattere"/>
    <w:basedOn w:val="892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7" w:customStyle="1">
    <w:name w:val="Titolo 3 Carattere"/>
    <w:basedOn w:val="892"/>
    <w:link w:val="88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98" w:customStyle="1">
    <w:name w:val="Titolo 4 Carattere"/>
    <w:basedOn w:val="892"/>
    <w:link w:val="88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9" w:customStyle="1">
    <w:name w:val="Titolo 5 Carattere"/>
    <w:basedOn w:val="892"/>
    <w:link w:val="88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0" w:customStyle="1">
    <w:name w:val="Titolo 6 Carattere"/>
    <w:basedOn w:val="892"/>
    <w:link w:val="88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1" w:customStyle="1">
    <w:name w:val="Titolo 7 Carattere"/>
    <w:basedOn w:val="892"/>
    <w:link w:val="88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2" w:customStyle="1">
    <w:name w:val="Titolo 8 Carattere"/>
    <w:basedOn w:val="892"/>
    <w:link w:val="89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3" w:customStyle="1">
    <w:name w:val="Titolo 9 Carattere"/>
    <w:basedOn w:val="892"/>
    <w:link w:val="89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4">
    <w:name w:val="Title"/>
    <w:basedOn w:val="882"/>
    <w:next w:val="882"/>
    <w:link w:val="905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5" w:customStyle="1">
    <w:name w:val="Titolo Carattere"/>
    <w:basedOn w:val="892"/>
    <w:link w:val="90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6">
    <w:name w:val="Subtitle"/>
    <w:basedOn w:val="882"/>
    <w:next w:val="882"/>
    <w:link w:val="90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7" w:customStyle="1">
    <w:name w:val="Sottotitolo Carattere"/>
    <w:basedOn w:val="892"/>
    <w:link w:val="90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8">
    <w:name w:val="Quote"/>
    <w:basedOn w:val="882"/>
    <w:next w:val="882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 w:customStyle="1">
    <w:name w:val="Citazione Carattere"/>
    <w:basedOn w:val="892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0">
    <w:name w:val="List Paragraph"/>
    <w:basedOn w:val="882"/>
    <w:uiPriority w:val="34"/>
    <w:qFormat/>
    <w:pPr>
      <w:pBdr/>
      <w:spacing/>
      <w:ind w:left="720"/>
      <w:contextualSpacing w:val="true"/>
    </w:pPr>
  </w:style>
  <w:style w:type="character" w:styleId="911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2">
    <w:name w:val="Intense Quote"/>
    <w:basedOn w:val="882"/>
    <w:next w:val="882"/>
    <w:link w:val="91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3" w:customStyle="1">
    <w:name w:val="Citazione intensa Carattere"/>
    <w:basedOn w:val="892"/>
    <w:link w:val="91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4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5">
    <w:name w:val="Body Text"/>
    <w:basedOn w:val="882"/>
    <w:link w:val="916"/>
    <w:qFormat/>
    <w:pPr>
      <w:pBdr/>
      <w:spacing w:after="180" w:before="180"/>
      <w:ind/>
    </w:pPr>
  </w:style>
  <w:style w:type="character" w:styleId="916" w:customStyle="1">
    <w:name w:val="Corpo testo Carattere"/>
    <w:basedOn w:val="892"/>
    <w:link w:val="915"/>
    <w:pPr>
      <w:pBdr/>
      <w:spacing/>
      <w:ind/>
    </w:pPr>
    <w:rPr>
      <w:lang w:val="it"/>
      <w14:ligatures w14:val="none"/>
    </w:rPr>
  </w:style>
  <w:style w:type="paragraph" w:styleId="917" w:customStyle="1">
    <w:name w:val="First Paragraph"/>
    <w:basedOn w:val="915"/>
    <w:next w:val="915"/>
    <w:qFormat/>
    <w:pPr>
      <w:pBdr/>
      <w:spacing/>
      <w:ind/>
    </w:pPr>
  </w:style>
  <w:style w:type="paragraph" w:styleId="918" w:customStyle="1">
    <w:name w:val="Compact"/>
    <w:basedOn w:val="915"/>
    <w:qFormat/>
    <w:pPr>
      <w:pBdr/>
      <w:spacing w:after="36" w:before="36"/>
      <w:ind/>
    </w:pPr>
  </w:style>
  <w:style w:type="character" w:styleId="919">
    <w:name w:val="Hyperlink"/>
    <w:basedOn w:val="892"/>
    <w:uiPriority w:val="99"/>
    <w:pPr>
      <w:pBdr/>
      <w:spacing/>
      <w:ind/>
    </w:pPr>
    <w:rPr>
      <w:color w:val="156082" w:themeColor="accent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Props1.xml><?xml version="1.0" encoding="utf-8"?>
<ds:datastoreItem xmlns:ds="http://schemas.openxmlformats.org/officeDocument/2006/customXml" ds:itemID="{A87C475A-2012-42FA-AC8B-3AAFC3C77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81ECD3-5269-454E-94B7-90CC60313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32BC04-81BE-4774-807C-0B338F76E45C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Silvestro Amodeo</dc:creator>
  <cp:keywords/>
  <dc:description/>
  <cp:lastModifiedBy>Francesco Scavello</cp:lastModifiedBy>
  <cp:revision>4</cp:revision>
  <dcterms:created xsi:type="dcterms:W3CDTF">2025-10-14T13:34:00Z</dcterms:created>
  <dcterms:modified xsi:type="dcterms:W3CDTF">2025-10-29T08:26:19Z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</Properties>
</file>