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0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0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0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29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PROC-03 – Accesso di Fornitori e Visitatori</w:t>
      </w:r>
      <w:r>
        <w:rPr>
          <w:lang w:val="it-IT"/>
        </w:rPr>
      </w:r>
      <w:r>
        <w:rPr>
          <w:lang w:val="it-IT"/>
        </w:rPr>
      </w:r>
    </w:p>
    <w:p>
      <w:pPr>
        <w:pStyle w:val="1029"/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  <w:r>
        <w:rPr>
          <w:lang w:val="it-IT"/>
        </w:rPr>
      </w:r>
    </w:p>
    <w:p>
      <w:pPr>
        <w:pStyle w:val="1030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03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3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0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30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0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1017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2675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104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2675" w:anchor="_Toc211352675" w:history="1">
            <w:r>
              <w:rPr>
                <w:rStyle w:val="1065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_Toc211352675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76" w:anchor="_Toc211352676" w:history="1">
            <w:r>
              <w:rPr>
                <w:rStyle w:val="1065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_Toc211352676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77" w:anchor="_Toc211352677" w:history="1">
            <w:r>
              <w:rPr>
                <w:rStyle w:val="1065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_Toc211352677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78" w:anchor="_Toc211352678" w:history="1">
            <w:r>
              <w:rPr>
                <w:rStyle w:val="1065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_Toc211352678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79" w:anchor="_Toc211352679" w:history="1">
            <w:r>
              <w:rPr>
                <w:rStyle w:val="1065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_Toc211352679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80" w:anchor="_Toc211352680" w:history="1">
            <w:r>
              <w:rPr>
                <w:rStyle w:val="1065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_Toc211352680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81" w:anchor="_Toc211352681" w:history="1">
            <w:r>
              <w:rPr>
                <w:rStyle w:val="1065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_Toc211352681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82" w:anchor="_Toc211352682" w:history="1">
            <w:r>
              <w:rPr>
                <w:rStyle w:val="1065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_Toc211352682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2683" w:anchor="_Toc211352683" w:history="1">
            <w:r>
              <w:rPr>
                <w:rStyle w:val="1065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5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_Toc211352683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1017"/>
        <w:pBdr/>
        <w:spacing/>
        <w:ind/>
        <w:rPr/>
      </w:pPr>
      <w:r/>
      <w:bookmarkStart w:id="4" w:name="_Toc211352676"/>
      <w:r>
        <w:t xml:space="preserve">Scopo</w:t>
      </w:r>
      <w:bookmarkEnd w:id="4"/>
      <w:r/>
      <w:r/>
    </w:p>
    <w:p>
      <w:pPr>
        <w:pStyle w:val="1030"/>
        <w:pBdr/>
        <w:spacing/>
        <w:ind/>
        <w:rPr/>
      </w:pPr>
      <w:r>
        <w:t xml:space="preserve">Regolamentare l’accesso in sicurezza di fornitori, autotrasportatori, visitatori e personale esterno occasionale allo stabilimento, prevenendo rischi di interferenza e garantendo il rispetto delle norme di sicurezza da parte di chiunque entri in azienda.</w:t>
      </w:r>
      <w:r/>
    </w:p>
    <w:p>
      <w:pPr>
        <w:pStyle w:val="1017"/>
        <w:pBdr/>
        <w:spacing/>
        <w:ind/>
        <w:rPr/>
      </w:pPr>
      <w:r/>
      <w:bookmarkStart w:id="5" w:name="_Toc211352677"/>
      <w:r>
        <w:t xml:space="preserve">Campo di Applicazione</w:t>
      </w:r>
      <w:bookmarkEnd w:id="5"/>
      <w:r/>
      <w:r/>
    </w:p>
    <w:p>
      <w:pPr>
        <w:pStyle w:val="1029"/>
        <w:pBdr/>
        <w:spacing/>
        <w:ind/>
        <w:rPr/>
      </w:pPr>
      <w:r>
        <w:t xml:space="preserve">Tutti i soggetti esterni non dipendenti (es. corrieri, autisti per consegna materie prime o ritiro prodotti, fo</w:t>
      </w:r>
      <w:r>
        <w:t xml:space="preserve">rnitori di servizi, visitatori commerciali, ecc.) che accedono alle aree aziendali, ad esclusione degli appaltatori che eseguono lavori (disciplinati dalla procedura appalti). Si applica all’area produttiva, magazzini, area ricevimento/spedizione e uffici.</w:t>
      </w:r>
      <w:r/>
    </w:p>
    <w:p>
      <w:pPr>
        <w:pStyle w:val="1017"/>
        <w:pBdr/>
        <w:spacing/>
        <w:ind/>
        <w:rPr/>
      </w:pPr>
      <w:r/>
      <w:bookmarkStart w:id="6" w:name="_Toc211352678"/>
      <w:r>
        <w:t xml:space="preserve">Riferimenti</w:t>
      </w:r>
      <w:bookmarkEnd w:id="6"/>
      <w:r/>
      <w:r/>
    </w:p>
    <w:p>
      <w:pPr>
        <w:pStyle w:val="1029"/>
        <w:pBdr/>
        <w:spacing/>
        <w:ind/>
        <w:rPr/>
      </w:pPr>
      <w:r>
        <w:t xml:space="preserve">D.Lgs.</w:t>
      </w:r>
      <w:r>
        <w:t xml:space="preserve"> 81/2008 art.26 (Ob</w:t>
      </w:r>
      <w:r>
        <w:t xml:space="preserve">blighi connessi a contratti d’appalto o d’opera – estendibile alle interferenze con fornitori/visitatori), Regolamento interno visitatori, DVR sezione rischi interferenziali. Normativa aziendale su sicurezza delle aree di carico/scarico e traffico interno.</w:t>
      </w:r>
      <w:r/>
    </w:p>
    <w:p>
      <w:pPr>
        <w:pStyle w:val="1017"/>
        <w:pBdr/>
        <w:spacing/>
        <w:ind/>
        <w:rPr/>
      </w:pPr>
      <w:r/>
      <w:bookmarkStart w:id="7" w:name="_Toc211352679"/>
      <w:r>
        <w:t xml:space="preserve">Definizioni e </w:t>
      </w:r>
      <w:r>
        <w:t xml:space="preserve">Modalità Operative</w:t>
      </w:r>
      <w:bookmarkEnd w:id="7"/>
      <w:r/>
      <w:r/>
    </w:p>
    <w:p>
      <w:pPr>
        <w:pStyle w:val="1029"/>
        <w:numPr>
          <w:ilvl w:val="0"/>
          <w:numId w:val="43"/>
        </w:numPr>
        <w:pBdr/>
        <w:spacing/>
        <w:ind/>
        <w:rPr/>
      </w:pPr>
      <w:r>
        <w:rPr>
          <w:b/>
          <w:bCs/>
        </w:rPr>
        <w:t xml:space="preserve">Registrazione all’Ingresso:</w:t>
      </w:r>
      <w:r>
        <w:t xml:space="preserve"> Tutti i fornitori e visitatori devono transitare dalla Portineria o Reception. È istituito un registro (o sistema digitale) </w:t>
      </w:r>
      <w:r>
        <w:rPr>
          <w:b/>
          <w:bCs/>
          <w:highlight w:val="none"/>
        </w:rPr>
        <w:t xml:space="preserve">M</w:t>
      </w:r>
      <w:r>
        <w:rPr>
          <w:b/>
          <w:bCs/>
          <w:highlight w:val="none"/>
        </w:rPr>
        <w:t xml:space="preserve"> 09</w:t>
      </w:r>
      <w:r>
        <w:rPr>
          <w:b/>
          <w:bCs/>
          <w:highlight w:val="none"/>
        </w:rPr>
        <w:t xml:space="preserve">.15</w:t>
      </w:r>
      <w:r>
        <w:t xml:space="preserve"> </w:t>
      </w:r>
      <w:r>
        <w:rPr>
          <w:b/>
          <w:bCs/>
        </w:rPr>
        <w:t xml:space="preserve">REGISTRO VISITATORI</w:t>
      </w:r>
      <w:r>
        <w:t xml:space="preserve"> </w:t>
      </w:r>
      <w:r>
        <w:t xml:space="preserve">su cui annotare: data, ora, nominativo, azienda di appartenenza, persona da contattare in azienda e motivo della visita.</w:t>
      </w:r>
      <w:r/>
    </w:p>
    <w:p>
      <w:pPr>
        <w:pStyle w:val="1029"/>
        <w:numPr>
          <w:ilvl w:val="0"/>
          <w:numId w:val="43"/>
        </w:numPr>
        <w:pBdr/>
        <w:spacing/>
        <w:ind/>
        <w:rPr>
          <w:highlight w:val="none"/>
        </w:rPr>
      </w:pPr>
      <w:r>
        <w:rPr>
          <w:b/>
          <w:bCs/>
        </w:rPr>
        <w:t xml:space="preserve">Informazione sulle Regole di Sicurezza:</w:t>
      </w:r>
      <w:r>
        <w:t xml:space="preserve"> Al primo accesso o comunque prima di entrare in reparti produttivi, ogni visitatore/fornitore riceve un breve briefing sulle norme di sicurezza da rispettare.</w:t>
      </w:r>
      <w:r>
        <w:rPr>
          <w:highlight w:val="none"/>
        </w:rPr>
        <w:t xml:space="preserve"> </w:t>
      </w:r>
      <w:r>
        <w:rPr>
          <w:highlight w:val="none"/>
        </w:rPr>
        <w:t xml:space="preserve">Viene consegnato, se disponibile, un </w:t>
      </w:r>
      <w:r>
        <w:rPr>
          <w:highlight w:val="none"/>
        </w:rPr>
        <w:t xml:space="preserve">foglio informativo</w:t>
      </w:r>
      <w:r>
        <w:rPr>
          <w:highlight w:val="none"/>
        </w:rPr>
        <w:t xml:space="preserve"> o </w:t>
      </w:r>
      <w:r>
        <w:rPr>
          <w:highlight w:val="none"/>
        </w:rPr>
        <w:t xml:space="preserve">depliant</w:t>
      </w:r>
      <w:r>
        <w:rPr>
          <w:highlight w:val="none"/>
        </w:rPr>
        <w:t xml:space="preserve"> con: obbligo di DPI (alta visibilità</w:t>
      </w:r>
      <w:r>
        <w:rPr>
          <w:highlight w:val="none"/>
        </w:rPr>
        <w:t xml:space="preserve">, scarpe antinfortunistiche nelle aree produttive e piazzali), </w:t>
      </w:r>
      <w:r>
        <w:rPr>
          <w:highlight w:val="none"/>
        </w:rPr>
        <w:t xml:space="preserve">divieti (vietato fumare salvo aree consentite, vietato accedere a zone non autorizzate, divieto di introdurre fiamme libere) </w:t>
      </w:r>
      <w:r>
        <w:rPr>
          <w:highlight w:val="none"/>
        </w:rPr>
        <w:t xml:space="preserve">e indicazioni su cosa fare in caso di emergenza (vie di fuga, punto </w:t>
      </w:r>
      <w:r>
        <w:rPr>
          <w:highlight w:val="none"/>
        </w:rPr>
        <w:t xml:space="preserve">di raccolta, divieto di iniziative autonome)</w:t>
      </w:r>
      <w:r>
        <w:rPr>
          <w:highlight w:val="none"/>
        </w:rPr>
        <w:t xml:space="preserve">. </w:t>
      </w:r>
      <w:r>
        <w:rPr>
          <w:highlight w:val="none"/>
        </w:rPr>
        <w:t xml:space="preserve">L’addetto alla Reception o un Preposto fa firmare per presa visione tali istruzioni. Nel registro accessi è possibile includere una dichiarazione firmata dal visitatore di rispetto del regolamento di sicurezza.</w:t>
      </w:r>
      <w:r>
        <w:rPr>
          <w:highlight w:val="none"/>
        </w:rPr>
      </w:r>
      <w:r>
        <w:rPr>
          <w:highlight w:val="none"/>
        </w:rPr>
      </w:r>
    </w:p>
    <w:p>
      <w:pPr>
        <w:pStyle w:val="1029"/>
        <w:numPr>
          <w:ilvl w:val="0"/>
          <w:numId w:val="43"/>
        </w:numPr>
        <w:pBdr/>
        <w:spacing/>
        <w:ind/>
        <w:rPr/>
      </w:pPr>
      <w:r>
        <w:rPr>
          <w:b/>
          <w:bCs/>
        </w:rPr>
        <w:t xml:space="preserve">Accompagnamento e Limitazioni:</w:t>
      </w:r>
      <w:r>
        <w:t xml:space="preserve"> I visitatori devono essere sempre accompagnati da un referente aziendale (es. il responsabile dell’area visitata). I fornitori/autisti che devono </w:t>
      </w:r>
      <w:r>
        <w:t xml:space="preserve">accedere alle zone di carico/scarico vengono guidati dal personale di magazzino. </w:t>
      </w:r>
      <w:r>
        <w:t xml:space="preserve">Ad esempio, i camion per il conferimento frutta sostano nell’area di accettazione esterna; l’autista </w:t>
      </w:r>
      <w:r>
        <w:t xml:space="preserve">segue le istruzioni del personale di stabilimento.</w:t>
      </w:r>
      <w:r/>
    </w:p>
    <w:p>
      <w:pPr>
        <w:pStyle w:val="1029"/>
        <w:numPr>
          <w:ilvl w:val="0"/>
          <w:numId w:val="43"/>
        </w:numPr>
        <w:pBdr/>
        <w:spacing/>
        <w:ind/>
        <w:rPr/>
      </w:pPr>
      <w:r>
        <w:rPr>
          <w:b/>
          <w:bCs/>
        </w:rPr>
        <w:t xml:space="preserve">Dispositivi di Protezione per Esterni:</w:t>
      </w:r>
      <w:r>
        <w:t xml:space="preserve"> L’azienda fornisce ai visitatori eventualmente sprovvisti i DPI obbligatori per l’accesso in stabiliment</w:t>
      </w:r>
      <w:r>
        <w:t xml:space="preserve">o. In particolare, tutti gli esterni in area produttiva devono </w:t>
      </w:r>
      <w:r>
        <w:rPr>
          <w:highlight w:val="yellow"/>
        </w:rPr>
        <w:t xml:space="preserve">indossare giubbotto o pettorina ad alta visibilità</w:t>
      </w:r>
      <w:r>
        <w:t xml:space="preserve">, calzature antiscivolo/antinfortunistiche se entrano nei reparti di produzion</w:t>
      </w:r>
      <w:r>
        <w:t xml:space="preserve">e o magazzini. Se un visitatore entra in reparti a temperatura controllata (celle frigo), gli vengono forniti indumenti termici adeguati. I DPI consegnati a visitatori sono registrati (es. su apposito modulo di consegna temporanea) e restituiti all’uscita.</w:t>
      </w:r>
      <w:r/>
    </w:p>
    <w:p>
      <w:pPr>
        <w:pStyle w:val="1029"/>
        <w:numPr>
          <w:ilvl w:val="0"/>
          <w:numId w:val="43"/>
        </w:numPr>
        <w:pBdr/>
        <w:spacing/>
        <w:ind/>
        <w:rPr/>
      </w:pPr>
      <w:r>
        <w:rPr>
          <w:b/>
          <w:bCs/>
        </w:rPr>
        <w:t xml:space="preserve">Regole di Comportamento in Stabilimento:</w:t>
      </w:r>
      <w:r>
        <w:t xml:space="preserve"> I fornitori e autisti devono rispettare la segnaletica e le regole del tr</w:t>
      </w:r>
      <w:r>
        <w:t xml:space="preserve">affico interno: limite di velocità nell’area cortiliva (es. 10 km/h), rispetto dei percorsi stabiliti, divieto di sosta in aree diverse da quelle indicate. È vietato ai fornitori azionare autonomamente macchinari dell’azienda o accedere a quadri elettrici,</w:t>
      </w:r>
      <w:r>
        <w:t xml:space="preserve"> depositi di sostanze pericolose, ecc. In caso di necessità (es. per caricare campioni, usare attrezzature), devono essere autorizzati e seguiti da personale interno. Per i visitatori, vige il divieto di fotografare o filmare impianti senza autorizzazione.</w:t>
      </w:r>
      <w:r/>
    </w:p>
    <w:p>
      <w:pPr>
        <w:pStyle w:val="1029"/>
        <w:numPr>
          <w:ilvl w:val="0"/>
          <w:numId w:val="43"/>
        </w:numPr>
        <w:pBdr/>
        <w:spacing/>
        <w:ind/>
        <w:rPr/>
      </w:pPr>
      <w:r>
        <w:rPr>
          <w:b/>
          <w:bCs/>
        </w:rPr>
        <w:t xml:space="preserve">Emergenze e Pronto Soccorso:</w:t>
      </w:r>
      <w:r>
        <w:t xml:space="preserve"> In caso di allarme evacu</w:t>
      </w:r>
      <w:r>
        <w:t xml:space="preserve">azione, anche visitatori e fornitori devono attenersi al piano di emergenza: il personale interno accompagnatore ne garantisce l’evacuazione verso il punto di raccolta e verifica la loro presenza. In caso di infortunio di un visitatore/fornitore, si presta</w:t>
      </w:r>
      <w:r>
        <w:t xml:space="preserve"> il primo soccorso e si attiva la procedura di emergenza come per i dipendenti, informando immediatamente il referente interno e l’azienda di appartenenza se del caso. Ogni incidente o quasi-incidente che coinvolga un esterno viene registrato e analizzato.</w:t>
      </w:r>
      <w:r/>
    </w:p>
    <w:p>
      <w:pPr>
        <w:pStyle w:val="1029"/>
        <w:numPr>
          <w:ilvl w:val="0"/>
          <w:numId w:val="43"/>
        </w:numPr>
        <w:pBdr/>
        <w:spacing/>
        <w:ind/>
        <w:rPr/>
      </w:pPr>
      <w:r>
        <w:rPr>
          <w:b/>
          <w:bCs/>
        </w:rPr>
        <w:t xml:space="preserve">Uscita e Restituzione Badge:</w:t>
      </w:r>
      <w:r>
        <w:t xml:space="preserve"> Al termine della visita o consegna, l’ospite restituisce il </w:t>
      </w:r>
      <w:r>
        <w:t xml:space="preserve">badge</w:t>
      </w:r>
      <w:r>
        <w:t xml:space="preserve"> e gli eventuali DPI aziendali ricevuti. Si registra l’ora di uscita sul </w:t>
      </w:r>
      <w:r>
        <w:rPr>
          <w:b/>
          <w:bCs/>
        </w:rPr>
        <w:t xml:space="preserve">Registro Accessi</w:t>
      </w:r>
      <w:r>
        <w:t xml:space="preserve">. Il personale di portineria verifica che nulla sia stato portato fuori non autorizzato e che l’esterno abbia completato eventuali consegne documentali (es. DDT firmati).</w:t>
      </w:r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17"/>
        <w:pBdr/>
        <w:spacing/>
        <w:ind/>
        <w:rPr/>
      </w:pPr>
      <w:r/>
      <w:bookmarkStart w:id="8" w:name="_Toc211352680"/>
      <w:r>
        <w:t xml:space="preserve">Matrice RACI</w:t>
      </w:r>
      <w:bookmarkEnd w:id="8"/>
      <w:r/>
      <w:r/>
    </w:p>
    <w:p>
      <w:pPr>
        <w:pStyle w:val="1029"/>
        <w:pBdr/>
        <w:spacing/>
        <w:ind/>
        <w:rPr/>
      </w:pPr>
      <w:r>
        <w:t xml:space="preserve">Responsabilità nella gestione di accessi di esterni:</w:t>
      </w:r>
      <w:r/>
    </w:p>
    <w:tbl>
      <w:tblPr>
        <w:tblW w:w="0" w:type="auto"/>
        <w:tblBorders/>
        <w:tblLayout w:type="fixed"/>
        <w:tblLook w:val="0020" w:firstRow="1" w:lastRow="0" w:firstColumn="0" w:lastColumn="0" w:noHBand="0" w:noVBand="0"/>
        <w:tblStyle w:val="1103"/>
      </w:tblPr>
      <w:tblGrid>
        <w:gridCol w:w="2250"/>
        <w:gridCol w:w="1259"/>
        <w:gridCol w:w="621"/>
        <w:gridCol w:w="2555"/>
        <w:gridCol w:w="2130"/>
        <w:gridCol w:w="1372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Reception/Portineria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Preposto Reparto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Persona Esterna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t xml:space="preserve">Definizione regole accesso esterni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t xml:space="preserve">Registrazione ingressi e briefing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t xml:space="preserve">Fornitura DPI e accompagnamento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A (mezzi)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 (fornitura DPI)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 (accompagna)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 (rispettare)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t xml:space="preserve">Rispetto norme durante permanenza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 (vigila)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 (rispettare)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t xml:space="preserve">Gestione emergenza </w:t>
            </w:r>
            <w:r>
              <w:t xml:space="preserve">coinv</w:t>
            </w:r>
            <w:r>
              <w:t xml:space="preserve">. esterni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 (soccorre/evacua)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 (seguire)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rPr/>
            </w:pPr>
            <w:r>
              <w:t xml:space="preserve">Registrazione uscita e controllo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1017"/>
        <w:pBdr/>
        <w:spacing/>
        <w:ind/>
        <w:rPr/>
      </w:pPr>
      <w:r/>
      <w:bookmarkStart w:id="9" w:name="_Toc211352681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7"/>
      </w:tblPr>
      <w:tblGrid>
        <w:gridCol w:w="5495"/>
        <w:gridCol w:w="4678"/>
      </w:tblGrid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</w:t>
            </w:r>
            <w:r/>
          </w:p>
        </w:tc>
      </w:tr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ingressi esterni registrati vs. ingressi non autorizzati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 non registrati</w:t>
            </w:r>
            <w:r/>
          </w:p>
        </w:tc>
      </w:tr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Incidenti o </w:t>
            </w:r>
            <w:r>
              <w:t xml:space="preserve">near</w:t>
            </w:r>
            <w:r>
              <w:t xml:space="preserve"> miss che coinvolgono esterni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esterni a cui è fornito briefing/documento sicurezza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Esiti di eventuali audit su fornitori in area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 medio di permanenza automezzi in area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17"/>
        <w:pBdr/>
        <w:spacing/>
        <w:ind/>
        <w:rPr/>
      </w:pPr>
      <w:r/>
      <w:bookmarkStart w:id="10" w:name="_Toc211352682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07"/>
      </w:tblPr>
      <w:tblGrid>
        <w:gridCol w:w="5056"/>
        <w:gridCol w:w="5056"/>
      </w:tblGrid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MOD-12 Registro Accessi Terzi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 ingressi con dichiarazione di presa visione norme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Modulo di Informativa per Visitatori/Fornitori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promemoria da consegnare, non compilativo</w:t>
            </w:r>
            <w:r/>
          </w:p>
        </w:tc>
      </w:tr>
      <w:tr>
        <w:trPr/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Eventuale modulo di consegna DPI temporanei a visitatori</w:t>
            </w:r>
            <w:r/>
          </w:p>
        </w:tc>
        <w:tc>
          <w:tcPr>
            <w:tcBorders/>
            <w:tcW w:w="50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interna</w:t>
            </w:r>
            <w:r/>
          </w:p>
        </w:tc>
      </w:tr>
    </w:tbl>
    <w:p>
      <w:pPr>
        <w:pStyle w:val="1017"/>
        <w:numPr>
          <w:ilvl w:val="0"/>
          <w:numId w:val="0"/>
        </w:numPr>
        <w:pBdr/>
        <w:spacing/>
        <w:ind w:firstLine="0" w:left="0"/>
        <w:rPr/>
      </w:pPr>
      <w:r>
        <w:t xml:space="preserve">8. </w:t>
      </w:r>
      <w:bookmarkStart w:id="11" w:name="_Toc211352683"/>
      <w:r>
        <w:t xml:space="preserve">Controlli Previsti</w:t>
      </w:r>
      <w:bookmarkEnd w:id="11"/>
      <w:r/>
      <w:r/>
    </w:p>
    <w:tbl>
      <w:tblPr>
        <w:tblW w:w="0" w:type="auto"/>
        <w:tblBorders/>
        <w:tblLayout w:type="fixed"/>
        <w:tblLook w:val="0420" w:firstRow="1" w:lastRow="0" w:firstColumn="0" w:lastColumn="0" w:noHBand="0" w:noVBand="1"/>
        <w:tblStyle w:val="1107"/>
      </w:tblPr>
      <w:tblGrid>
        <w:gridCol w:w="1883"/>
        <w:gridCol w:w="1768"/>
        <w:gridCol w:w="1479"/>
        <w:gridCol w:w="1781"/>
        <w:gridCol w:w="1843"/>
        <w:gridCol w:w="1434"/>
      </w:tblGrid>
      <w:tr>
        <w:trPr/>
        <w:tc>
          <w:tcPr>
            <w:tcBorders/>
            <w:tcW w:w="18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17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Soggetto responsabile</w:t>
            </w:r>
            <w:r/>
          </w:p>
        </w:tc>
        <w:tc>
          <w:tcPr>
            <w:tcBorders/>
            <w:tcW w:w="14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</w:t>
            </w:r>
            <w:r/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Conseguenze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</w:t>
            </w:r>
            <w:r/>
          </w:p>
        </w:tc>
        <w:tc>
          <w:tcPr>
            <w:tcBorders/>
            <w:tcW w:w="14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</w:tr>
      <w:tr>
        <w:trPr/>
        <w:tc>
          <w:tcPr>
            <w:tcBorders/>
            <w:tcW w:w="18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Controlli visivi sull’uso dei DPI</w:t>
            </w:r>
            <w:r/>
          </w:p>
        </w:tc>
        <w:tc>
          <w:tcPr>
            <w:tcBorders/>
            <w:tcW w:w="17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Personale di portineria</w:t>
            </w:r>
            <w:r/>
          </w:p>
        </w:tc>
        <w:tc>
          <w:tcPr>
            <w:tcBorders/>
            <w:tcW w:w="14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Impedisce l’accesso se non conformi</w:t>
            </w:r>
            <w:r/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Accesso negato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4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Appena entrati in stabilimento</w:t>
            </w:r>
            <w:r/>
          </w:p>
        </w:tc>
      </w:tr>
      <w:tr>
        <w:trPr/>
        <w:tc>
          <w:tcPr>
            <w:tcBorders/>
            <w:tcW w:w="18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Monitoraggio comportamento esterni</w:t>
            </w:r>
            <w:r/>
          </w:p>
        </w:tc>
        <w:tc>
          <w:tcPr>
            <w:tcBorders/>
            <w:tcW w:w="17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Preposti di area</w:t>
            </w:r>
            <w:r/>
          </w:p>
        </w:tc>
        <w:tc>
          <w:tcPr>
            <w:tcBorders/>
            <w:tcW w:w="14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Segnalazione infrazioni gravi</w:t>
            </w:r>
            <w:r/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Allontanamento immediato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4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Durante operazioni</w:t>
            </w:r>
            <w:r/>
          </w:p>
        </w:tc>
      </w:tr>
      <w:tr>
        <w:trPr/>
        <w:tc>
          <w:tcPr>
            <w:tcBorders/>
            <w:tcW w:w="18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Verifiche a campione rispetto regole di sicurezza</w:t>
            </w:r>
            <w:r/>
          </w:p>
        </w:tc>
        <w:tc>
          <w:tcPr>
            <w:tcBorders/>
            <w:tcW w:w="17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RSPP</w:t>
            </w:r>
            <w:r/>
          </w:p>
        </w:tc>
        <w:tc>
          <w:tcPr>
            <w:tcBorders/>
            <w:tcW w:w="14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Valutazione rispetto regole, esito registrato</w:t>
            </w:r>
            <w:r/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Rapporti di ispezione interna</w:t>
            </w:r>
            <w:r/>
          </w:p>
        </w:tc>
        <w:tc>
          <w:tcPr>
            <w:tcBorders/>
            <w:tcW w:w="14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Periodiche</w:t>
            </w:r>
            <w:r/>
          </w:p>
        </w:tc>
      </w:tr>
      <w:tr>
        <w:trPr/>
        <w:tc>
          <w:tcPr>
            <w:tcBorders/>
            <w:tcW w:w="18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Valutazione problemi/infortuni con esterni</w:t>
            </w:r>
            <w:r/>
          </w:p>
        </w:tc>
        <w:tc>
          <w:tcPr>
            <w:tcBorders/>
            <w:tcW w:w="17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4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Aggiornamento procedure</w:t>
            </w:r>
            <w:r/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  <w:tc>
          <w:tcPr>
            <w:tcBorders/>
            <w:tcW w:w="14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 (riunione periodica)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End w:id="3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101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1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103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99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99"/>
            <w:pBdr/>
            <w:spacing/>
            <w:ind/>
            <w:rPr>
              <w:lang w:val="it-IT"/>
            </w:rPr>
          </w:pPr>
          <w:r>
            <w:rPr>
              <w:b/>
              <w:bCs/>
              <w:lang w:val="it-IT"/>
            </w:rPr>
            <w:t xml:space="preserve">PROC-03 – Accesso di Fornitori e Visitatori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99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</w:t>
          </w:r>
          <w:r>
            <w:rPr>
              <w:lang w:val="it-IT"/>
            </w:rPr>
            <w:t xml:space="preserve">3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099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9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17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18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19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20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1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2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23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24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25"/>
      <w:rPr>
        <w:rFonts w:hint="default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9"/>
  </w:num>
  <w:num w:numId="32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1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  <w:num w:numId="36">
    <w:abstractNumId w:val="7"/>
  </w:num>
  <w:num w:numId="37">
    <w:abstractNumId w:val="4"/>
  </w:num>
  <w:num w:numId="38">
    <w:abstractNumId w:val="2"/>
  </w:num>
  <w:num w:numId="39">
    <w:abstractNumId w:val="5"/>
  </w:num>
  <w:num w:numId="40">
    <w:abstractNumId w:val="11"/>
  </w:num>
  <w:num w:numId="41">
    <w:abstractNumId w:val="8"/>
  </w:num>
  <w:num w:numId="42">
    <w:abstractNumId w:val="12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3">
    <w:name w:val="Table Grid Light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2"/>
    <w:basedOn w:val="10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1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2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3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4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5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6"/>
    <w:basedOn w:val="10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1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2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3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4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5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6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1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2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3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4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5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6"/>
    <w:basedOn w:val="10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1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2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3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4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5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6"/>
    <w:basedOn w:val="10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7">
    <w:name w:val="Heading 1 Char"/>
    <w:basedOn w:val="1026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8">
    <w:name w:val="Heading 2 Char"/>
    <w:basedOn w:val="1026"/>
    <w:link w:val="10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9">
    <w:name w:val="Heading 3 Char"/>
    <w:basedOn w:val="1026"/>
    <w:link w:val="10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0">
    <w:name w:val="Heading 4 Char"/>
    <w:basedOn w:val="1026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1">
    <w:name w:val="Heading 5 Char"/>
    <w:basedOn w:val="1026"/>
    <w:link w:val="10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2">
    <w:name w:val="Heading 6 Char"/>
    <w:basedOn w:val="1026"/>
    <w:link w:val="10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3">
    <w:name w:val="Heading 7 Char"/>
    <w:basedOn w:val="1026"/>
    <w:link w:val="10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4">
    <w:name w:val="Heading 8 Char"/>
    <w:basedOn w:val="1026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5">
    <w:name w:val="Heading 9 Char"/>
    <w:basedOn w:val="1026"/>
    <w:link w:val="10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6">
    <w:name w:val="Title Char"/>
    <w:basedOn w:val="1026"/>
    <w:link w:val="10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7">
    <w:name w:val="Subtitle Char"/>
    <w:basedOn w:val="1026"/>
    <w:link w:val="10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8">
    <w:name w:val="Quote"/>
    <w:basedOn w:val="1016"/>
    <w:next w:val="1016"/>
    <w:link w:val="9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9">
    <w:name w:val="Quote Char"/>
    <w:basedOn w:val="1026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0">
    <w:name w:val="List Paragraph"/>
    <w:basedOn w:val="1016"/>
    <w:uiPriority w:val="34"/>
    <w:qFormat/>
    <w:pPr>
      <w:pBdr/>
      <w:spacing/>
      <w:ind w:left="720"/>
      <w:contextualSpacing w:val="true"/>
    </w:pPr>
  </w:style>
  <w:style w:type="character" w:styleId="991">
    <w:name w:val="Intense Emphasis"/>
    <w:basedOn w:val="10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2">
    <w:name w:val="Intense Quote"/>
    <w:basedOn w:val="1016"/>
    <w:next w:val="1016"/>
    <w:link w:val="9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3">
    <w:name w:val="Intense Quote Char"/>
    <w:basedOn w:val="1026"/>
    <w:link w:val="9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4">
    <w:name w:val="Intense Reference"/>
    <w:basedOn w:val="10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5">
    <w:name w:val="No Spacing"/>
    <w:basedOn w:val="1016"/>
    <w:uiPriority w:val="1"/>
    <w:qFormat/>
    <w:pPr>
      <w:pBdr/>
      <w:spacing w:after="0" w:line="240" w:lineRule="auto"/>
      <w:ind/>
    </w:pPr>
  </w:style>
  <w:style w:type="character" w:styleId="996">
    <w:name w:val="Subtle Emphasis"/>
    <w:basedOn w:val="10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Emphasis"/>
    <w:basedOn w:val="1026"/>
    <w:uiPriority w:val="20"/>
    <w:qFormat/>
    <w:pPr>
      <w:pBdr/>
      <w:spacing/>
      <w:ind/>
    </w:pPr>
    <w:rPr>
      <w:i/>
      <w:iCs/>
    </w:rPr>
  </w:style>
  <w:style w:type="character" w:styleId="998">
    <w:name w:val="Strong"/>
    <w:basedOn w:val="1026"/>
    <w:uiPriority w:val="22"/>
    <w:qFormat/>
    <w:pPr>
      <w:pBdr/>
      <w:spacing/>
      <w:ind/>
    </w:pPr>
    <w:rPr>
      <w:b/>
      <w:bCs/>
    </w:rPr>
  </w:style>
  <w:style w:type="character" w:styleId="999">
    <w:name w:val="Subtle Reference"/>
    <w:basedOn w:val="10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0">
    <w:name w:val="Book Title"/>
    <w:basedOn w:val="10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1">
    <w:name w:val="Header Char"/>
    <w:basedOn w:val="1026"/>
    <w:link w:val="1099"/>
    <w:uiPriority w:val="99"/>
    <w:pPr>
      <w:pBdr/>
      <w:spacing/>
      <w:ind/>
    </w:pPr>
  </w:style>
  <w:style w:type="character" w:styleId="1002">
    <w:name w:val="Footer Char"/>
    <w:basedOn w:val="1026"/>
    <w:link w:val="1101"/>
    <w:uiPriority w:val="99"/>
    <w:pPr>
      <w:pBdr/>
      <w:spacing/>
      <w:ind/>
    </w:pPr>
  </w:style>
  <w:style w:type="character" w:styleId="1003">
    <w:name w:val="Footnote Text Char"/>
    <w:basedOn w:val="1026"/>
    <w:link w:val="1051"/>
    <w:uiPriority w:val="99"/>
    <w:semiHidden/>
    <w:pPr>
      <w:pBdr/>
      <w:spacing/>
      <w:ind/>
    </w:pPr>
    <w:rPr>
      <w:sz w:val="20"/>
      <w:szCs w:val="20"/>
    </w:rPr>
  </w:style>
  <w:style w:type="paragraph" w:styleId="1004">
    <w:name w:val="endnote text"/>
    <w:basedOn w:val="1016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Endnote Text Char"/>
    <w:basedOn w:val="1026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endnote reference"/>
    <w:basedOn w:val="1026"/>
    <w:uiPriority w:val="99"/>
    <w:semiHidden/>
    <w:unhideWhenUsed/>
    <w:pPr>
      <w:pBdr/>
      <w:spacing/>
      <w:ind/>
    </w:pPr>
    <w:rPr>
      <w:vertAlign w:val="superscript"/>
    </w:rPr>
  </w:style>
  <w:style w:type="character" w:styleId="1007">
    <w:name w:val="FollowedHyperlink"/>
    <w:basedOn w:val="10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8">
    <w:name w:val="toc 4"/>
    <w:basedOn w:val="1016"/>
    <w:next w:val="1016"/>
    <w:uiPriority w:val="39"/>
    <w:unhideWhenUsed/>
    <w:pPr>
      <w:pBdr/>
      <w:spacing w:after="100"/>
      <w:ind w:left="660"/>
    </w:pPr>
  </w:style>
  <w:style w:type="paragraph" w:styleId="1009">
    <w:name w:val="toc 5"/>
    <w:basedOn w:val="1016"/>
    <w:next w:val="1016"/>
    <w:uiPriority w:val="39"/>
    <w:unhideWhenUsed/>
    <w:pPr>
      <w:pBdr/>
      <w:spacing w:after="100"/>
      <w:ind w:left="880"/>
    </w:pPr>
  </w:style>
  <w:style w:type="paragraph" w:styleId="1010">
    <w:name w:val="toc 6"/>
    <w:basedOn w:val="1016"/>
    <w:next w:val="1016"/>
    <w:uiPriority w:val="39"/>
    <w:unhideWhenUsed/>
    <w:pPr>
      <w:pBdr/>
      <w:spacing w:after="100"/>
      <w:ind w:left="1100"/>
    </w:pPr>
  </w:style>
  <w:style w:type="paragraph" w:styleId="1011">
    <w:name w:val="toc 7"/>
    <w:basedOn w:val="1016"/>
    <w:next w:val="1016"/>
    <w:uiPriority w:val="39"/>
    <w:unhideWhenUsed/>
    <w:pPr>
      <w:pBdr/>
      <w:spacing w:after="100"/>
      <w:ind w:left="1320"/>
    </w:pPr>
  </w:style>
  <w:style w:type="paragraph" w:styleId="1012">
    <w:name w:val="toc 8"/>
    <w:basedOn w:val="1016"/>
    <w:next w:val="1016"/>
    <w:uiPriority w:val="39"/>
    <w:unhideWhenUsed/>
    <w:pPr>
      <w:pBdr/>
      <w:spacing w:after="100"/>
      <w:ind w:left="1540"/>
    </w:pPr>
  </w:style>
  <w:style w:type="paragraph" w:styleId="1013">
    <w:name w:val="toc 9"/>
    <w:basedOn w:val="1016"/>
    <w:next w:val="1016"/>
    <w:uiPriority w:val="39"/>
    <w:unhideWhenUsed/>
    <w:pPr>
      <w:pBdr/>
      <w:spacing w:after="100"/>
      <w:ind w:left="1760"/>
    </w:pPr>
  </w:style>
  <w:style w:type="character" w:styleId="1014">
    <w:name w:val="Placeholder Text"/>
    <w:basedOn w:val="1026"/>
    <w:uiPriority w:val="99"/>
    <w:semiHidden/>
    <w:pPr>
      <w:pBdr/>
      <w:spacing/>
      <w:ind/>
    </w:pPr>
    <w:rPr>
      <w:color w:val="666666"/>
    </w:rPr>
  </w:style>
  <w:style w:type="paragraph" w:styleId="1015">
    <w:name w:val="table of figures"/>
    <w:basedOn w:val="1016"/>
    <w:next w:val="1016"/>
    <w:uiPriority w:val="99"/>
    <w:unhideWhenUsed/>
    <w:pPr>
      <w:pBdr/>
      <w:spacing w:after="0" w:afterAutospacing="0"/>
      <w:ind/>
    </w:pPr>
  </w:style>
  <w:style w:type="paragraph" w:styleId="1016" w:default="1">
    <w:name w:val="Normal"/>
    <w:qFormat/>
    <w:pPr>
      <w:pBdr/>
      <w:spacing/>
      <w:ind/>
    </w:pPr>
  </w:style>
  <w:style w:type="paragraph" w:styleId="1017">
    <w:name w:val="Heading 1"/>
    <w:basedOn w:val="1016"/>
    <w:next w:val="1029"/>
    <w:link w:val="1041"/>
    <w:uiPriority w:val="9"/>
    <w:qFormat/>
    <w:pPr>
      <w:keepNext w:val="true"/>
      <w:keepLines w:val="true"/>
      <w:numPr>
        <w:numId w:val="33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18">
    <w:name w:val="Heading 2"/>
    <w:basedOn w:val="1016"/>
    <w:next w:val="1029"/>
    <w:link w:val="1042"/>
    <w:uiPriority w:val="9"/>
    <w:unhideWhenUsed/>
    <w:qFormat/>
    <w:pPr>
      <w:keepNext w:val="true"/>
      <w:keepLines w:val="true"/>
      <w:numPr>
        <w:ilvl w:val="1"/>
        <w:numId w:val="33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19">
    <w:name w:val="Heading 3"/>
    <w:basedOn w:val="1016"/>
    <w:next w:val="1029"/>
    <w:link w:val="1043"/>
    <w:uiPriority w:val="9"/>
    <w:unhideWhenUsed/>
    <w:qFormat/>
    <w:pPr>
      <w:keepNext w:val="true"/>
      <w:keepLines w:val="true"/>
      <w:numPr>
        <w:ilvl w:val="2"/>
        <w:numId w:val="33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20">
    <w:name w:val="Heading 4"/>
    <w:basedOn w:val="1016"/>
    <w:next w:val="1029"/>
    <w:link w:val="1044"/>
    <w:uiPriority w:val="9"/>
    <w:semiHidden/>
    <w:unhideWhenUsed/>
    <w:qFormat/>
    <w:pPr>
      <w:keepNext w:val="true"/>
      <w:keepLines w:val="true"/>
      <w:numPr>
        <w:ilvl w:val="3"/>
        <w:numId w:val="33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21">
    <w:name w:val="Heading 5"/>
    <w:basedOn w:val="1016"/>
    <w:next w:val="1029"/>
    <w:link w:val="1045"/>
    <w:uiPriority w:val="9"/>
    <w:semiHidden/>
    <w:unhideWhenUsed/>
    <w:qFormat/>
    <w:pPr>
      <w:keepNext w:val="true"/>
      <w:keepLines w:val="true"/>
      <w:numPr>
        <w:ilvl w:val="4"/>
        <w:numId w:val="33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2">
    <w:name w:val="Heading 6"/>
    <w:basedOn w:val="1016"/>
    <w:next w:val="1029"/>
    <w:link w:val="1046"/>
    <w:uiPriority w:val="9"/>
    <w:semiHidden/>
    <w:unhideWhenUsed/>
    <w:qFormat/>
    <w:pPr>
      <w:keepNext w:val="true"/>
      <w:keepLines w:val="true"/>
      <w:numPr>
        <w:ilvl w:val="5"/>
        <w:numId w:val="33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23">
    <w:name w:val="Heading 7"/>
    <w:basedOn w:val="1016"/>
    <w:next w:val="1029"/>
    <w:link w:val="1047"/>
    <w:uiPriority w:val="9"/>
    <w:semiHidden/>
    <w:unhideWhenUsed/>
    <w:qFormat/>
    <w:pPr>
      <w:keepNext w:val="true"/>
      <w:keepLines w:val="true"/>
      <w:numPr>
        <w:ilvl w:val="6"/>
        <w:numId w:val="33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24">
    <w:name w:val="Heading 8"/>
    <w:basedOn w:val="1016"/>
    <w:next w:val="1029"/>
    <w:link w:val="1048"/>
    <w:uiPriority w:val="9"/>
    <w:semiHidden/>
    <w:unhideWhenUsed/>
    <w:qFormat/>
    <w:pPr>
      <w:keepNext w:val="true"/>
      <w:keepLines w:val="true"/>
      <w:numPr>
        <w:ilvl w:val="7"/>
        <w:numId w:val="33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25">
    <w:name w:val="Heading 9"/>
    <w:basedOn w:val="1016"/>
    <w:next w:val="1029"/>
    <w:link w:val="1049"/>
    <w:uiPriority w:val="9"/>
    <w:semiHidden/>
    <w:unhideWhenUsed/>
    <w:qFormat/>
    <w:pPr>
      <w:keepNext w:val="true"/>
      <w:keepLines w:val="true"/>
      <w:numPr>
        <w:ilvl w:val="8"/>
        <w:numId w:val="33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26" w:default="1">
    <w:name w:val="Default Paragraph Font"/>
    <w:uiPriority w:val="1"/>
    <w:unhideWhenUsed/>
    <w:pPr>
      <w:pBdr/>
      <w:spacing/>
      <w:ind/>
    </w:pPr>
  </w:style>
  <w:style w:type="table" w:styleId="10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8" w:default="1">
    <w:name w:val="No List"/>
    <w:uiPriority w:val="99"/>
    <w:semiHidden/>
    <w:unhideWhenUsed/>
    <w:pPr>
      <w:pBdr/>
      <w:spacing/>
      <w:ind/>
    </w:pPr>
  </w:style>
  <w:style w:type="paragraph" w:styleId="1029">
    <w:name w:val="Body Text"/>
    <w:basedOn w:val="1016"/>
    <w:qFormat/>
    <w:pPr>
      <w:pBdr/>
      <w:spacing w:after="180" w:before="180"/>
      <w:ind/>
    </w:pPr>
  </w:style>
  <w:style w:type="paragraph" w:styleId="1030" w:customStyle="1">
    <w:name w:val="First Paragraph"/>
    <w:basedOn w:val="1029"/>
    <w:next w:val="1029"/>
    <w:qFormat/>
    <w:pPr>
      <w:pBdr/>
      <w:spacing/>
      <w:ind/>
    </w:pPr>
  </w:style>
  <w:style w:type="paragraph" w:styleId="1031" w:customStyle="1">
    <w:name w:val="Compact"/>
    <w:basedOn w:val="1029"/>
    <w:qFormat/>
    <w:pPr>
      <w:pBdr/>
      <w:spacing w:after="36" w:before="36"/>
      <w:ind/>
    </w:pPr>
  </w:style>
  <w:style w:type="paragraph" w:styleId="1032">
    <w:name w:val="Title"/>
    <w:basedOn w:val="1016"/>
    <w:next w:val="1029"/>
    <w:link w:val="1033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3" w:customStyle="1">
    <w:name w:val="Titolo Carattere"/>
    <w:basedOn w:val="1026"/>
    <w:link w:val="103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34">
    <w:name w:val="Subtitle"/>
    <w:basedOn w:val="1032"/>
    <w:next w:val="1029"/>
    <w:link w:val="1035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35" w:customStyle="1">
    <w:name w:val="Sottotitolo Carattere"/>
    <w:basedOn w:val="1026"/>
    <w:link w:val="103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36" w:customStyle="1">
    <w:name w:val="Author"/>
    <w:next w:val="1029"/>
    <w:qFormat/>
    <w:pPr>
      <w:keepNext w:val="true"/>
      <w:keepLines w:val="true"/>
      <w:pBdr/>
      <w:spacing/>
      <w:ind/>
      <w:jc w:val="center"/>
    </w:pPr>
  </w:style>
  <w:style w:type="paragraph" w:styleId="1037">
    <w:name w:val="Date"/>
    <w:next w:val="1029"/>
    <w:qFormat/>
    <w:pPr>
      <w:keepNext w:val="true"/>
      <w:keepLines w:val="true"/>
      <w:pBdr/>
      <w:spacing/>
      <w:ind/>
      <w:jc w:val="center"/>
    </w:pPr>
  </w:style>
  <w:style w:type="paragraph" w:styleId="1038" w:customStyle="1">
    <w:name w:val="Abstract Title"/>
    <w:basedOn w:val="1016"/>
    <w:next w:val="103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39" w:customStyle="1">
    <w:name w:val="Abstract"/>
    <w:basedOn w:val="1016"/>
    <w:next w:val="102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40">
    <w:name w:val="Bibliography"/>
    <w:basedOn w:val="1016"/>
    <w:qFormat/>
    <w:pPr>
      <w:pBdr/>
      <w:spacing/>
      <w:ind/>
    </w:pPr>
  </w:style>
  <w:style w:type="character" w:styleId="1041" w:customStyle="1">
    <w:name w:val="Titolo 1 Carattere"/>
    <w:basedOn w:val="1026"/>
    <w:link w:val="101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42" w:customStyle="1">
    <w:name w:val="Titolo 2 Carattere"/>
    <w:basedOn w:val="1026"/>
    <w:link w:val="10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43" w:customStyle="1">
    <w:name w:val="Titolo 3 Carattere"/>
    <w:basedOn w:val="1026"/>
    <w:link w:val="1019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44" w:customStyle="1">
    <w:name w:val="Titolo 4 Carattere"/>
    <w:basedOn w:val="1026"/>
    <w:link w:val="102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45" w:customStyle="1">
    <w:name w:val="Titolo 5 Carattere"/>
    <w:basedOn w:val="1026"/>
    <w:link w:val="102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6" w:customStyle="1">
    <w:name w:val="Titolo 6 Carattere"/>
    <w:basedOn w:val="1026"/>
    <w:link w:val="102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7" w:customStyle="1">
    <w:name w:val="Titolo 7 Carattere"/>
    <w:basedOn w:val="1026"/>
    <w:link w:val="102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8" w:customStyle="1">
    <w:name w:val="Titolo 8 Carattere"/>
    <w:basedOn w:val="1026"/>
    <w:link w:val="102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9" w:customStyle="1">
    <w:name w:val="Titolo 9 Carattere"/>
    <w:basedOn w:val="1026"/>
    <w:link w:val="102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50">
    <w:name w:val="Block Text"/>
    <w:basedOn w:val="1029"/>
    <w:next w:val="1029"/>
    <w:uiPriority w:val="9"/>
    <w:unhideWhenUsed/>
    <w:qFormat/>
    <w:pPr>
      <w:pBdr/>
      <w:spacing w:after="100" w:before="100"/>
      <w:ind w:right="480" w:left="480"/>
    </w:pPr>
  </w:style>
  <w:style w:type="paragraph" w:styleId="1051">
    <w:name w:val="footnote text"/>
    <w:basedOn w:val="1016"/>
    <w:uiPriority w:val="9"/>
    <w:unhideWhenUsed/>
    <w:qFormat/>
    <w:pPr>
      <w:pBdr/>
      <w:spacing/>
      <w:ind/>
    </w:pPr>
  </w:style>
  <w:style w:type="paragraph" w:styleId="1052" w:customStyle="1">
    <w:name w:val="Footnote Block Text"/>
    <w:basedOn w:val="1051"/>
    <w:next w:val="1051"/>
    <w:uiPriority w:val="9"/>
    <w:unhideWhenUsed/>
    <w:qFormat/>
    <w:pPr>
      <w:pBdr/>
      <w:spacing w:after="100" w:before="100"/>
      <w:ind w:right="480" w:left="480"/>
    </w:pPr>
  </w:style>
  <w:style w:type="table" w:styleId="1053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4" w:customStyle="1">
    <w:name w:val="Definition Term"/>
    <w:basedOn w:val="1016"/>
    <w:next w:val="1055"/>
    <w:pPr>
      <w:keepNext w:val="true"/>
      <w:keepLines w:val="true"/>
      <w:pBdr/>
      <w:spacing w:after="0"/>
      <w:ind/>
    </w:pPr>
    <w:rPr>
      <w:b/>
    </w:rPr>
  </w:style>
  <w:style w:type="paragraph" w:styleId="1055" w:customStyle="1">
    <w:name w:val="Definition"/>
    <w:basedOn w:val="1016"/>
    <w:pPr>
      <w:pBdr/>
      <w:spacing/>
      <w:ind/>
    </w:pPr>
  </w:style>
  <w:style w:type="paragraph" w:styleId="1056">
    <w:name w:val="Caption"/>
    <w:basedOn w:val="1016"/>
    <w:link w:val="1061"/>
    <w:pPr>
      <w:pBdr/>
      <w:spacing w:after="120"/>
      <w:ind/>
    </w:pPr>
    <w:rPr>
      <w:i/>
    </w:rPr>
  </w:style>
  <w:style w:type="paragraph" w:styleId="1057" w:customStyle="1">
    <w:name w:val="Table Caption"/>
    <w:basedOn w:val="1056"/>
    <w:pPr>
      <w:keepNext w:val="true"/>
      <w:pBdr/>
      <w:spacing/>
      <w:ind/>
    </w:pPr>
  </w:style>
  <w:style w:type="paragraph" w:styleId="1058" w:customStyle="1">
    <w:name w:val="Image Caption"/>
    <w:basedOn w:val="1056"/>
    <w:pPr>
      <w:pBdr/>
      <w:spacing/>
      <w:ind/>
    </w:pPr>
  </w:style>
  <w:style w:type="paragraph" w:styleId="1059" w:customStyle="1">
    <w:name w:val="Figure"/>
    <w:basedOn w:val="1016"/>
    <w:pPr>
      <w:pBdr/>
      <w:spacing/>
      <w:ind/>
    </w:pPr>
  </w:style>
  <w:style w:type="paragraph" w:styleId="1060" w:customStyle="1">
    <w:name w:val="Captioned Figure"/>
    <w:basedOn w:val="1059"/>
    <w:pPr>
      <w:keepNext w:val="true"/>
      <w:pBdr/>
      <w:spacing/>
      <w:ind/>
    </w:pPr>
  </w:style>
  <w:style w:type="character" w:styleId="1061" w:customStyle="1">
    <w:name w:val="Didascalia Carattere"/>
    <w:basedOn w:val="1026"/>
    <w:link w:val="1056"/>
    <w:pPr>
      <w:pBdr/>
      <w:spacing/>
      <w:ind/>
    </w:pPr>
  </w:style>
  <w:style w:type="character" w:styleId="1062" w:customStyle="1">
    <w:name w:val="Verbatim Char"/>
    <w:basedOn w:val="1061"/>
    <w:link w:val="1067"/>
    <w:pPr>
      <w:pBdr/>
      <w:spacing/>
      <w:ind/>
    </w:pPr>
    <w:rPr>
      <w:rFonts w:ascii="Consolas" w:hAnsi="Consolas"/>
      <w:sz w:val="22"/>
    </w:rPr>
  </w:style>
  <w:style w:type="character" w:styleId="1063" w:customStyle="1">
    <w:name w:val="Section Number"/>
    <w:basedOn w:val="1061"/>
    <w:pPr>
      <w:pBdr/>
      <w:spacing/>
      <w:ind/>
    </w:pPr>
  </w:style>
  <w:style w:type="character" w:styleId="1064">
    <w:name w:val="footnote reference"/>
    <w:basedOn w:val="1061"/>
    <w:pPr>
      <w:pBdr/>
      <w:spacing/>
      <w:ind/>
    </w:pPr>
    <w:rPr>
      <w:vertAlign w:val="superscript"/>
    </w:rPr>
  </w:style>
  <w:style w:type="character" w:styleId="1065">
    <w:name w:val="Hyperlink"/>
    <w:basedOn w:val="1061"/>
    <w:uiPriority w:val="99"/>
    <w:pPr>
      <w:pBdr/>
      <w:spacing/>
      <w:ind/>
    </w:pPr>
    <w:rPr>
      <w:color w:val="156082" w:themeColor="accent1"/>
    </w:rPr>
  </w:style>
  <w:style w:type="paragraph" w:styleId="1066">
    <w:name w:val="TOC Heading"/>
    <w:basedOn w:val="1017"/>
    <w:next w:val="1029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67" w:customStyle="1">
    <w:name w:val="Source Code"/>
    <w:basedOn w:val="1016"/>
    <w:link w:val="1062"/>
    <w:pPr>
      <w:pBdr/>
      <w:spacing/>
      <w:ind/>
    </w:pPr>
  </w:style>
  <w:style w:type="character" w:styleId="1068" w:customStyle="1">
    <w:name w:val="KeywordTok"/>
    <w:basedOn w:val="106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69" w:customStyle="1">
    <w:name w:val="DataTypeTok"/>
    <w:basedOn w:val="1062"/>
    <w:pPr>
      <w:pBdr/>
      <w:spacing/>
      <w:ind/>
    </w:pPr>
    <w:rPr>
      <w:rFonts w:ascii="Consolas" w:hAnsi="Consolas"/>
      <w:color w:val="902000"/>
      <w:sz w:val="22"/>
    </w:rPr>
  </w:style>
  <w:style w:type="character" w:styleId="1070" w:customStyle="1">
    <w:name w:val="DecValTok"/>
    <w:basedOn w:val="1062"/>
    <w:pPr>
      <w:pBdr/>
      <w:spacing/>
      <w:ind/>
    </w:pPr>
    <w:rPr>
      <w:rFonts w:ascii="Consolas" w:hAnsi="Consolas"/>
      <w:color w:val="40a070"/>
      <w:sz w:val="22"/>
    </w:rPr>
  </w:style>
  <w:style w:type="character" w:styleId="1071" w:customStyle="1">
    <w:name w:val="BaseNTok"/>
    <w:basedOn w:val="1062"/>
    <w:pPr>
      <w:pBdr/>
      <w:spacing/>
      <w:ind/>
    </w:pPr>
    <w:rPr>
      <w:rFonts w:ascii="Consolas" w:hAnsi="Consolas"/>
      <w:color w:val="40a070"/>
      <w:sz w:val="22"/>
    </w:rPr>
  </w:style>
  <w:style w:type="character" w:styleId="1072" w:customStyle="1">
    <w:name w:val="FloatTok"/>
    <w:basedOn w:val="1062"/>
    <w:pPr>
      <w:pBdr/>
      <w:spacing/>
      <w:ind/>
    </w:pPr>
    <w:rPr>
      <w:rFonts w:ascii="Consolas" w:hAnsi="Consolas"/>
      <w:color w:val="40a070"/>
      <w:sz w:val="22"/>
    </w:rPr>
  </w:style>
  <w:style w:type="character" w:styleId="1073" w:customStyle="1">
    <w:name w:val="ConstantTok"/>
    <w:basedOn w:val="1062"/>
    <w:pPr>
      <w:pBdr/>
      <w:spacing/>
      <w:ind/>
    </w:pPr>
    <w:rPr>
      <w:rFonts w:ascii="Consolas" w:hAnsi="Consolas"/>
      <w:color w:val="880000"/>
      <w:sz w:val="22"/>
    </w:rPr>
  </w:style>
  <w:style w:type="character" w:styleId="1074" w:customStyle="1">
    <w:name w:val="CharTok"/>
    <w:basedOn w:val="1062"/>
    <w:pPr>
      <w:pBdr/>
      <w:spacing/>
      <w:ind/>
    </w:pPr>
    <w:rPr>
      <w:rFonts w:ascii="Consolas" w:hAnsi="Consolas"/>
      <w:color w:val="4070a0"/>
      <w:sz w:val="22"/>
    </w:rPr>
  </w:style>
  <w:style w:type="character" w:styleId="1075" w:customStyle="1">
    <w:name w:val="SpecialCharTok"/>
    <w:basedOn w:val="1062"/>
    <w:pPr>
      <w:pBdr/>
      <w:spacing/>
      <w:ind/>
    </w:pPr>
    <w:rPr>
      <w:rFonts w:ascii="Consolas" w:hAnsi="Consolas"/>
      <w:color w:val="4070a0"/>
      <w:sz w:val="22"/>
    </w:rPr>
  </w:style>
  <w:style w:type="character" w:styleId="1076" w:customStyle="1">
    <w:name w:val="StringTok"/>
    <w:basedOn w:val="1062"/>
    <w:pPr>
      <w:pBdr/>
      <w:spacing/>
      <w:ind/>
    </w:pPr>
    <w:rPr>
      <w:rFonts w:ascii="Consolas" w:hAnsi="Consolas"/>
      <w:color w:val="4070a0"/>
      <w:sz w:val="22"/>
    </w:rPr>
  </w:style>
  <w:style w:type="character" w:styleId="1077" w:customStyle="1">
    <w:name w:val="VerbatimStringTok"/>
    <w:basedOn w:val="1062"/>
    <w:pPr>
      <w:pBdr/>
      <w:spacing/>
      <w:ind/>
    </w:pPr>
    <w:rPr>
      <w:rFonts w:ascii="Consolas" w:hAnsi="Consolas"/>
      <w:color w:val="4070a0"/>
      <w:sz w:val="22"/>
    </w:rPr>
  </w:style>
  <w:style w:type="character" w:styleId="1078" w:customStyle="1">
    <w:name w:val="SpecialStringTok"/>
    <w:basedOn w:val="1062"/>
    <w:pPr>
      <w:pBdr/>
      <w:spacing/>
      <w:ind/>
    </w:pPr>
    <w:rPr>
      <w:rFonts w:ascii="Consolas" w:hAnsi="Consolas"/>
      <w:color w:val="bb6688"/>
      <w:sz w:val="22"/>
    </w:rPr>
  </w:style>
  <w:style w:type="character" w:styleId="1079" w:customStyle="1">
    <w:name w:val="ImportTok"/>
    <w:basedOn w:val="1062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80" w:customStyle="1">
    <w:name w:val="CommentTok"/>
    <w:basedOn w:val="1062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81" w:customStyle="1">
    <w:name w:val="DocumentationTok"/>
    <w:basedOn w:val="1062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82" w:customStyle="1">
    <w:name w:val="AnnotationTok"/>
    <w:basedOn w:val="106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3" w:customStyle="1">
    <w:name w:val="CommentVarTok"/>
    <w:basedOn w:val="106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4" w:customStyle="1">
    <w:name w:val="OtherTok"/>
    <w:basedOn w:val="1062"/>
    <w:pPr>
      <w:pBdr/>
      <w:spacing/>
      <w:ind/>
    </w:pPr>
    <w:rPr>
      <w:rFonts w:ascii="Consolas" w:hAnsi="Consolas"/>
      <w:color w:val="007020"/>
      <w:sz w:val="22"/>
    </w:rPr>
  </w:style>
  <w:style w:type="character" w:styleId="1085" w:customStyle="1">
    <w:name w:val="FunctionTok"/>
    <w:basedOn w:val="1062"/>
    <w:pPr>
      <w:pBdr/>
      <w:spacing/>
      <w:ind/>
    </w:pPr>
    <w:rPr>
      <w:rFonts w:ascii="Consolas" w:hAnsi="Consolas"/>
      <w:color w:val="06287e"/>
      <w:sz w:val="22"/>
    </w:rPr>
  </w:style>
  <w:style w:type="character" w:styleId="1086" w:customStyle="1">
    <w:name w:val="VariableTok"/>
    <w:basedOn w:val="1062"/>
    <w:pPr>
      <w:pBdr/>
      <w:spacing/>
      <w:ind/>
    </w:pPr>
    <w:rPr>
      <w:rFonts w:ascii="Consolas" w:hAnsi="Consolas"/>
      <w:color w:val="19177c"/>
      <w:sz w:val="22"/>
    </w:rPr>
  </w:style>
  <w:style w:type="character" w:styleId="1087" w:customStyle="1">
    <w:name w:val="ControlFlowTok"/>
    <w:basedOn w:val="106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88" w:customStyle="1">
    <w:name w:val="OperatorTok"/>
    <w:basedOn w:val="1062"/>
    <w:pPr>
      <w:pBdr/>
      <w:spacing/>
      <w:ind/>
    </w:pPr>
    <w:rPr>
      <w:rFonts w:ascii="Consolas" w:hAnsi="Consolas"/>
      <w:color w:val="666666"/>
      <w:sz w:val="22"/>
    </w:rPr>
  </w:style>
  <w:style w:type="character" w:styleId="1089" w:customStyle="1">
    <w:name w:val="BuiltInTok"/>
    <w:basedOn w:val="1062"/>
    <w:pPr>
      <w:pBdr/>
      <w:spacing/>
      <w:ind/>
    </w:pPr>
    <w:rPr>
      <w:rFonts w:ascii="Consolas" w:hAnsi="Consolas"/>
      <w:color w:val="008000"/>
      <w:sz w:val="22"/>
    </w:rPr>
  </w:style>
  <w:style w:type="character" w:styleId="1090" w:customStyle="1">
    <w:name w:val="ExtensionTok"/>
    <w:basedOn w:val="1062"/>
    <w:pPr>
      <w:pBdr/>
      <w:spacing/>
      <w:ind/>
    </w:pPr>
    <w:rPr>
      <w:rFonts w:ascii="Consolas" w:hAnsi="Consolas"/>
      <w:sz w:val="22"/>
    </w:rPr>
  </w:style>
  <w:style w:type="character" w:styleId="1091" w:customStyle="1">
    <w:name w:val="PreprocessorTok"/>
    <w:basedOn w:val="1062"/>
    <w:pPr>
      <w:pBdr/>
      <w:spacing/>
      <w:ind/>
    </w:pPr>
    <w:rPr>
      <w:rFonts w:ascii="Consolas" w:hAnsi="Consolas"/>
      <w:color w:val="bc7a00"/>
      <w:sz w:val="22"/>
    </w:rPr>
  </w:style>
  <w:style w:type="character" w:styleId="1092" w:customStyle="1">
    <w:name w:val="AttributeTok"/>
    <w:basedOn w:val="1062"/>
    <w:pPr>
      <w:pBdr/>
      <w:spacing/>
      <w:ind/>
    </w:pPr>
    <w:rPr>
      <w:rFonts w:ascii="Consolas" w:hAnsi="Consolas"/>
      <w:color w:val="7d9029"/>
      <w:sz w:val="22"/>
    </w:rPr>
  </w:style>
  <w:style w:type="character" w:styleId="1093" w:customStyle="1">
    <w:name w:val="RegionMarkerTok"/>
    <w:basedOn w:val="1062"/>
    <w:pPr>
      <w:pBdr/>
      <w:spacing/>
      <w:ind/>
    </w:pPr>
    <w:rPr>
      <w:rFonts w:ascii="Consolas" w:hAnsi="Consolas"/>
      <w:sz w:val="22"/>
    </w:rPr>
  </w:style>
  <w:style w:type="character" w:styleId="1094" w:customStyle="1">
    <w:name w:val="InformationTok"/>
    <w:basedOn w:val="106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5" w:customStyle="1">
    <w:name w:val="WarningTok"/>
    <w:basedOn w:val="106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6" w:customStyle="1">
    <w:name w:val="AlertTok"/>
    <w:basedOn w:val="106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97" w:customStyle="1">
    <w:name w:val="ErrorTok"/>
    <w:basedOn w:val="106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98" w:customStyle="1">
    <w:name w:val="NormalTok"/>
    <w:basedOn w:val="1062"/>
    <w:pPr>
      <w:pBdr/>
      <w:spacing/>
      <w:ind/>
    </w:pPr>
    <w:rPr>
      <w:rFonts w:ascii="Consolas" w:hAnsi="Consolas"/>
      <w:sz w:val="22"/>
    </w:rPr>
  </w:style>
  <w:style w:type="paragraph" w:styleId="1099">
    <w:name w:val="Header"/>
    <w:basedOn w:val="1016"/>
    <w:link w:val="1100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0" w:customStyle="1">
    <w:name w:val="Intestazione Carattere"/>
    <w:basedOn w:val="1026"/>
    <w:link w:val="1099"/>
    <w:uiPriority w:val="99"/>
    <w:pPr>
      <w:pBdr/>
      <w:spacing/>
      <w:ind/>
    </w:pPr>
  </w:style>
  <w:style w:type="paragraph" w:styleId="1101">
    <w:name w:val="Footer"/>
    <w:basedOn w:val="1016"/>
    <w:link w:val="1102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2" w:customStyle="1">
    <w:name w:val="Piè di pagina Carattere"/>
    <w:basedOn w:val="1026"/>
    <w:link w:val="1101"/>
    <w:uiPriority w:val="99"/>
    <w:pPr>
      <w:pBdr/>
      <w:spacing/>
      <w:ind/>
    </w:pPr>
  </w:style>
  <w:style w:type="table" w:styleId="1103">
    <w:name w:val="Table Grid"/>
    <w:basedOn w:val="1027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4">
    <w:name w:val="toc 1"/>
    <w:basedOn w:val="1016"/>
    <w:next w:val="1016"/>
    <w:uiPriority w:val="39"/>
    <w:pPr>
      <w:pBdr/>
      <w:spacing w:after="100"/>
      <w:ind/>
    </w:pPr>
  </w:style>
  <w:style w:type="paragraph" w:styleId="1105">
    <w:name w:val="toc 2"/>
    <w:basedOn w:val="1016"/>
    <w:next w:val="1016"/>
    <w:uiPriority w:val="39"/>
    <w:pPr>
      <w:pBdr/>
      <w:spacing w:after="100"/>
      <w:ind w:left="240"/>
    </w:pPr>
  </w:style>
  <w:style w:type="paragraph" w:styleId="1106">
    <w:name w:val="toc 3"/>
    <w:basedOn w:val="1016"/>
    <w:next w:val="1016"/>
    <w:uiPriority w:val="39"/>
    <w:pPr>
      <w:pBdr/>
      <w:spacing w:after="100"/>
      <w:ind w:left="480"/>
    </w:pPr>
  </w:style>
  <w:style w:type="table" w:styleId="1107">
    <w:name w:val="Plain Table 1"/>
    <w:basedOn w:val="1027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5</cp:revision>
  <dcterms:created xsi:type="dcterms:W3CDTF">2025-10-14T14:44:00Z</dcterms:created>
  <dcterms:modified xsi:type="dcterms:W3CDTF">2025-10-29T10:34:54Z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