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commentsExtended.xml" ContentType="application/vnd.openxmlformats-officedocument.wordprocessingml.commentsExtended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people.xml" ContentType="application/vnd.openxmlformats-officedocument.wordprocessingml.people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36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/>
      <w:bookmarkStart w:id="0" w:name="Xb86a0334da18bd5dcadfa5ca6143a46167e6f72"/>
      <w:r/>
      <w:bookmarkStart w:id="1" w:name="content"/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36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36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36"/>
        <w:pBdr/>
        <w:spacing/>
        <w:ind/>
        <w:jc w:val="center"/>
        <w:rPr>
          <w:lang w:val="it-IT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PROC-06 – Manutenzioni in Sicurezza degli Impianti e Attrezzature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1109"/>
      </w:tblPr>
      <w:tblGrid>
        <w:gridCol w:w="10173"/>
      </w:tblGrid>
      <w:tr>
        <w:trPr>
          <w:trHeight w:val="1200"/>
        </w:trPr>
        <w:tc>
          <w:tcPr>
            <w:tcBorders/>
            <w:tcW w:w="10173" w:type="dxa"/>
            <w:textDirection w:val="lrTb"/>
            <w:noWrap w:val="false"/>
          </w:tcPr>
          <w:p>
            <w:pPr>
              <w:pStyle w:val="1036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14925" cy="19050"/>
                      <wp:effectExtent l="0" t="0" r="0" b="0"/>
                      <wp:docPr id="2" name="Immagin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1492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02.75pt;height:1.50pt;mso-wrap-distance-left:0.00pt;mso-wrap-distance-top:0.00pt;mso-wrap-distance-right:0.00pt;mso-wrap-distance-bottom:0.00pt;z-index:1;" stroked="f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6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COPIA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6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6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3" name="Immagin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controllata         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6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6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4" name="Immagin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non controllata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36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Style w:val="1036"/>
        <w:pBdr/>
        <w:spacing/>
        <w:ind/>
        <w:rPr>
          <w:lang w:val="it-IT"/>
        </w:rPr>
      </w:pPr>
      <w:r>
        <w:rPr>
          <w:lang w:val="it-IT"/>
        </w:rPr>
        <w:t xml:space="preserve">  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CellMar>
          <w:left w:w="71" w:type="dxa"/>
          <w:right w:w="71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Spacing w:w="0" w:type="dxa"/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>
        <w:trPr>
          <w:tblCellSpacing w:w="0" w:type="dxa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592" w:type="dxa"/>
            <w:vAlign w:val="center"/>
            <w:textDirection w:val="lrTb"/>
            <w:noWrap w:val="false"/>
          </w:tcPr>
          <w:p>
            <w:pPr>
              <w:pStyle w:val="1036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STATO DELLE REVISIONI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03" w:type="dxa"/>
            <w:vAlign w:val="center"/>
            <w:textDirection w:val="lrTb"/>
            <w:noWrap w:val="false"/>
          </w:tcPr>
          <w:p>
            <w:pPr>
              <w:pStyle w:val="1036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ITER DI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1036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REV.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1036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MOTIVO DELLA REVISIONE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1036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DATA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1036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REDAZIONE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1036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APPROVAZIONE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1036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0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1036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Nuova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1036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14/10/2025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1036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1036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36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Bdr/>
        <w:spacing/>
        <w:ind/>
        <w:rPr/>
      </w:pPr>
      <w:r>
        <w:br w:type="page" w:clear="all"/>
      </w:r>
      <w:r/>
    </w:p>
    <w:sdt>
      <w:sdtPr>
        <w15:appearance w15:val="boundingBox"/>
        <w:id w:val="-781731850"/>
        <w:docPartObj>
          <w:docPartGallery w:val="Table of Contents"/>
          <w:docPartUnique w:val="true"/>
        </w:docPartObj>
        <w:rPr>
          <w:lang w:val="it-IT"/>
        </w:rPr>
      </w:sdtPr>
      <w:sdtContent>
        <w:p>
          <w:pPr>
            <w:pStyle w:val="1023"/>
            <w:numPr>
              <w:ilvl w:val="0"/>
              <w:numId w:val="0"/>
            </w:numPr>
            <w:pBdr/>
            <w:spacing/>
            <w:ind w:hanging="360" w:left="360"/>
            <w:rPr/>
          </w:pPr>
          <w:r/>
          <w:bookmarkStart w:id="2" w:name="_Toc211354071"/>
          <w:r>
            <w:rPr>
              <w:lang w:val="it-IT"/>
            </w:rPr>
            <w:t xml:space="preserve">Sommario</w:t>
          </w:r>
          <w:bookmarkEnd w:id="2"/>
          <w:r/>
          <w:r/>
        </w:p>
        <w:p>
          <w:pPr>
            <w:pStyle w:val="1110"/>
            <w:pBdr/>
            <w:tabs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1354071" w:anchor="_Toc211354071" w:history="1">
            <w:r>
              <w:rPr>
                <w:rStyle w:val="1071"/>
                <w:lang w:val="it-IT"/>
              </w:rPr>
              <w:t xml:space="preserve">Sommario</w:t>
            </w:r>
            <w:r>
              <w:tab/>
            </w:r>
            <w:r>
              <w:fldChar w:fldCharType="begin"/>
            </w:r>
            <w:r>
              <w:instrText xml:space="preserve"> PAGEREF _Toc211354071 \h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10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4072" w:anchor="_Toc211354072" w:history="1">
            <w:r>
              <w:rPr>
                <w:rStyle w:val="1071"/>
              </w:rPr>
              <w:t xml:space="preserve">1.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71"/>
              </w:rPr>
              <w:t xml:space="preserve">Scopo</w:t>
            </w:r>
            <w:r>
              <w:tab/>
            </w:r>
            <w:r>
              <w:fldChar w:fldCharType="begin"/>
            </w:r>
            <w:r>
              <w:instrText xml:space="preserve"> PAGEREF _Toc211354072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10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4073" w:anchor="_Toc211354073" w:history="1">
            <w:r>
              <w:rPr>
                <w:rStyle w:val="1071"/>
              </w:rPr>
              <w:t xml:space="preserve">2.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71"/>
              </w:rPr>
              <w:t xml:space="preserve">Campo di Applicazione</w:t>
            </w:r>
            <w:r>
              <w:tab/>
            </w:r>
            <w:r>
              <w:fldChar w:fldCharType="begin"/>
            </w:r>
            <w:r>
              <w:instrText xml:space="preserve"> PAGEREF _Toc211354073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10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4074" w:anchor="_Toc211354074" w:history="1">
            <w:r>
              <w:rPr>
                <w:rStyle w:val="1071"/>
              </w:rPr>
              <w:t xml:space="preserve">3.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71"/>
              </w:rPr>
              <w:t xml:space="preserve">Riferimenti</w:t>
            </w:r>
            <w:r>
              <w:tab/>
            </w:r>
            <w:r>
              <w:fldChar w:fldCharType="begin"/>
            </w:r>
            <w:r>
              <w:instrText xml:space="preserve"> PAGEREF _Toc211354074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10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4075" w:anchor="_Toc211354075" w:history="1">
            <w:r>
              <w:rPr>
                <w:rStyle w:val="1071"/>
              </w:rPr>
              <w:t xml:space="preserve">4.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71"/>
              </w:rPr>
              <w:t xml:space="preserve">Definizioni e Modalità Operative</w:t>
            </w:r>
            <w:r>
              <w:tab/>
            </w:r>
            <w:r>
              <w:fldChar w:fldCharType="begin"/>
            </w:r>
            <w:r>
              <w:instrText xml:space="preserve"> PAGEREF _Toc211354075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10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4076" w:anchor="_Toc211354076" w:history="1">
            <w:r>
              <w:rPr>
                <w:rStyle w:val="1071"/>
              </w:rPr>
              <w:t xml:space="preserve">5.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71"/>
              </w:rPr>
              <w:t xml:space="preserve">Matrice RACI</w:t>
            </w:r>
            <w:r>
              <w:tab/>
            </w:r>
            <w:r>
              <w:fldChar w:fldCharType="begin"/>
            </w:r>
            <w:r>
              <w:instrText xml:space="preserve"> PAGEREF _Toc211354076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10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4077" w:anchor="_Toc211354077" w:history="1">
            <w:r>
              <w:rPr>
                <w:rStyle w:val="1071"/>
              </w:rPr>
              <w:t xml:space="preserve">6.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71"/>
              </w:rPr>
              <w:t xml:space="preserve">KPI</w:t>
            </w:r>
            <w:r>
              <w:tab/>
            </w:r>
            <w:r>
              <w:fldChar w:fldCharType="begin"/>
            </w:r>
            <w:r>
              <w:instrText xml:space="preserve"> PAGEREF _Toc211354077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10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4078" w:anchor="_Toc211354078" w:history="1">
            <w:r>
              <w:rPr>
                <w:rStyle w:val="1071"/>
              </w:rPr>
              <w:t xml:space="preserve">7.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71"/>
              </w:rPr>
              <w:t xml:space="preserve">Modulistica</w:t>
            </w:r>
            <w:r>
              <w:tab/>
            </w:r>
            <w:r>
              <w:fldChar w:fldCharType="begin"/>
            </w:r>
            <w:r>
              <w:instrText xml:space="preserve"> PAGEREF _Toc211354078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10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4079" w:anchor="_Toc211354079" w:history="1">
            <w:r>
              <w:rPr>
                <w:rStyle w:val="1071"/>
              </w:rPr>
              <w:t xml:space="preserve">8.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71"/>
              </w:rPr>
              <w:t xml:space="preserve">Controlli Previsti</w:t>
            </w:r>
            <w:r>
              <w:tab/>
            </w:r>
            <w:r>
              <w:fldChar w:fldCharType="begin"/>
            </w:r>
            <w:r>
              <w:instrText xml:space="preserve"> PAGEREF _Toc211354079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/>
      </w:pPr>
      <w:r/>
      <w:bookmarkStart w:id="3" w:name="citations"/>
      <w:r/>
      <w:bookmarkEnd w:id="0"/>
      <w:r/>
      <w:bookmarkEnd w:id="1"/>
      <w:r>
        <w:br w:type="page" w:clear="all"/>
      </w:r>
      <w:r/>
    </w:p>
    <w:p>
      <w:pPr>
        <w:pStyle w:val="1023"/>
        <w:pBdr/>
        <w:spacing/>
        <w:ind/>
        <w:rPr/>
      </w:pPr>
      <w:r/>
      <w:bookmarkStart w:id="4" w:name="_Toc211354072"/>
      <w:r>
        <w:t xml:space="preserve">Scopo</w:t>
      </w:r>
      <w:bookmarkEnd w:id="4"/>
      <w:r/>
      <w:r/>
    </w:p>
    <w:p>
      <w:pPr>
        <w:pStyle w:val="1036"/>
        <w:pBdr/>
        <w:spacing/>
        <w:ind/>
        <w:rPr/>
      </w:pPr>
      <w:r>
        <w:t xml:space="preserve">Definire le modalità per eseguire in sicurezza le attività di ma</w:t>
      </w:r>
      <w:r>
        <w:t xml:space="preserve">nutenzione ordinaria e straordinaria su impianti, macchine e attrezzature dell’azienda, prevenendo rischi d’infortunio per il personale manutentore e altri lavoratori (es. rischi di contatto con parti in movimento, elettrici, cadute dall’alto, esposizione </w:t>
      </w:r>
      <w:r>
        <w:t xml:space="preserve">a</w:t>
      </w:r>
      <w:r>
        <w:t xml:space="preserve"> agenti pericolosi). La procedura mira a garantire che la manutenzione sia pianificata, eseguita da personale competente e con adeguate misure di protezione.</w:t>
      </w:r>
      <w:r/>
    </w:p>
    <w:p>
      <w:pPr>
        <w:pStyle w:val="1023"/>
        <w:pBdr/>
        <w:spacing/>
        <w:ind/>
        <w:rPr/>
      </w:pPr>
      <w:r/>
      <w:bookmarkStart w:id="5" w:name="_Toc211354073"/>
      <w:r>
        <w:t xml:space="preserve">Campo di Applicazione</w:t>
      </w:r>
      <w:bookmarkEnd w:id="5"/>
      <w:r/>
      <w:r/>
    </w:p>
    <w:p>
      <w:pPr>
        <w:pStyle w:val="1035"/>
        <w:pBdr/>
        <w:spacing/>
        <w:ind/>
        <w:rPr/>
      </w:pPr>
      <w:r>
        <w:t xml:space="preserve">Tutt</w:t>
      </w:r>
      <w:r>
        <w:t xml:space="preserve">e le operazioni di manutenzione (pulizia, regolazione, riparazione, sostituzione parti, lubrificazione, ispezioni periodiche) svolte su impianti di processo (linee di trasformazione agrumi, pastorizzatori, essiccatori, centrali termiche, centrali frigorife</w:t>
      </w:r>
      <w:r>
        <w:t xml:space="preserve">re, impianto di depurazione) e attrezzature di lavoro (macchine confezionatrici, muletti, impianti elettrici, etc.) all’interno dello stabilimento. Si applica sia al personale interno addetto alla manutenzione sia a tecnici esterni chiamati per assistenza.</w:t>
      </w:r>
      <w:r/>
    </w:p>
    <w:p>
      <w:pPr>
        <w:pStyle w:val="1023"/>
        <w:pBdr/>
        <w:spacing/>
        <w:ind/>
        <w:rPr/>
      </w:pPr>
      <w:r/>
      <w:bookmarkStart w:id="6" w:name="_Toc211354074"/>
      <w:r>
        <w:t xml:space="preserve">Riferiment</w:t>
      </w:r>
      <w:r>
        <w:t xml:space="preserve">i</w:t>
      </w:r>
      <w:bookmarkEnd w:id="6"/>
      <w:r/>
      <w:r/>
    </w:p>
    <w:p>
      <w:pPr>
        <w:pStyle w:val="1035"/>
        <w:pBdr/>
        <w:spacing/>
        <w:ind/>
        <w:rPr>
          <w:b/>
          <w:bCs/>
        </w:rPr>
      </w:pPr>
      <w:r>
        <w:t xml:space="preserve">D.Lgs.</w:t>
      </w:r>
      <w:r>
        <w:t xml:space="preserve"> 81/2008 art.71 (Obblighi relativi </w:t>
      </w:r>
      <w:r>
        <w:t xml:space="preserve">a</w:t>
      </w:r>
      <w:r>
        <w:t xml:space="preserve"> attrezzature di lavoro – manutenzione adeguata), art. 37 (formazione lavoratori, inclusi manutentori), Allegato VI D.Lgs.81 (prescrizioni uso attrezzature), </w:t>
      </w:r>
      <w:r>
        <w:rPr>
          <w:highlight w:val="none"/>
        </w:rPr>
        <w:t xml:space="preserve">norme di buona tecnica sulla </w:t>
      </w:r>
      <w:r>
        <w:rPr>
          <w:i/>
          <w:iCs/>
          <w:highlight w:val="none"/>
        </w:rPr>
        <w:t xml:space="preserve">Lock-Out/Tag-Out</w:t>
      </w:r>
      <w:r>
        <w:rPr>
          <w:highlight w:val="none"/>
        </w:rPr>
        <w:t xml:space="preserve"> (LOTO)</w:t>
      </w:r>
      <w:r>
        <w:t xml:space="preserve"> e procedure di sicurezza correlate. Manuali d’uso e manutenzione dei costruttori delle macchine (prescrizioni di sicurezza specifiche). DVR </w:t>
      </w:r>
      <w:r>
        <w:t xml:space="preserve">Agrumigel</w:t>
      </w:r>
      <w:r>
        <w:t xml:space="preserve"> (rischi meccanici, elettrici legati a manutenzione). Verbali ispezione INL su attrezzature (es. citazione art.71).</w:t>
      </w:r>
      <w:r>
        <w:rPr>
          <w:b/>
          <w:bCs/>
        </w:rPr>
      </w:r>
      <w:r>
        <w:rPr>
          <w:b/>
          <w:bCs/>
        </w:rPr>
      </w:r>
    </w:p>
    <w:p>
      <w:pPr>
        <w:pStyle w:val="1023"/>
        <w:pBdr/>
        <w:spacing/>
        <w:ind/>
        <w:rPr/>
      </w:pPr>
      <w:r/>
      <w:bookmarkStart w:id="7" w:name="_Toc211354075"/>
      <w:r>
        <w:t xml:space="preserve">Definizioni e </w:t>
      </w:r>
      <w:r>
        <w:t xml:space="preserve">Modalità Operative</w:t>
      </w:r>
      <w:bookmarkEnd w:id="7"/>
      <w:r/>
      <w:r/>
    </w:p>
    <w:p>
      <w:pPr>
        <w:pStyle w:val="1035"/>
        <w:numPr>
          <w:ilvl w:val="0"/>
          <w:numId w:val="46"/>
        </w:numPr>
        <w:pBdr/>
        <w:spacing/>
        <w:ind/>
        <w:rPr>
          <w:highlight w:val="none"/>
        </w:rPr>
      </w:pPr>
      <w:r>
        <w:rPr>
          <w:b/>
          <w:bCs/>
        </w:rPr>
        <w:t xml:space="preserve">Pianificazione della Manutenzione Preventiva:</w:t>
      </w:r>
      <w:r>
        <w:t xml:space="preserve"> L’azienda adotta un piano di manutenzione programmata per impianti e macchinari critici. Frequenze e attività sono stabilite secondo le indicazioni del costruttore e l’esperienza (es. sostituzione periodica cuscinetti, verifica sensori di sicurezza, </w:t>
      </w:r>
      <w:r>
        <w:t xml:space="preserve">taratura strumenti). </w:t>
      </w:r>
      <w:r>
        <w:rPr>
          <w:highlight w:val="none"/>
        </w:rPr>
        <w:t xml:space="preserve">Il Res</w:t>
      </w:r>
      <w:r>
        <w:rPr>
          <w:highlight w:val="none"/>
        </w:rPr>
        <w:t xml:space="preserve">ponsabile di Manutenzione redige un calendario (mensile, annuale) e assegna i compiti ai tecnici manutentori interni oppure programma gli interventi di ditte esterne specializzate. Le manutenzioni pianificate/manutenzioni straordinarie sono registrate sul </w:t>
      </w:r>
      <w:r>
        <w:rPr>
          <w:b/>
          <w:bCs/>
          <w:highlight w:val="none"/>
        </w:rPr>
        <w:t xml:space="preserve">D 09.0X </w:t>
      </w:r>
      <w:r>
        <w:rPr>
          <w:highlight w:val="none"/>
        </w:rPr>
        <w:t xml:space="preserve">(registri manutenzioni – specifico per ogni reparto)</w:t>
      </w:r>
      <w:r>
        <w:rPr>
          <w:highlight w:val="none"/>
        </w:rPr>
        <w:t xml:space="preserve"> con data, attività svolta, esito e </w:t>
      </w:r>
      <w:r>
        <w:rPr>
          <w:highlight w:val="none"/>
        </w:rPr>
        <w:t xml:space="preserve">firme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Style w:val="1035"/>
        <w:numPr>
          <w:ilvl w:val="0"/>
          <w:numId w:val="46"/>
        </w:numPr>
        <w:pBdr/>
        <w:spacing/>
        <w:ind/>
        <w:rPr/>
      </w:pPr>
      <w:r>
        <w:rPr>
          <w:b/>
          <w:bCs/>
        </w:rPr>
        <w:t xml:space="preserve">Richiesta e Autorizzazione Interventi Straordinari:</w:t>
      </w:r>
      <w:r>
        <w:t xml:space="preserve"> Per guasti improvvisi o fermate d</w:t>
      </w:r>
      <w:r>
        <w:t xml:space="preserve">i emergenza, il personale di produzione compila una richiesta di intervento (ticket o modulo interno) segnalando l’anomalia.</w:t>
      </w:r>
      <w:r>
        <w:rPr>
          <w:highlight w:val="none"/>
        </w:rPr>
        <w:t xml:space="preserve"> Il preposto dell’area interessata autorizza l’intervento dopo aver eventualmente messo in sicurezza la zona</w:t>
      </w:r>
      <w:r>
        <w:rPr>
          <w:highlight w:val="none"/>
        </w:rPr>
        <w:t xml:space="preserve">. </w:t>
      </w:r>
      <w:r>
        <w:t xml:space="preserve">Se necessario fermare </w:t>
      </w:r>
      <w:r>
        <w:t xml:space="preserve">la produzione, si coordina con il responsabile di produzione. Nessun intervento su impianto in esercizio avviene senza l’autorizzazione e la consapevolezza dei responsabili di reparto.</w:t>
      </w:r>
      <w:r/>
    </w:p>
    <w:p>
      <w:pPr>
        <w:pStyle w:val="1035"/>
        <w:numPr>
          <w:ilvl w:val="0"/>
          <w:numId w:val="46"/>
        </w:numPr>
        <w:pBdr/>
        <w:spacing/>
        <w:ind/>
        <w:rPr/>
      </w:pPr>
      <w:r>
        <w:rPr>
          <w:b/>
          <w:bCs/>
        </w:rPr>
        <w:t xml:space="preserve">Preparazione in Sicurezza – LOTO:</w:t>
      </w:r>
      <w:r>
        <w:t xml:space="preserve"> Prima di iniziare la manutenzione, </w:t>
      </w:r>
      <w:r>
        <w:rPr>
          <w:b/>
          <w:bCs/>
        </w:rPr>
        <w:t xml:space="preserve">tutte le fonti di energia pericolosa</w:t>
      </w:r>
      <w:r>
        <w:t xml:space="preserve"> devono essere neutralizzate: spegnimento e sezionamento elettrico (interruttore generale su “off” e applicazione di blocco con</w:t>
      </w:r>
      <w:r>
        <w:rPr>
          <w:highlight w:val="none"/>
        </w:rPr>
        <w:t xml:space="preserve"> </w:t>
      </w:r>
      <w:r>
        <w:rPr>
          <w:highlight w:val="none"/>
        </w:rPr>
        <w:t xml:space="preserve">lucchetto personale + targhetta “Non manovrare – Uomo a lavoro” sul </w:t>
      </w:r>
      <w:commentRangeStart w:id="0"/>
      <w:r>
        <w:rPr>
          <w:highlight w:val="none"/>
        </w:rPr>
        <w:t xml:space="preserve">dispositiv</w:t>
      </w:r>
      <w:r>
        <w:rPr>
          <w:highlight w:val="none"/>
        </w:rPr>
        <w:t xml:space="preserve">o</w:t>
      </w:r>
      <w:commentRangeEnd w:id="0"/>
      <w:r>
        <w:commentReference w:id="0"/>
      </w:r>
      <w:r>
        <w:rPr>
          <w:highlight w:val="none"/>
        </w:rPr>
        <w:t xml:space="preserve">);</w:t>
      </w:r>
      <w:r>
        <w:t xml:space="preserve"> chiusura valvole f</w:t>
      </w:r>
      <w:r>
        <w:t xml:space="preserve">luidi in pressione e scarico delle pressioni residue a zero; isolamento di fonti pneumatiche, idrauliche, meccaniche (ad es. cunei per prevenire cadute di parti sospese); raffreddamento di parti calde.</w:t>
      </w:r>
      <w:r>
        <w:rPr>
          <w:highlight w:val="none"/>
        </w:rPr>
        <w:t xml:space="preserve"> </w:t>
      </w:r>
      <w:r>
        <w:rPr>
          <w:highlight w:val="none"/>
        </w:rPr>
        <w:t xml:space="preserve">La procedura LOTO (Lock-Out Tag-Out) è rigidamente app</w:t>
      </w:r>
      <w:r>
        <w:rPr>
          <w:highlight w:val="none"/>
        </w:rPr>
        <w:t xml:space="preserve">licata: ogni manutentore applica il proprio lucchetto personale sui dispositivi di sezionamento, assicurandosi che nessuno possa riattivarli finché il lavoro non è concluso e tutti i lucchetti rimossi</w:t>
      </w:r>
      <w:r>
        <w:rPr>
          <w:highlight w:val="none"/>
        </w:rPr>
        <w:t xml:space="preserve">. I</w:t>
      </w:r>
      <w:r>
        <w:t xml:space="preserve">n caso di lavori in quota &gt;2 m, predisporre misure an</w:t>
      </w:r>
      <w:r>
        <w:t xml:space="preserve">ticaduta (piattaforme con parapetto, imbracatura e linea vita se necessario). Se l’intervento comporta ingresso in zone ristrette dell’impianto (ad es. interno macchina, condotte), valutare se rientra in “spazio confinato” e in tal caso seguire la PROC-04.</w:t>
      </w:r>
      <w:r/>
    </w:p>
    <w:p>
      <w:pPr>
        <w:pStyle w:val="1035"/>
        <w:numPr>
          <w:ilvl w:val="0"/>
          <w:numId w:val="46"/>
        </w:numPr>
        <w:pBdr/>
        <w:spacing/>
        <w:ind/>
        <w:rPr/>
      </w:pPr>
      <w:r>
        <w:rPr>
          <w:b/>
          <w:bCs/>
        </w:rPr>
        <w:t xml:space="preserve">Esecuzione della Manutenzione:</w:t>
      </w:r>
      <w:r>
        <w:t xml:space="preserve"> Utilizzare attrezzi idonei e in buono stato, come previsto dai manuali. Almeno due persone presenti per interventi complessi o per garantire assistenza reciproca (specialmente se lavori elettrici sotto tensione &lt;– che de</w:t>
      </w:r>
      <w:r>
        <w:t xml:space="preserve">vono essere evitati, comunque eseguiti solo da</w:t>
      </w:r>
      <w:r>
        <w:rPr>
          <w:highlight w:val="none"/>
        </w:rPr>
        <w:t xml:space="preserve"> personale </w:t>
      </w:r>
      <w:r>
        <w:rPr>
          <w:highlight w:val="none"/>
        </w:rPr>
        <w:t xml:space="preserve">PES </w:t>
      </w:r>
      <w:r>
        <w:rPr>
          <w:highlight w:val="none"/>
        </w:rPr>
        <w:t xml:space="preserve">qualificato</w:t>
      </w:r>
      <w:r>
        <w:t xml:space="preserve">). Mantenere l’area segregata: apporre transenne o nastro segnaletico attorno al cantiere di manutenzione per tenere lontano il resto del personale. I DPI specifici vanno sempre indoss</w:t>
      </w:r>
      <w:r>
        <w:t xml:space="preserve">ati:</w:t>
      </w:r>
      <w:r>
        <w:t xml:space="preserve"> </w:t>
      </w:r>
      <w:r>
        <w:rPr>
          <w:highlight w:val="none"/>
        </w:rPr>
        <w:t xml:space="preserve">guanti da meccanico o</w:t>
      </w:r>
      <w:r>
        <w:rPr>
          <w:highlight w:val="yellow"/>
        </w:rPr>
        <w:t xml:space="preserve"> dielettrici per elettricisti</w:t>
      </w:r>
      <w:r>
        <w:t xml:space="preserve">, occhiali o visiera se c’è rischio di schizzi o schegge, abbigliamento a maniche lunghe antiolio, calzature antinfortunistiche. Per lavori di saldatura/taglio, seguire la procedura di </w:t>
      </w:r>
      <w:r>
        <w:rPr>
          <w:i/>
          <w:iCs/>
        </w:rPr>
        <w:t xml:space="preserve">lavoro a caldo</w:t>
      </w:r>
      <w:r>
        <w:t xml:space="preserve">: rimuovere materiale infiammabile nel raggio di alcuni metri, tenere estintore vicino, fornire adeguata ventilazione.</w:t>
      </w:r>
      <w:r/>
    </w:p>
    <w:p>
      <w:pPr>
        <w:pStyle w:val="1035"/>
        <w:numPr>
          <w:ilvl w:val="0"/>
          <w:numId w:val="46"/>
        </w:numPr>
        <w:pBdr/>
        <w:spacing/>
        <w:ind/>
        <w:rPr/>
      </w:pPr>
      <w:r>
        <w:rPr>
          <w:b/>
          <w:bCs/>
        </w:rPr>
        <w:t xml:space="preserve">Pulizia e Lubrificazione in Sicurezza:</w:t>
      </w:r>
      <w:r>
        <w:t xml:space="preserve"> Spesso la manutenzione include pulizie interne (es. rimozione polpa </w:t>
      </w:r>
      <w:r>
        <w:t xml:space="preserve">dagli essiccatori, pulizia filtri, ecc.). Tali operazioni vanno fatte </w:t>
      </w:r>
      <w:r>
        <w:rPr>
          <w:b/>
          <w:bCs/>
        </w:rPr>
        <w:t xml:space="preserve">a macchina ferma e isolata dall’energia</w:t>
      </w:r>
      <w:r>
        <w:t xml:space="preserve">. Non pulire organi in moto né lubrificare cuscinetti su macchine funzionanti, salvo punti progettati per ingrassaggio esterno sicuro. Utili</w:t>
      </w:r>
      <w:r>
        <w:t xml:space="preserve">zzare attrezzi come pennelli lunghi, raschietti, soffi d’aria solo se a macchine ferme e raffreddate. Se è necessaria la rotazione manuale di parti (ad esempio far girare un rullo a mano), assicurarsi che la macchina non possa partire (disinserire motore).</w:t>
      </w:r>
      <w:r/>
    </w:p>
    <w:p>
      <w:pPr>
        <w:pStyle w:val="1035"/>
        <w:numPr>
          <w:ilvl w:val="0"/>
          <w:numId w:val="46"/>
        </w:numPr>
        <w:pBdr/>
        <w:spacing/>
        <w:ind/>
        <w:rPr/>
      </w:pPr>
      <w:r>
        <w:rPr>
          <w:b/>
          <w:bCs/>
        </w:rPr>
        <w:t xml:space="preserve">Ripristino e Collaudo:</w:t>
      </w:r>
      <w:r>
        <w:t xml:space="preserve"> A fine inte</w:t>
      </w:r>
      <w:r>
        <w:t xml:space="preserve">rvento, rimuovere tutti gli attrezzi e materiali usati dall’interno della macchina, riapplicare eventuali protezioni rimosse (carter, griglie, ripari) e solo dopo aver verificato che nessuno sia in zona pericolosa togliere i lucchetti LOTO e dare consenso </w:t>
      </w:r>
      <w:r>
        <w:t xml:space="preserve">al riavvio. Effettuare un collaudo in condizioni di sicurezza: avvisare il personale intorno, fare un avviamento di prova osservando il funzionamento, controllare che le funzioni di sicurezza (es. pulsanti di emergenza, fotocellule) siano attive e che non </w:t>
      </w:r>
      <w:r>
        <w:t xml:space="preserve">vi siano perdite (nel caso di tubazioni) o anomalie. Solo a esito positivo, la macchina/impianto viene restituita alla produzione. Registrare sul </w:t>
      </w:r>
      <w:r>
        <w:rPr>
          <w:b/>
          <w:bCs/>
        </w:rPr>
        <w:t xml:space="preserve">Registro Manutenzioni</w:t>
      </w:r>
      <w:r>
        <w:t xml:space="preserve"> l’intervento eseguito, le parti sostituite, eventuali osservazioni su ulteriori azioni necessarie.</w:t>
      </w:r>
      <w:r/>
    </w:p>
    <w:p>
      <w:pPr>
        <w:pStyle w:val="1035"/>
        <w:numPr>
          <w:ilvl w:val="0"/>
          <w:numId w:val="46"/>
        </w:numPr>
        <w:pBdr/>
        <w:spacing/>
        <w:ind/>
        <w:rPr/>
      </w:pPr>
      <w:r>
        <w:rPr>
          <w:b/>
          <w:bCs/>
        </w:rPr>
        <w:t xml:space="preserve">Gestione Appaltatori in Manutenzione:</w:t>
      </w:r>
      <w:r>
        <w:t xml:space="preserve"> Qualora la manutenzione sia affidat</w:t>
      </w:r>
      <w:r>
        <w:t xml:space="preserve">a a ditte esterne, prima dell’inizio lavori si applica la PROC-11 Gestione Appalti: redazione di DUVRI specifico se ci sono interferenze, verifica dell’idoneità tecnico-professionale dell’impresa (inclusa documentazione su formazione e dispositivi in loro </w:t>
      </w:r>
      <w:r>
        <w:t xml:space="preserve">carico), riunione di coordinamento iniziale per condividere i rischi presenti in stabilimento. Gli appaltatori devono attenersi alle stesse regole di sicurezza dei manutentori interni, utilizzando LOTO sui propri dispositivi e DPI conformi. Un preposto di </w:t>
      </w:r>
      <w:r>
        <w:t xml:space="preserve">Agrumigel</w:t>
      </w:r>
      <w:r>
        <w:t xml:space="preserve"> supervisiona gli interventi esterni.</w:t>
      </w:r>
      <w:r/>
    </w:p>
    <w:p>
      <w:pPr>
        <w:pStyle w:val="1035"/>
        <w:numPr>
          <w:ilvl w:val="0"/>
          <w:numId w:val="46"/>
        </w:numPr>
        <w:pBdr/>
        <w:spacing/>
        <w:ind/>
        <w:rPr/>
      </w:pPr>
      <w:r>
        <w:rPr>
          <w:b/>
          <w:bCs/>
        </w:rPr>
        <w:t xml:space="preserve">Particolarità:</w:t>
      </w:r>
      <w:r>
        <w:t xml:space="preserve"> </w:t>
      </w:r>
      <w:r>
        <w:rPr>
          <w:i/>
          <w:iCs/>
        </w:rPr>
        <w:t xml:space="preserve">Lavori Elettrici:</w:t>
      </w:r>
      <w:r>
        <w:t xml:space="preserve"> tutti i lavori sugli impianti elettrici devono preferibilmente eseguirsi fuori tensione (con sezionamento verificato e messa a terra se applicabile). Solo personale qualificato PES/PAV p</w:t>
      </w:r>
      <w:r>
        <w:t xml:space="preserve">uò operare e, se per necessità si lavora sotto tensione (es. ricerca guasto su quadro), si seguono le linee guida specifiche (lavoro sotto tensione BT),</w:t>
      </w:r>
      <w:r>
        <w:rPr>
          <w:highlight w:val="yellow"/>
        </w:rPr>
        <w:t xml:space="preserve"> con DPI dielettrici</w:t>
      </w:r>
      <w:r>
        <w:t xml:space="preserve">, </w:t>
      </w:r>
      <w:r>
        <w:rPr>
          <w:highlight w:val="yellow"/>
        </w:rPr>
        <w:t xml:space="preserve">tappeti isolanti</w:t>
      </w:r>
      <w:r>
        <w:t xml:space="preserve">, utensili isolati e un secondo operatore presente come assistente. </w:t>
      </w:r>
      <w:r>
        <w:rPr>
          <w:i/>
          <w:iCs/>
        </w:rPr>
        <w:t xml:space="preserve">Lavori in Quota:</w:t>
      </w:r>
      <w:r>
        <w:t xml:space="preserve"> se manutenzioni su tetti (es. condensatori evaporativi su copertura) o su carriponte, assicurarsi presenza di</w:t>
      </w:r>
      <w:r>
        <w:rPr>
          <w:highlight w:val="none"/>
        </w:rPr>
        <w:t xml:space="preserve"> linea vita</w:t>
      </w:r>
      <w:r>
        <w:t xml:space="preserve"> o parapetti fissi; operare preferibilmente in condizioni meteo favorevoli (non sotto pioggia o vento forte). </w:t>
      </w:r>
      <w:r>
        <w:rPr>
          <w:i/>
          <w:iCs/>
        </w:rPr>
        <w:t xml:space="preserve">Lavori di Saldatura/Taglio:</w:t>
      </w:r>
      <w:r>
        <w:t xml:space="preserve"> come detto, prevedere permesso di lavoro a caldo se in zone a rischio incendio, con predisposizione di schermature antifiamma e vedetta antincendio.</w:t>
      </w:r>
      <w:r/>
    </w:p>
    <w:p>
      <w:pPr>
        <w:pStyle w:val="1023"/>
        <w:pBdr/>
        <w:spacing/>
        <w:ind/>
        <w:rPr/>
      </w:pPr>
      <w:r/>
      <w:bookmarkStart w:id="8" w:name="_Toc211354076"/>
      <w:r>
        <w:t xml:space="preserve">Matrice RACI</w:t>
      </w:r>
      <w:bookmarkEnd w:id="8"/>
      <w:r/>
      <w:r/>
    </w:p>
    <w:p>
      <w:pPr>
        <w:pStyle w:val="1035"/>
        <w:pBdr/>
        <w:spacing/>
        <w:ind/>
        <w:rPr/>
      </w:pPr>
      <w:r>
        <w:t xml:space="preserve">Ruoli coinvolti nelle attività di manutenzione sicura:</w:t>
      </w:r>
      <w:r/>
    </w:p>
    <w:tbl>
      <w:tblPr>
        <w:tblW w:w="0" w:type="auto"/>
        <w:tblBorders/>
        <w:tblLook w:val="0020" w:firstRow="1" w:lastRow="0" w:firstColumn="0" w:lastColumn="0" w:noHBand="0" w:noVBand="0"/>
        <w:tblStyle w:val="1109"/>
      </w:tblPr>
      <w:tblGrid>
        <w:gridCol w:w="1677"/>
        <w:gridCol w:w="1169"/>
        <w:gridCol w:w="787"/>
        <w:gridCol w:w="1727"/>
        <w:gridCol w:w="1590"/>
        <w:gridCol w:w="1907"/>
        <w:gridCol w:w="1331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rPr/>
            </w:pPr>
            <w:r>
              <w:rPr>
                <w:b/>
                <w:bCs/>
              </w:rPr>
              <w:t xml:space="preserve">Attività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Datore di Lavoro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RSPP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Resp. Manutenzione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Manutentore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Preposto Reparto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Lavoratori </w:t>
            </w:r>
            <w:r>
              <w:rPr>
                <w:b/>
                <w:bCs/>
              </w:rPr>
              <w:t xml:space="preserve">Prod</w:t>
            </w:r>
            <w:r>
              <w:rPr>
                <w:b/>
                <w:bCs/>
              </w:rPr>
              <w:t xml:space="preserve">.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rPr/>
            </w:pPr>
            <w:r>
              <w:t xml:space="preserve">Pianificazione manutenzioni programmate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C (coordinamento)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rPr/>
            </w:pPr>
            <w:r>
              <w:t xml:space="preserve">Richiesta interventi e autorizzazione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R (autorizza fermi)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R (segnalano guasti)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rPr/>
            </w:pPr>
            <w:r>
              <w:t xml:space="preserve">Isolamento energie (LOTO)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A (policy)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C (verifica in reparto)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rPr/>
            </w:pPr>
            <w:r>
              <w:t xml:space="preserve">Esecuzione lavoro in sicurezza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C (vigilare area)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rPr/>
            </w:pPr>
            <w:r>
              <w:t xml:space="preserve">Verifica ripristino impianto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A (ultimo </w:t>
            </w:r>
            <w:r>
              <w:t xml:space="preserve">respons</w:t>
            </w:r>
            <w:r>
              <w:t xml:space="preserve">.)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C (controlla area)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rPr/>
            </w:pPr>
            <w:r>
              <w:t xml:space="preserve">Gestione imprese terze per manutenzione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7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</w:tbl>
    <w:p>
      <w:pPr>
        <w:pStyle w:val="1023"/>
        <w:pBdr/>
        <w:spacing/>
        <w:ind/>
        <w:rPr/>
      </w:pPr>
      <w:r/>
      <w:bookmarkStart w:id="9" w:name="_Toc211354077"/>
      <w:r>
        <w:t xml:space="preserve">KPI</w:t>
      </w:r>
      <w:bookmarkEnd w:id="9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113"/>
      </w:tblPr>
      <w:tblGrid>
        <w:gridCol w:w="5056"/>
        <w:gridCol w:w="5056"/>
      </w:tblGrid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Indicatore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Obiettivo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Numero di infortuni occorsi durante attività di manutenzione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Numero di quasi incidenti segnalati in manutenzione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Indicatore proattivo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% manutenzioni programmate svolte nei tempi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Efficienza e prevenzione guasti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Tempo medio di riparazione guasti critici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Indice di efficienza, correlato alla sicurezza se guasti comportano modalità operative alternative rischiose da prolungare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Risultati audit sicurezza sui cantieri interni di manutenzione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Es. conformità LOTO applicata, evidenze &gt;= 95% conformità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Indice di disponibilità degli impianti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Un impianto ben manutenuto è più sicuro e meno soggetto a incidenti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1023"/>
        <w:pBdr/>
        <w:spacing/>
        <w:ind/>
        <w:rPr/>
      </w:pPr>
      <w:r/>
      <w:bookmarkStart w:id="10" w:name="_Toc211354078"/>
      <w:r>
        <w:t xml:space="preserve">Modulistica</w:t>
      </w:r>
      <w:bookmarkEnd w:id="10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113"/>
      </w:tblPr>
      <w:tblGrid>
        <w:gridCol w:w="5056"/>
        <w:gridCol w:w="5056"/>
      </w:tblGrid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Documento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Descrizione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MOD-06 Registro Manutenzioni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log interventi con dettagli e firme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Modulo di richiesta intervento guasto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ticket/form interno, eventualmente integrato in sistema informatico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Permesso di lavoro per attività speciali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es. modulo Lavoro a Caldo se implementato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Checklist di </w:t>
            </w:r>
            <w:r>
              <w:t xml:space="preserve">pre</w:t>
            </w:r>
            <w:r>
              <w:t xml:space="preserve">-avviamento</w:t>
            </w:r>
            <w:r>
              <w:t xml:space="preserve"> macchina dopo manutenzione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interna al reparto, non formalizzata qui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MOD-08 Verbale Sopralluogo Interno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ispettivo, utilizzabile anche per audit di sicurezza sulle manutenzioni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1023"/>
        <w:pBdr/>
        <w:spacing/>
        <w:ind/>
        <w:rPr/>
      </w:pPr>
      <w:r/>
      <w:bookmarkStart w:id="11" w:name="_Toc211354079"/>
      <w:r>
        <w:t xml:space="preserve">Controlli Previsti</w:t>
      </w:r>
      <w:bookmarkEnd w:id="11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113"/>
      </w:tblPr>
      <w:tblGrid>
        <w:gridCol w:w="1705"/>
        <w:gridCol w:w="1709"/>
        <w:gridCol w:w="1483"/>
        <w:gridCol w:w="1705"/>
        <w:gridCol w:w="1501"/>
        <w:gridCol w:w="2085"/>
      </w:tblGrid>
      <w:tr>
        <w:trPr/>
        <w:tc>
          <w:tcPr>
            <w:tcBorders/>
            <w:tcW w:w="170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Attività</w:t>
            </w:r>
            <w:r/>
          </w:p>
        </w:tc>
        <w:tc>
          <w:tcPr>
            <w:tcBorders/>
            <w:tcW w:w="17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Responsabile</w:t>
            </w:r>
            <w:r/>
          </w:p>
        </w:tc>
        <w:tc>
          <w:tcPr>
            <w:tcBorders/>
            <w:tcW w:w="155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Frequenza</w:t>
            </w:r>
            <w:r/>
          </w:p>
        </w:tc>
        <w:tc>
          <w:tcPr>
            <w:tcBorders/>
            <w:tcW w:w="159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Oggetto del controllo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Azioni in caso di problemi</w:t>
            </w:r>
            <w:r/>
          </w:p>
        </w:tc>
        <w:tc>
          <w:tcPr>
            <w:tcBorders/>
            <w:tcW w:w="20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Documentazione</w:t>
            </w:r>
            <w:r/>
          </w:p>
        </w:tc>
      </w:tr>
      <w:tr>
        <w:trPr/>
        <w:tc>
          <w:tcPr>
            <w:tcBorders/>
            <w:tcW w:w="170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Verifica quotidiana stato macchine</w:t>
            </w:r>
            <w:r/>
          </w:p>
        </w:tc>
        <w:tc>
          <w:tcPr>
            <w:tcBorders/>
            <w:tcW w:w="17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Preposti di reparto</w:t>
            </w:r>
            <w:r/>
          </w:p>
        </w:tc>
        <w:tc>
          <w:tcPr>
            <w:tcBorders/>
            <w:tcW w:w="155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Quotidiana</w:t>
            </w:r>
            <w:r/>
          </w:p>
        </w:tc>
        <w:tc>
          <w:tcPr>
            <w:tcBorders/>
            <w:tcW w:w="159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Buono stato macchine, dispositivi di sicurezza presenti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 avvio produzione se manca riparo essenziale</w:t>
            </w:r>
            <w:r/>
          </w:p>
        </w:tc>
        <w:tc>
          <w:tcPr>
            <w:tcBorders/>
            <w:tcW w:w="20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Verbali sopralluogo</w:t>
            </w:r>
            <w:r/>
          </w:p>
        </w:tc>
      </w:tr>
      <w:tr>
        <w:trPr/>
        <w:tc>
          <w:tcPr>
            <w:tcBorders/>
            <w:tcW w:w="170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Supervisione interventi manutenzione straordinaria critici</w:t>
            </w:r>
            <w:r/>
          </w:p>
        </w:tc>
        <w:tc>
          <w:tcPr>
            <w:tcBorders/>
            <w:tcW w:w="17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RSPP o ASPP</w:t>
            </w:r>
            <w:r/>
          </w:p>
        </w:tc>
        <w:tc>
          <w:tcPr>
            <w:tcBorders/>
            <w:tcW w:w="155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Durante interventi ad alto rischio</w:t>
            </w:r>
            <w:r/>
          </w:p>
        </w:tc>
        <w:tc>
          <w:tcPr>
            <w:tcBorders/>
            <w:tcW w:w="159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Rispetto procedure, suggerimenti misure integrative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Presenza come auditor</w:t>
            </w:r>
            <w:r/>
          </w:p>
        </w:tc>
        <w:tc>
          <w:tcPr>
            <w:tcBorders/>
            <w:tcW w:w="20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Verbali sopralluogo</w:t>
            </w:r>
            <w:r/>
          </w:p>
        </w:tc>
      </w:tr>
      <w:tr>
        <w:trPr/>
        <w:tc>
          <w:tcPr>
            <w:tcBorders/>
            <w:tcW w:w="170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Safety</w:t>
            </w:r>
            <w:r>
              <w:t xml:space="preserve"> </w:t>
            </w:r>
            <w:r>
              <w:t xml:space="preserve">walks</w:t>
            </w:r>
            <w:r/>
          </w:p>
        </w:tc>
        <w:tc>
          <w:tcPr>
            <w:tcBorders/>
            <w:tcW w:w="17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Dirigente di stabilimento, RSPP</w:t>
            </w:r>
            <w:r/>
          </w:p>
        </w:tc>
        <w:tc>
          <w:tcPr>
            <w:tcBorders/>
            <w:tcW w:w="155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Mensile</w:t>
            </w:r>
            <w:r/>
          </w:p>
        </w:tc>
        <w:tc>
          <w:tcPr>
            <w:tcBorders/>
            <w:tcW w:w="159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Ordine, uso DPI, attrezzature in sicurezza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Correzione non conformità</w:t>
            </w:r>
            <w:r/>
          </w:p>
        </w:tc>
        <w:tc>
          <w:tcPr>
            <w:tcBorders/>
            <w:tcW w:w="20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Verbali sopralluogo</w:t>
            </w:r>
            <w:r/>
          </w:p>
        </w:tc>
      </w:tr>
      <w:tr>
        <w:trPr/>
        <w:tc>
          <w:tcPr>
            <w:tcBorders/>
            <w:tcW w:w="170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Controlli periodici attrezzature manutenzione</w:t>
            </w:r>
            <w:r/>
          </w:p>
        </w:tc>
        <w:tc>
          <w:tcPr>
            <w:tcBorders/>
            <w:tcW w:w="17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 specificato</w:t>
            </w:r>
            <w:r/>
          </w:p>
        </w:tc>
        <w:tc>
          <w:tcPr>
            <w:tcBorders/>
            <w:tcW w:w="155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Periodica (es. annuale)</w:t>
            </w:r>
            <w:r/>
          </w:p>
        </w:tc>
        <w:tc>
          <w:tcPr>
            <w:tcBorders/>
            <w:tcW w:w="159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Messa a terra elettrica, carriponte, scale portatili, utensili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Correzione non conformità</w:t>
            </w:r>
            <w:r/>
          </w:p>
        </w:tc>
        <w:tc>
          <w:tcPr>
            <w:tcBorders/>
            <w:tcW w:w="20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Verbali sopralluogo</w:t>
            </w:r>
            <w:r/>
          </w:p>
        </w:tc>
      </w:tr>
      <w:tr>
        <w:trPr/>
        <w:tc>
          <w:tcPr>
            <w:tcBorders/>
            <w:tcW w:w="170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Riunione periodica sicurezza</w:t>
            </w:r>
            <w:r/>
          </w:p>
        </w:tc>
        <w:tc>
          <w:tcPr>
            <w:tcBorders/>
            <w:tcW w:w="17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 specificato</w:t>
            </w:r>
            <w:r/>
          </w:p>
        </w:tc>
        <w:tc>
          <w:tcPr>
            <w:tcBorders/>
            <w:tcW w:w="155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Annuale</w:t>
            </w:r>
            <w:r/>
          </w:p>
        </w:tc>
        <w:tc>
          <w:tcPr>
            <w:tcBorders/>
            <w:tcW w:w="159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Analisi infortuni, risorse, formazione manutenzione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Valutazione necessità formazione aggiuntiva</w:t>
            </w:r>
            <w:r/>
          </w:p>
        </w:tc>
        <w:tc>
          <w:tcPr>
            <w:tcBorders/>
            <w:tcW w:w="20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Verbali sopralluogo</w:t>
            </w:r>
            <w:r/>
          </w:p>
        </w:tc>
      </w:tr>
    </w:tbl>
    <w:p>
      <w:pPr>
        <w:pBdr/>
        <w:spacing/>
        <w:ind/>
        <w:rPr/>
      </w:pPr>
      <w:r/>
      <w:bookmarkEnd w:id="3"/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>
        <w:numRestart w:val="eachSect"/>
      </w:footnotePr>
      <w:endnotePr/>
      <w:type w:val="nextPage"/>
      <w:pgSz w:h="15840" w:orient="portrait" w:w="12240"/>
      <w:pgMar w:top="1417" w:right="1134" w:bottom="1134" w:left="1134" w:header="720" w:footer="720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Francesco Scavello" w:date="2025-10-25T18:04:49Z" w:initials="FS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Eventualmente creare un paio di targhette da dare a Mazzeo e Picciolo. Cercare su internet targhetta LOTO ed eventualmente stampare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6C9EE26A" w16cex:dateUtc="2025-10-25T16:04:4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6C9EE26A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17711698"/>
      <w:docPartObj>
        <w:docPartGallery w:val="Page Numbers (Bottom of Page)"/>
        <w:docPartUnique w:val="true"/>
      </w:docPartObj>
      <w:rPr/>
    </w:sdtPr>
    <w:sdtContent>
      <w:p>
        <w:pPr>
          <w:pStyle w:val="1107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it-IT"/>
          </w:rPr>
          <w:t xml:space="preserve">2</w:t>
        </w:r>
        <w:r>
          <w:fldChar w:fldCharType="end"/>
        </w:r>
        <w:r/>
      </w:p>
    </w:sdtContent>
  </w:sdt>
  <w:p>
    <w:pPr>
      <w:pStyle w:val="110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10314" w:type="dxa"/>
      <w:tblBorders/>
      <w:tblLook w:val="04A0" w:firstRow="1" w:lastRow="0" w:firstColumn="1" w:lastColumn="0" w:noHBand="0" w:noVBand="1"/>
      <w:tblStyle w:val="1109"/>
    </w:tblPr>
    <w:tblGrid>
      <w:gridCol w:w="2943"/>
      <w:gridCol w:w="4678"/>
      <w:gridCol w:w="2693"/>
    </w:tblGrid>
    <w:tr>
      <w:trPr>
        <w:jc w:val="center"/>
        <w:trHeight w:val="977"/>
      </w:trPr>
      <w:tc>
        <w:tcPr>
          <w:tcBorders/>
          <w:tcW w:w="2943" w:type="dxa"/>
          <w:vAlign w:val="center"/>
          <w:textDirection w:val="lrTb"/>
          <w:noWrap w:val="false"/>
        </w:tcPr>
        <w:p>
          <w:pPr>
            <w:pStyle w:val="1105"/>
            <w:pBdr/>
            <w:spacing/>
            <w:ind/>
            <w:rPr>
              <w:lang w:val="it-IT"/>
            </w:rPr>
          </w:pPr>
          <w:r>
            <w:rPr>
              <w:lang w:val="it-IT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85850" cy="514350"/>
                    <wp:effectExtent l="0" t="0" r="0" b="0"/>
                    <wp:docPr id="1" name="Immagine 2" descr="Immagine che contiene pesce, clipart, illustrazione&#10;&#10;Il contenuto generato dall'IA potrebbe non essere corret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88056367" name="Immagine 2" descr="Immagine che contiene pesce, clipart, illustrazione&#10;&#10;Il contenuto generato dall'IA potrebbe non essere corretto.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858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5.50pt;height:40.50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4678" w:type="dxa"/>
          <w:vAlign w:val="center"/>
          <w:textDirection w:val="lrTb"/>
          <w:noWrap w:val="false"/>
        </w:tcPr>
        <w:p>
          <w:pPr>
            <w:pStyle w:val="1105"/>
            <w:pBdr/>
            <w:spacing/>
            <w:ind/>
            <w:rPr>
              <w:lang w:val="it-IT"/>
            </w:rPr>
          </w:pPr>
          <w:r>
            <w:rPr>
              <w:b/>
              <w:bCs/>
            </w:rPr>
            <w:t xml:space="preserve">PROC-06 – Manutenzioni in Sicurezza degli Impianti e Attrezzature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2693" w:type="dxa"/>
          <w:vAlign w:val="center"/>
          <w:textDirection w:val="lrTb"/>
          <w:noWrap w:val="false"/>
        </w:tcPr>
        <w:p>
          <w:pPr>
            <w:pStyle w:val="1105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PROC-0</w:t>
          </w:r>
          <w:r>
            <w:rPr>
              <w:lang w:val="it-IT"/>
            </w:rPr>
            <w:t xml:space="preserve">6</w:t>
          </w:r>
          <w:r>
            <w:rPr>
              <w:lang w:val="it-IT"/>
            </w:rPr>
          </w:r>
          <w:r>
            <w:rPr>
              <w:lang w:val="it-IT"/>
            </w:rPr>
          </w:r>
        </w:p>
        <w:p>
          <w:pPr>
            <w:pStyle w:val="1105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REV. </w:t>
          </w:r>
          <w:r>
            <w:rPr>
              <w:lang w:val="it-IT"/>
            </w:rPr>
            <w:t xml:space="preserve">00</w:t>
          </w:r>
          <w:r>
            <w:rPr>
              <w:lang w:val="it-IT"/>
            </w:rPr>
            <w:t xml:space="preserve"> del </w:t>
          </w:r>
          <w:r>
            <w:rPr>
              <w:lang w:val="it-IT"/>
            </w:rPr>
            <w:t xml:space="preserve">14</w:t>
          </w:r>
          <w:r>
            <w:rPr>
              <w:lang w:val="it-IT"/>
            </w:rPr>
            <w:t xml:space="preserve">-</w:t>
          </w:r>
          <w:r>
            <w:rPr>
              <w:lang w:val="it-IT"/>
            </w:rPr>
            <w:t xml:space="preserve">10</w:t>
          </w:r>
          <w:r>
            <w:rPr>
              <w:lang w:val="it-IT"/>
            </w:rPr>
            <w:t xml:space="preserve">-2025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</w:tr>
  </w:tbl>
  <w:p>
    <w:pPr>
      <w:pStyle w:val="110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>
        <w:rFonts w:hint="default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023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024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025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026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027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028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029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030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031"/>
      <w:rPr>
        <w:rFonts w:hint="default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1"/>
  </w:num>
  <w:num w:numId="32">
    <w:abstractNumId w:val="1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3"/>
  </w:num>
  <w:num w:numId="34">
    <w:abstractNumId w:val="13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8"/>
  </w:num>
  <w:num w:numId="36">
    <w:abstractNumId w:val="9"/>
  </w:num>
  <w:num w:numId="37">
    <w:abstractNumId w:val="6"/>
  </w:num>
  <w:num w:numId="38">
    <w:abstractNumId w:val="2"/>
  </w:num>
  <w:num w:numId="39">
    <w:abstractNumId w:val="7"/>
  </w:num>
  <w:num w:numId="40">
    <w:abstractNumId w:val="14"/>
  </w:num>
  <w:num w:numId="41">
    <w:abstractNumId w:val="10"/>
  </w:num>
  <w:num w:numId="42">
    <w:abstractNumId w:val="15"/>
  </w:num>
  <w:num w:numId="43">
    <w:abstractNumId w:val="5"/>
  </w:num>
  <w:num w:numId="44">
    <w:abstractNumId w:val="12"/>
  </w:num>
  <w:num w:numId="45">
    <w:abstractNumId w:val="3"/>
  </w:num>
  <w:num w:numId="46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Francesco Scavello">
    <w15:presenceInfo w15:providerId="Teamlab" w15:userId="ocxcoxtpen8o_Scavell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283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it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9">
    <w:name w:val="Table Grid Light"/>
    <w:basedOn w:val="10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Plain Table 2"/>
    <w:basedOn w:val="10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Plain Table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Plain Table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Plain Table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1 Light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1 Light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1 Light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1 Light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1 Light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1 Light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2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2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2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2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2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3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3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3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3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3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4"/>
    <w:basedOn w:val="10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4 - Accent 1"/>
    <w:basedOn w:val="10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4 - Accent 2"/>
    <w:basedOn w:val="10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4 - Accent 3"/>
    <w:basedOn w:val="10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 - Accent 4"/>
    <w:basedOn w:val="10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4 - Accent 5"/>
    <w:basedOn w:val="10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4 - Accent 6"/>
    <w:basedOn w:val="10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5 Dark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5 Dark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5 Dark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5 Dark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5 Dark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5 Dark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5 Dark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6 Colorful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6 Colorful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6 Colorful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6 Colorful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6 Colorful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6 Colorful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7 Colorful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7 Colorful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7 Colorful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7 Colorful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7 Colorful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1 Light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1 Light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1 Light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1 Light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1 Light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1 Light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2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2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2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2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2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3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3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3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3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3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4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4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4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4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4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5 Dark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5 Dark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5 Dark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5 Dark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5 Dark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5 Dark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6 Colorful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6 Colorful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6 Colorful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6 Colorful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6 Colorful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6 Colorful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7 Colorful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7 Colorful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7 Colorful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7 Colorful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7 Colorful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7 Colorful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ned - Accent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ned - Accent 1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ned - Accent 2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ned - Accent 3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ned - Accent 4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ned - Accent 5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ned - Accent 6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&amp; Lined - Accent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&amp; Lined - Accent 1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&amp; Lined - Accent 2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&amp; Lined - Accent 3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&amp; Lined - Accent 4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&amp; Lined - Accent 5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&amp; Lined - Accent 6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3">
    <w:name w:val="Heading 1 Char"/>
    <w:basedOn w:val="1032"/>
    <w:link w:val="10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84">
    <w:name w:val="Heading 2 Char"/>
    <w:basedOn w:val="1032"/>
    <w:link w:val="10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5">
    <w:name w:val="Heading 3 Char"/>
    <w:basedOn w:val="1032"/>
    <w:link w:val="10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6">
    <w:name w:val="Heading 4 Char"/>
    <w:basedOn w:val="1032"/>
    <w:link w:val="10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7">
    <w:name w:val="Heading 5 Char"/>
    <w:basedOn w:val="1032"/>
    <w:link w:val="10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8">
    <w:name w:val="Heading 6 Char"/>
    <w:basedOn w:val="1032"/>
    <w:link w:val="10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9">
    <w:name w:val="Heading 7 Char"/>
    <w:basedOn w:val="1032"/>
    <w:link w:val="10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0">
    <w:name w:val="Heading 8 Char"/>
    <w:basedOn w:val="1032"/>
    <w:link w:val="10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1">
    <w:name w:val="Heading 9 Char"/>
    <w:basedOn w:val="1032"/>
    <w:link w:val="10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2">
    <w:name w:val="Title Char"/>
    <w:basedOn w:val="1032"/>
    <w:link w:val="103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93">
    <w:name w:val="Subtitle Char"/>
    <w:basedOn w:val="1032"/>
    <w:link w:val="104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4">
    <w:name w:val="Quote"/>
    <w:basedOn w:val="1022"/>
    <w:next w:val="1022"/>
    <w:link w:val="9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5">
    <w:name w:val="Quote Char"/>
    <w:basedOn w:val="1032"/>
    <w:link w:val="9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96">
    <w:name w:val="List Paragraph"/>
    <w:basedOn w:val="1022"/>
    <w:uiPriority w:val="34"/>
    <w:qFormat/>
    <w:pPr>
      <w:pBdr/>
      <w:spacing/>
      <w:ind w:left="720"/>
      <w:contextualSpacing w:val="true"/>
    </w:pPr>
  </w:style>
  <w:style w:type="character" w:styleId="997">
    <w:name w:val="Intense Emphasis"/>
    <w:basedOn w:val="10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98">
    <w:name w:val="Intense Quote"/>
    <w:basedOn w:val="1022"/>
    <w:next w:val="1022"/>
    <w:link w:val="9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9">
    <w:name w:val="Intense Quote Char"/>
    <w:basedOn w:val="1032"/>
    <w:link w:val="9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0">
    <w:name w:val="Intense Reference"/>
    <w:basedOn w:val="10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01">
    <w:name w:val="No Spacing"/>
    <w:basedOn w:val="1022"/>
    <w:uiPriority w:val="1"/>
    <w:qFormat/>
    <w:pPr>
      <w:pBdr/>
      <w:spacing w:after="0" w:line="240" w:lineRule="auto"/>
      <w:ind/>
    </w:pPr>
  </w:style>
  <w:style w:type="character" w:styleId="1002">
    <w:name w:val="Subtle Emphasis"/>
    <w:basedOn w:val="10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3">
    <w:name w:val="Emphasis"/>
    <w:basedOn w:val="1032"/>
    <w:uiPriority w:val="20"/>
    <w:qFormat/>
    <w:pPr>
      <w:pBdr/>
      <w:spacing/>
      <w:ind/>
    </w:pPr>
    <w:rPr>
      <w:i/>
      <w:iCs/>
    </w:rPr>
  </w:style>
  <w:style w:type="character" w:styleId="1004">
    <w:name w:val="Strong"/>
    <w:basedOn w:val="1032"/>
    <w:uiPriority w:val="22"/>
    <w:qFormat/>
    <w:pPr>
      <w:pBdr/>
      <w:spacing/>
      <w:ind/>
    </w:pPr>
    <w:rPr>
      <w:b/>
      <w:bCs/>
    </w:rPr>
  </w:style>
  <w:style w:type="character" w:styleId="1005">
    <w:name w:val="Subtle Reference"/>
    <w:basedOn w:val="10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6">
    <w:name w:val="Book Title"/>
    <w:basedOn w:val="103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07">
    <w:name w:val="Header Char"/>
    <w:basedOn w:val="1032"/>
    <w:link w:val="1105"/>
    <w:uiPriority w:val="99"/>
    <w:pPr>
      <w:pBdr/>
      <w:spacing/>
      <w:ind/>
    </w:pPr>
  </w:style>
  <w:style w:type="character" w:styleId="1008">
    <w:name w:val="Footer Char"/>
    <w:basedOn w:val="1032"/>
    <w:link w:val="1107"/>
    <w:uiPriority w:val="99"/>
    <w:pPr>
      <w:pBdr/>
      <w:spacing/>
      <w:ind/>
    </w:pPr>
  </w:style>
  <w:style w:type="character" w:styleId="1009">
    <w:name w:val="Footnote Text Char"/>
    <w:basedOn w:val="1032"/>
    <w:link w:val="1057"/>
    <w:uiPriority w:val="99"/>
    <w:semiHidden/>
    <w:pPr>
      <w:pBdr/>
      <w:spacing/>
      <w:ind/>
    </w:pPr>
    <w:rPr>
      <w:sz w:val="20"/>
      <w:szCs w:val="20"/>
    </w:rPr>
  </w:style>
  <w:style w:type="paragraph" w:styleId="1010">
    <w:name w:val="endnote text"/>
    <w:basedOn w:val="1022"/>
    <w:link w:val="10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1">
    <w:name w:val="Endnote Text Char"/>
    <w:basedOn w:val="1032"/>
    <w:link w:val="1010"/>
    <w:uiPriority w:val="99"/>
    <w:semiHidden/>
    <w:pPr>
      <w:pBdr/>
      <w:spacing/>
      <w:ind/>
    </w:pPr>
    <w:rPr>
      <w:sz w:val="20"/>
      <w:szCs w:val="20"/>
    </w:rPr>
  </w:style>
  <w:style w:type="character" w:styleId="1012">
    <w:name w:val="endnote reference"/>
    <w:basedOn w:val="1032"/>
    <w:uiPriority w:val="99"/>
    <w:semiHidden/>
    <w:unhideWhenUsed/>
    <w:pPr>
      <w:pBdr/>
      <w:spacing/>
      <w:ind/>
    </w:pPr>
    <w:rPr>
      <w:vertAlign w:val="superscript"/>
    </w:rPr>
  </w:style>
  <w:style w:type="character" w:styleId="1013">
    <w:name w:val="FollowedHyperlink"/>
    <w:basedOn w:val="10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4">
    <w:name w:val="toc 4"/>
    <w:basedOn w:val="1022"/>
    <w:next w:val="1022"/>
    <w:uiPriority w:val="39"/>
    <w:unhideWhenUsed/>
    <w:pPr>
      <w:pBdr/>
      <w:spacing w:after="100"/>
      <w:ind w:left="660"/>
    </w:pPr>
  </w:style>
  <w:style w:type="paragraph" w:styleId="1015">
    <w:name w:val="toc 5"/>
    <w:basedOn w:val="1022"/>
    <w:next w:val="1022"/>
    <w:uiPriority w:val="39"/>
    <w:unhideWhenUsed/>
    <w:pPr>
      <w:pBdr/>
      <w:spacing w:after="100"/>
      <w:ind w:left="880"/>
    </w:pPr>
  </w:style>
  <w:style w:type="paragraph" w:styleId="1016">
    <w:name w:val="toc 6"/>
    <w:basedOn w:val="1022"/>
    <w:next w:val="1022"/>
    <w:uiPriority w:val="39"/>
    <w:unhideWhenUsed/>
    <w:pPr>
      <w:pBdr/>
      <w:spacing w:after="100"/>
      <w:ind w:left="1100"/>
    </w:pPr>
  </w:style>
  <w:style w:type="paragraph" w:styleId="1017">
    <w:name w:val="toc 7"/>
    <w:basedOn w:val="1022"/>
    <w:next w:val="1022"/>
    <w:uiPriority w:val="39"/>
    <w:unhideWhenUsed/>
    <w:pPr>
      <w:pBdr/>
      <w:spacing w:after="100"/>
      <w:ind w:left="1320"/>
    </w:pPr>
  </w:style>
  <w:style w:type="paragraph" w:styleId="1018">
    <w:name w:val="toc 8"/>
    <w:basedOn w:val="1022"/>
    <w:next w:val="1022"/>
    <w:uiPriority w:val="39"/>
    <w:unhideWhenUsed/>
    <w:pPr>
      <w:pBdr/>
      <w:spacing w:after="100"/>
      <w:ind w:left="1540"/>
    </w:pPr>
  </w:style>
  <w:style w:type="paragraph" w:styleId="1019">
    <w:name w:val="toc 9"/>
    <w:basedOn w:val="1022"/>
    <w:next w:val="1022"/>
    <w:uiPriority w:val="39"/>
    <w:unhideWhenUsed/>
    <w:pPr>
      <w:pBdr/>
      <w:spacing w:after="100"/>
      <w:ind w:left="1760"/>
    </w:pPr>
  </w:style>
  <w:style w:type="character" w:styleId="1020">
    <w:name w:val="Placeholder Text"/>
    <w:basedOn w:val="1032"/>
    <w:uiPriority w:val="99"/>
    <w:semiHidden/>
    <w:pPr>
      <w:pBdr/>
      <w:spacing/>
      <w:ind/>
    </w:pPr>
    <w:rPr>
      <w:color w:val="666666"/>
    </w:rPr>
  </w:style>
  <w:style w:type="paragraph" w:styleId="1021">
    <w:name w:val="table of figures"/>
    <w:basedOn w:val="1022"/>
    <w:next w:val="1022"/>
    <w:uiPriority w:val="99"/>
    <w:unhideWhenUsed/>
    <w:pPr>
      <w:pBdr/>
      <w:spacing w:after="0" w:afterAutospacing="0"/>
      <w:ind/>
    </w:pPr>
  </w:style>
  <w:style w:type="paragraph" w:styleId="1022" w:default="1">
    <w:name w:val="Normal"/>
    <w:qFormat/>
    <w:pPr>
      <w:pBdr/>
      <w:spacing/>
      <w:ind/>
    </w:pPr>
  </w:style>
  <w:style w:type="paragraph" w:styleId="1023">
    <w:name w:val="Heading 1"/>
    <w:basedOn w:val="1022"/>
    <w:next w:val="1035"/>
    <w:link w:val="1047"/>
    <w:uiPriority w:val="9"/>
    <w:qFormat/>
    <w:pPr>
      <w:keepNext w:val="true"/>
      <w:keepLines w:val="true"/>
      <w:numPr>
        <w:numId w:val="33"/>
      </w:numPr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024">
    <w:name w:val="Heading 2"/>
    <w:basedOn w:val="1022"/>
    <w:next w:val="1035"/>
    <w:link w:val="1048"/>
    <w:uiPriority w:val="9"/>
    <w:unhideWhenUsed/>
    <w:qFormat/>
    <w:pPr>
      <w:keepNext w:val="true"/>
      <w:keepLines w:val="true"/>
      <w:numPr>
        <w:ilvl w:val="1"/>
        <w:numId w:val="33"/>
      </w:numPr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025">
    <w:name w:val="Heading 3"/>
    <w:basedOn w:val="1022"/>
    <w:next w:val="1035"/>
    <w:link w:val="1049"/>
    <w:uiPriority w:val="9"/>
    <w:unhideWhenUsed/>
    <w:qFormat/>
    <w:pPr>
      <w:keepNext w:val="true"/>
      <w:keepLines w:val="true"/>
      <w:numPr>
        <w:ilvl w:val="2"/>
        <w:numId w:val="33"/>
      </w:numPr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1026">
    <w:name w:val="Heading 4"/>
    <w:basedOn w:val="1022"/>
    <w:next w:val="1035"/>
    <w:link w:val="1050"/>
    <w:uiPriority w:val="9"/>
    <w:semiHidden/>
    <w:unhideWhenUsed/>
    <w:qFormat/>
    <w:pPr>
      <w:keepNext w:val="true"/>
      <w:keepLines w:val="true"/>
      <w:numPr>
        <w:ilvl w:val="3"/>
        <w:numId w:val="33"/>
      </w:numPr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1027">
    <w:name w:val="Heading 5"/>
    <w:basedOn w:val="1022"/>
    <w:next w:val="1035"/>
    <w:link w:val="1051"/>
    <w:uiPriority w:val="9"/>
    <w:semiHidden/>
    <w:unhideWhenUsed/>
    <w:qFormat/>
    <w:pPr>
      <w:keepNext w:val="true"/>
      <w:keepLines w:val="true"/>
      <w:numPr>
        <w:ilvl w:val="4"/>
        <w:numId w:val="33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028">
    <w:name w:val="Heading 6"/>
    <w:basedOn w:val="1022"/>
    <w:next w:val="1035"/>
    <w:link w:val="1052"/>
    <w:uiPriority w:val="9"/>
    <w:semiHidden/>
    <w:unhideWhenUsed/>
    <w:qFormat/>
    <w:pPr>
      <w:keepNext w:val="true"/>
      <w:keepLines w:val="true"/>
      <w:numPr>
        <w:ilvl w:val="5"/>
        <w:numId w:val="33"/>
      </w:numPr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029">
    <w:name w:val="Heading 7"/>
    <w:basedOn w:val="1022"/>
    <w:next w:val="1035"/>
    <w:link w:val="1053"/>
    <w:uiPriority w:val="9"/>
    <w:semiHidden/>
    <w:unhideWhenUsed/>
    <w:qFormat/>
    <w:pPr>
      <w:keepNext w:val="true"/>
      <w:keepLines w:val="true"/>
      <w:numPr>
        <w:ilvl w:val="6"/>
        <w:numId w:val="33"/>
      </w:numPr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030">
    <w:name w:val="Heading 8"/>
    <w:basedOn w:val="1022"/>
    <w:next w:val="1035"/>
    <w:link w:val="1054"/>
    <w:uiPriority w:val="9"/>
    <w:semiHidden/>
    <w:unhideWhenUsed/>
    <w:qFormat/>
    <w:pPr>
      <w:keepNext w:val="true"/>
      <w:keepLines w:val="true"/>
      <w:numPr>
        <w:ilvl w:val="7"/>
        <w:numId w:val="33"/>
      </w:numPr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031">
    <w:name w:val="Heading 9"/>
    <w:basedOn w:val="1022"/>
    <w:next w:val="1035"/>
    <w:link w:val="1055"/>
    <w:uiPriority w:val="9"/>
    <w:semiHidden/>
    <w:unhideWhenUsed/>
    <w:qFormat/>
    <w:pPr>
      <w:keepNext w:val="true"/>
      <w:keepLines w:val="true"/>
      <w:numPr>
        <w:ilvl w:val="8"/>
        <w:numId w:val="33"/>
      </w:numPr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032" w:default="1">
    <w:name w:val="Default Paragraph Font"/>
    <w:uiPriority w:val="1"/>
    <w:unhideWhenUsed/>
    <w:pPr>
      <w:pBdr/>
      <w:spacing/>
      <w:ind/>
    </w:pPr>
  </w:style>
  <w:style w:type="table" w:styleId="10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34" w:default="1">
    <w:name w:val="No List"/>
    <w:uiPriority w:val="99"/>
    <w:semiHidden/>
    <w:unhideWhenUsed/>
    <w:pPr>
      <w:pBdr/>
      <w:spacing/>
      <w:ind/>
    </w:pPr>
  </w:style>
  <w:style w:type="paragraph" w:styleId="1035">
    <w:name w:val="Body Text"/>
    <w:basedOn w:val="1022"/>
    <w:qFormat/>
    <w:pPr>
      <w:pBdr/>
      <w:spacing w:after="180" w:before="180"/>
      <w:ind/>
    </w:pPr>
  </w:style>
  <w:style w:type="paragraph" w:styleId="1036" w:customStyle="1">
    <w:name w:val="First Paragraph"/>
    <w:basedOn w:val="1035"/>
    <w:next w:val="1035"/>
    <w:qFormat/>
    <w:pPr>
      <w:pBdr/>
      <w:spacing/>
      <w:ind/>
    </w:pPr>
  </w:style>
  <w:style w:type="paragraph" w:styleId="1037" w:customStyle="1">
    <w:name w:val="Compact"/>
    <w:basedOn w:val="1035"/>
    <w:qFormat/>
    <w:pPr>
      <w:pBdr/>
      <w:spacing w:after="36" w:before="36"/>
      <w:ind/>
    </w:pPr>
  </w:style>
  <w:style w:type="paragraph" w:styleId="1038">
    <w:name w:val="Title"/>
    <w:basedOn w:val="1022"/>
    <w:next w:val="1035"/>
    <w:link w:val="1039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39" w:customStyle="1">
    <w:name w:val="Titolo Carattere"/>
    <w:basedOn w:val="1032"/>
    <w:link w:val="103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40">
    <w:name w:val="Subtitle"/>
    <w:basedOn w:val="1038"/>
    <w:next w:val="1035"/>
    <w:link w:val="1041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1041" w:customStyle="1">
    <w:name w:val="Sottotitolo Carattere"/>
    <w:basedOn w:val="1032"/>
    <w:link w:val="104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42" w:customStyle="1">
    <w:name w:val="Author"/>
    <w:next w:val="1035"/>
    <w:qFormat/>
    <w:pPr>
      <w:keepNext w:val="true"/>
      <w:keepLines w:val="true"/>
      <w:pBdr/>
      <w:spacing/>
      <w:ind/>
      <w:jc w:val="center"/>
    </w:pPr>
  </w:style>
  <w:style w:type="paragraph" w:styleId="1043">
    <w:name w:val="Date"/>
    <w:next w:val="1035"/>
    <w:qFormat/>
    <w:pPr>
      <w:keepNext w:val="true"/>
      <w:keepLines w:val="true"/>
      <w:pBdr/>
      <w:spacing/>
      <w:ind/>
      <w:jc w:val="center"/>
    </w:pPr>
  </w:style>
  <w:style w:type="paragraph" w:styleId="1044" w:customStyle="1">
    <w:name w:val="Abstract Title"/>
    <w:basedOn w:val="1022"/>
    <w:next w:val="1045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1045" w:customStyle="1">
    <w:name w:val="Abstract"/>
    <w:basedOn w:val="1022"/>
    <w:next w:val="103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1046">
    <w:name w:val="Bibliography"/>
    <w:basedOn w:val="1022"/>
    <w:qFormat/>
    <w:pPr>
      <w:pBdr/>
      <w:spacing/>
      <w:ind/>
    </w:pPr>
  </w:style>
  <w:style w:type="character" w:styleId="1047" w:customStyle="1">
    <w:name w:val="Titolo 1 Carattere"/>
    <w:basedOn w:val="1032"/>
    <w:link w:val="102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048" w:customStyle="1">
    <w:name w:val="Titolo 2 Carattere"/>
    <w:basedOn w:val="1032"/>
    <w:link w:val="102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049" w:customStyle="1">
    <w:name w:val="Titolo 3 Carattere"/>
    <w:basedOn w:val="1032"/>
    <w:link w:val="1025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050" w:customStyle="1">
    <w:name w:val="Titolo 4 Carattere"/>
    <w:basedOn w:val="1032"/>
    <w:link w:val="102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051" w:customStyle="1">
    <w:name w:val="Titolo 5 Carattere"/>
    <w:basedOn w:val="1032"/>
    <w:link w:val="102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52" w:customStyle="1">
    <w:name w:val="Titolo 6 Carattere"/>
    <w:basedOn w:val="1032"/>
    <w:link w:val="102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53" w:customStyle="1">
    <w:name w:val="Titolo 7 Carattere"/>
    <w:basedOn w:val="1032"/>
    <w:link w:val="102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54" w:customStyle="1">
    <w:name w:val="Titolo 8 Carattere"/>
    <w:basedOn w:val="1032"/>
    <w:link w:val="103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55" w:customStyle="1">
    <w:name w:val="Titolo 9 Carattere"/>
    <w:basedOn w:val="1032"/>
    <w:link w:val="103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56">
    <w:name w:val="Block Text"/>
    <w:basedOn w:val="1035"/>
    <w:next w:val="1035"/>
    <w:uiPriority w:val="9"/>
    <w:unhideWhenUsed/>
    <w:qFormat/>
    <w:pPr>
      <w:pBdr/>
      <w:spacing w:after="100" w:before="100"/>
      <w:ind w:right="480" w:left="480"/>
    </w:pPr>
  </w:style>
  <w:style w:type="paragraph" w:styleId="1057">
    <w:name w:val="footnote text"/>
    <w:basedOn w:val="1022"/>
    <w:uiPriority w:val="9"/>
    <w:unhideWhenUsed/>
    <w:qFormat/>
    <w:pPr>
      <w:pBdr/>
      <w:spacing/>
      <w:ind/>
    </w:pPr>
  </w:style>
  <w:style w:type="paragraph" w:styleId="1058" w:customStyle="1">
    <w:name w:val="Footnote Block Text"/>
    <w:basedOn w:val="1057"/>
    <w:next w:val="1057"/>
    <w:uiPriority w:val="9"/>
    <w:unhideWhenUsed/>
    <w:qFormat/>
    <w:pPr>
      <w:pBdr/>
      <w:spacing w:after="100" w:before="100"/>
      <w:ind w:right="480" w:left="480"/>
    </w:pPr>
  </w:style>
  <w:style w:type="table" w:styleId="1059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0" w:customStyle="1">
    <w:name w:val="Definition Term"/>
    <w:basedOn w:val="1022"/>
    <w:next w:val="1061"/>
    <w:pPr>
      <w:keepNext w:val="true"/>
      <w:keepLines w:val="true"/>
      <w:pBdr/>
      <w:spacing w:after="0"/>
      <w:ind/>
    </w:pPr>
    <w:rPr>
      <w:b/>
    </w:rPr>
  </w:style>
  <w:style w:type="paragraph" w:styleId="1061" w:customStyle="1">
    <w:name w:val="Definition"/>
    <w:basedOn w:val="1022"/>
    <w:pPr>
      <w:pBdr/>
      <w:spacing/>
      <w:ind/>
    </w:pPr>
  </w:style>
  <w:style w:type="paragraph" w:styleId="1062">
    <w:name w:val="Caption"/>
    <w:basedOn w:val="1022"/>
    <w:link w:val="1067"/>
    <w:pPr>
      <w:pBdr/>
      <w:spacing w:after="120"/>
      <w:ind/>
    </w:pPr>
    <w:rPr>
      <w:i/>
    </w:rPr>
  </w:style>
  <w:style w:type="paragraph" w:styleId="1063" w:customStyle="1">
    <w:name w:val="Table Caption"/>
    <w:basedOn w:val="1062"/>
    <w:pPr>
      <w:keepNext w:val="true"/>
      <w:pBdr/>
      <w:spacing/>
      <w:ind/>
    </w:pPr>
  </w:style>
  <w:style w:type="paragraph" w:styleId="1064" w:customStyle="1">
    <w:name w:val="Image Caption"/>
    <w:basedOn w:val="1062"/>
    <w:pPr>
      <w:pBdr/>
      <w:spacing/>
      <w:ind/>
    </w:pPr>
  </w:style>
  <w:style w:type="paragraph" w:styleId="1065" w:customStyle="1">
    <w:name w:val="Figure"/>
    <w:basedOn w:val="1022"/>
    <w:pPr>
      <w:pBdr/>
      <w:spacing/>
      <w:ind/>
    </w:pPr>
  </w:style>
  <w:style w:type="paragraph" w:styleId="1066" w:customStyle="1">
    <w:name w:val="Captioned Figure"/>
    <w:basedOn w:val="1065"/>
    <w:pPr>
      <w:keepNext w:val="true"/>
      <w:pBdr/>
      <w:spacing/>
      <w:ind/>
    </w:pPr>
  </w:style>
  <w:style w:type="character" w:styleId="1067" w:customStyle="1">
    <w:name w:val="Didascalia Carattere"/>
    <w:basedOn w:val="1032"/>
    <w:link w:val="1062"/>
    <w:pPr>
      <w:pBdr/>
      <w:spacing/>
      <w:ind/>
    </w:pPr>
  </w:style>
  <w:style w:type="character" w:styleId="1068" w:customStyle="1">
    <w:name w:val="Verbatim Char"/>
    <w:basedOn w:val="1067"/>
    <w:link w:val="1073"/>
    <w:pPr>
      <w:pBdr/>
      <w:spacing/>
      <w:ind/>
    </w:pPr>
    <w:rPr>
      <w:rFonts w:ascii="Consolas" w:hAnsi="Consolas"/>
      <w:sz w:val="22"/>
    </w:rPr>
  </w:style>
  <w:style w:type="character" w:styleId="1069" w:customStyle="1">
    <w:name w:val="Section Number"/>
    <w:basedOn w:val="1067"/>
    <w:pPr>
      <w:pBdr/>
      <w:spacing/>
      <w:ind/>
    </w:pPr>
  </w:style>
  <w:style w:type="character" w:styleId="1070">
    <w:name w:val="footnote reference"/>
    <w:basedOn w:val="1067"/>
    <w:pPr>
      <w:pBdr/>
      <w:spacing/>
      <w:ind/>
    </w:pPr>
    <w:rPr>
      <w:vertAlign w:val="superscript"/>
    </w:rPr>
  </w:style>
  <w:style w:type="character" w:styleId="1071">
    <w:name w:val="Hyperlink"/>
    <w:basedOn w:val="1067"/>
    <w:uiPriority w:val="99"/>
    <w:pPr>
      <w:pBdr/>
      <w:spacing/>
      <w:ind/>
    </w:pPr>
    <w:rPr>
      <w:color w:val="156082" w:themeColor="accent1"/>
    </w:rPr>
  </w:style>
  <w:style w:type="paragraph" w:styleId="1072">
    <w:name w:val="TOC Heading"/>
    <w:basedOn w:val="1023"/>
    <w:next w:val="1035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1073" w:customStyle="1">
    <w:name w:val="Source Code"/>
    <w:basedOn w:val="1022"/>
    <w:link w:val="1068"/>
    <w:pPr>
      <w:pBdr/>
      <w:spacing/>
      <w:ind/>
    </w:pPr>
  </w:style>
  <w:style w:type="character" w:styleId="1074" w:customStyle="1">
    <w:name w:val="KeywordTok"/>
    <w:basedOn w:val="1068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75" w:customStyle="1">
    <w:name w:val="DataTypeTok"/>
    <w:basedOn w:val="1068"/>
    <w:pPr>
      <w:pBdr/>
      <w:spacing/>
      <w:ind/>
    </w:pPr>
    <w:rPr>
      <w:rFonts w:ascii="Consolas" w:hAnsi="Consolas"/>
      <w:color w:val="902000"/>
      <w:sz w:val="22"/>
    </w:rPr>
  </w:style>
  <w:style w:type="character" w:styleId="1076" w:customStyle="1">
    <w:name w:val="DecValTok"/>
    <w:basedOn w:val="1068"/>
    <w:pPr>
      <w:pBdr/>
      <w:spacing/>
      <w:ind/>
    </w:pPr>
    <w:rPr>
      <w:rFonts w:ascii="Consolas" w:hAnsi="Consolas"/>
      <w:color w:val="40a070"/>
      <w:sz w:val="22"/>
    </w:rPr>
  </w:style>
  <w:style w:type="character" w:styleId="1077" w:customStyle="1">
    <w:name w:val="BaseNTok"/>
    <w:basedOn w:val="1068"/>
    <w:pPr>
      <w:pBdr/>
      <w:spacing/>
      <w:ind/>
    </w:pPr>
    <w:rPr>
      <w:rFonts w:ascii="Consolas" w:hAnsi="Consolas"/>
      <w:color w:val="40a070"/>
      <w:sz w:val="22"/>
    </w:rPr>
  </w:style>
  <w:style w:type="character" w:styleId="1078" w:customStyle="1">
    <w:name w:val="FloatTok"/>
    <w:basedOn w:val="1068"/>
    <w:pPr>
      <w:pBdr/>
      <w:spacing/>
      <w:ind/>
    </w:pPr>
    <w:rPr>
      <w:rFonts w:ascii="Consolas" w:hAnsi="Consolas"/>
      <w:color w:val="40a070"/>
      <w:sz w:val="22"/>
    </w:rPr>
  </w:style>
  <w:style w:type="character" w:styleId="1079" w:customStyle="1">
    <w:name w:val="ConstantTok"/>
    <w:basedOn w:val="1068"/>
    <w:pPr>
      <w:pBdr/>
      <w:spacing/>
      <w:ind/>
    </w:pPr>
    <w:rPr>
      <w:rFonts w:ascii="Consolas" w:hAnsi="Consolas"/>
      <w:color w:val="880000"/>
      <w:sz w:val="22"/>
    </w:rPr>
  </w:style>
  <w:style w:type="character" w:styleId="1080" w:customStyle="1">
    <w:name w:val="CharTok"/>
    <w:basedOn w:val="1068"/>
    <w:pPr>
      <w:pBdr/>
      <w:spacing/>
      <w:ind/>
    </w:pPr>
    <w:rPr>
      <w:rFonts w:ascii="Consolas" w:hAnsi="Consolas"/>
      <w:color w:val="4070a0"/>
      <w:sz w:val="22"/>
    </w:rPr>
  </w:style>
  <w:style w:type="character" w:styleId="1081" w:customStyle="1">
    <w:name w:val="SpecialCharTok"/>
    <w:basedOn w:val="1068"/>
    <w:pPr>
      <w:pBdr/>
      <w:spacing/>
      <w:ind/>
    </w:pPr>
    <w:rPr>
      <w:rFonts w:ascii="Consolas" w:hAnsi="Consolas"/>
      <w:color w:val="4070a0"/>
      <w:sz w:val="22"/>
    </w:rPr>
  </w:style>
  <w:style w:type="character" w:styleId="1082" w:customStyle="1">
    <w:name w:val="StringTok"/>
    <w:basedOn w:val="1068"/>
    <w:pPr>
      <w:pBdr/>
      <w:spacing/>
      <w:ind/>
    </w:pPr>
    <w:rPr>
      <w:rFonts w:ascii="Consolas" w:hAnsi="Consolas"/>
      <w:color w:val="4070a0"/>
      <w:sz w:val="22"/>
    </w:rPr>
  </w:style>
  <w:style w:type="character" w:styleId="1083" w:customStyle="1">
    <w:name w:val="VerbatimStringTok"/>
    <w:basedOn w:val="1068"/>
    <w:pPr>
      <w:pBdr/>
      <w:spacing/>
      <w:ind/>
    </w:pPr>
    <w:rPr>
      <w:rFonts w:ascii="Consolas" w:hAnsi="Consolas"/>
      <w:color w:val="4070a0"/>
      <w:sz w:val="22"/>
    </w:rPr>
  </w:style>
  <w:style w:type="character" w:styleId="1084" w:customStyle="1">
    <w:name w:val="SpecialStringTok"/>
    <w:basedOn w:val="1068"/>
    <w:pPr>
      <w:pBdr/>
      <w:spacing/>
      <w:ind/>
    </w:pPr>
    <w:rPr>
      <w:rFonts w:ascii="Consolas" w:hAnsi="Consolas"/>
      <w:color w:val="bb6688"/>
      <w:sz w:val="22"/>
    </w:rPr>
  </w:style>
  <w:style w:type="character" w:styleId="1085" w:customStyle="1">
    <w:name w:val="ImportTok"/>
    <w:basedOn w:val="1068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1086" w:customStyle="1">
    <w:name w:val="CommentTok"/>
    <w:basedOn w:val="1068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1087" w:customStyle="1">
    <w:name w:val="DocumentationTok"/>
    <w:basedOn w:val="1068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1088" w:customStyle="1">
    <w:name w:val="AnnotationTok"/>
    <w:basedOn w:val="1068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89" w:customStyle="1">
    <w:name w:val="CommentVarTok"/>
    <w:basedOn w:val="1068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90" w:customStyle="1">
    <w:name w:val="OtherTok"/>
    <w:basedOn w:val="1068"/>
    <w:pPr>
      <w:pBdr/>
      <w:spacing/>
      <w:ind/>
    </w:pPr>
    <w:rPr>
      <w:rFonts w:ascii="Consolas" w:hAnsi="Consolas"/>
      <w:color w:val="007020"/>
      <w:sz w:val="22"/>
    </w:rPr>
  </w:style>
  <w:style w:type="character" w:styleId="1091" w:customStyle="1">
    <w:name w:val="FunctionTok"/>
    <w:basedOn w:val="1068"/>
    <w:pPr>
      <w:pBdr/>
      <w:spacing/>
      <w:ind/>
    </w:pPr>
    <w:rPr>
      <w:rFonts w:ascii="Consolas" w:hAnsi="Consolas"/>
      <w:color w:val="06287e"/>
      <w:sz w:val="22"/>
    </w:rPr>
  </w:style>
  <w:style w:type="character" w:styleId="1092" w:customStyle="1">
    <w:name w:val="VariableTok"/>
    <w:basedOn w:val="1068"/>
    <w:pPr>
      <w:pBdr/>
      <w:spacing/>
      <w:ind/>
    </w:pPr>
    <w:rPr>
      <w:rFonts w:ascii="Consolas" w:hAnsi="Consolas"/>
      <w:color w:val="19177c"/>
      <w:sz w:val="22"/>
    </w:rPr>
  </w:style>
  <w:style w:type="character" w:styleId="1093" w:customStyle="1">
    <w:name w:val="ControlFlowTok"/>
    <w:basedOn w:val="1068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94" w:customStyle="1">
    <w:name w:val="OperatorTok"/>
    <w:basedOn w:val="1068"/>
    <w:pPr>
      <w:pBdr/>
      <w:spacing/>
      <w:ind/>
    </w:pPr>
    <w:rPr>
      <w:rFonts w:ascii="Consolas" w:hAnsi="Consolas"/>
      <w:color w:val="666666"/>
      <w:sz w:val="22"/>
    </w:rPr>
  </w:style>
  <w:style w:type="character" w:styleId="1095" w:customStyle="1">
    <w:name w:val="BuiltInTok"/>
    <w:basedOn w:val="1068"/>
    <w:pPr>
      <w:pBdr/>
      <w:spacing/>
      <w:ind/>
    </w:pPr>
    <w:rPr>
      <w:rFonts w:ascii="Consolas" w:hAnsi="Consolas"/>
      <w:color w:val="008000"/>
      <w:sz w:val="22"/>
    </w:rPr>
  </w:style>
  <w:style w:type="character" w:styleId="1096" w:customStyle="1">
    <w:name w:val="ExtensionTok"/>
    <w:basedOn w:val="1068"/>
    <w:pPr>
      <w:pBdr/>
      <w:spacing/>
      <w:ind/>
    </w:pPr>
    <w:rPr>
      <w:rFonts w:ascii="Consolas" w:hAnsi="Consolas"/>
      <w:sz w:val="22"/>
    </w:rPr>
  </w:style>
  <w:style w:type="character" w:styleId="1097" w:customStyle="1">
    <w:name w:val="PreprocessorTok"/>
    <w:basedOn w:val="1068"/>
    <w:pPr>
      <w:pBdr/>
      <w:spacing/>
      <w:ind/>
    </w:pPr>
    <w:rPr>
      <w:rFonts w:ascii="Consolas" w:hAnsi="Consolas"/>
      <w:color w:val="bc7a00"/>
      <w:sz w:val="22"/>
    </w:rPr>
  </w:style>
  <w:style w:type="character" w:styleId="1098" w:customStyle="1">
    <w:name w:val="AttributeTok"/>
    <w:basedOn w:val="1068"/>
    <w:pPr>
      <w:pBdr/>
      <w:spacing/>
      <w:ind/>
    </w:pPr>
    <w:rPr>
      <w:rFonts w:ascii="Consolas" w:hAnsi="Consolas"/>
      <w:color w:val="7d9029"/>
      <w:sz w:val="22"/>
    </w:rPr>
  </w:style>
  <w:style w:type="character" w:styleId="1099" w:customStyle="1">
    <w:name w:val="RegionMarkerTok"/>
    <w:basedOn w:val="1068"/>
    <w:pPr>
      <w:pBdr/>
      <w:spacing/>
      <w:ind/>
    </w:pPr>
    <w:rPr>
      <w:rFonts w:ascii="Consolas" w:hAnsi="Consolas"/>
      <w:sz w:val="22"/>
    </w:rPr>
  </w:style>
  <w:style w:type="character" w:styleId="1100" w:customStyle="1">
    <w:name w:val="InformationTok"/>
    <w:basedOn w:val="1068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101" w:customStyle="1">
    <w:name w:val="WarningTok"/>
    <w:basedOn w:val="1068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102" w:customStyle="1">
    <w:name w:val="AlertTok"/>
    <w:basedOn w:val="1068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103" w:customStyle="1">
    <w:name w:val="ErrorTok"/>
    <w:basedOn w:val="1068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104" w:customStyle="1">
    <w:name w:val="NormalTok"/>
    <w:basedOn w:val="1068"/>
    <w:pPr>
      <w:pBdr/>
      <w:spacing/>
      <w:ind/>
    </w:pPr>
    <w:rPr>
      <w:rFonts w:ascii="Consolas" w:hAnsi="Consolas"/>
      <w:sz w:val="22"/>
    </w:rPr>
  </w:style>
  <w:style w:type="paragraph" w:styleId="1105">
    <w:name w:val="Header"/>
    <w:basedOn w:val="1022"/>
    <w:link w:val="1106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106" w:customStyle="1">
    <w:name w:val="Intestazione Carattere"/>
    <w:basedOn w:val="1032"/>
    <w:link w:val="1105"/>
    <w:uiPriority w:val="99"/>
    <w:pPr>
      <w:pBdr/>
      <w:spacing/>
      <w:ind/>
    </w:pPr>
  </w:style>
  <w:style w:type="paragraph" w:styleId="1107">
    <w:name w:val="Footer"/>
    <w:basedOn w:val="1022"/>
    <w:link w:val="1108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108" w:customStyle="1">
    <w:name w:val="Piè di pagina Carattere"/>
    <w:basedOn w:val="1032"/>
    <w:link w:val="1107"/>
    <w:uiPriority w:val="99"/>
    <w:pPr>
      <w:pBdr/>
      <w:spacing/>
      <w:ind/>
    </w:pPr>
  </w:style>
  <w:style w:type="table" w:styleId="1109">
    <w:name w:val="Table Grid"/>
    <w:basedOn w:val="1033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10">
    <w:name w:val="toc 1"/>
    <w:basedOn w:val="1022"/>
    <w:next w:val="1022"/>
    <w:uiPriority w:val="39"/>
    <w:pPr>
      <w:pBdr/>
      <w:spacing w:after="100"/>
      <w:ind/>
    </w:pPr>
  </w:style>
  <w:style w:type="paragraph" w:styleId="1111">
    <w:name w:val="toc 2"/>
    <w:basedOn w:val="1022"/>
    <w:next w:val="1022"/>
    <w:uiPriority w:val="39"/>
    <w:pPr>
      <w:pBdr/>
      <w:spacing w:after="100"/>
      <w:ind w:left="240"/>
    </w:pPr>
  </w:style>
  <w:style w:type="paragraph" w:styleId="1112">
    <w:name w:val="toc 3"/>
    <w:basedOn w:val="1022"/>
    <w:next w:val="1022"/>
    <w:uiPriority w:val="39"/>
    <w:pPr>
      <w:pBdr/>
      <w:spacing w:after="100"/>
      <w:ind w:left="480"/>
    </w:pPr>
  </w:style>
  <w:style w:type="table" w:styleId="1113">
    <w:name w:val="Plain Table 1"/>
    <w:basedOn w:val="1033"/>
    <w:pPr>
      <w:pBdr/>
      <w:spacing w:after="0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comments" Target="comments.xml" /><Relationship Id="rId18" Type="http://schemas.microsoft.com/office/2011/relationships/commentsExtended" Target="commentsExtended.xml" /><Relationship Id="rId19" Type="http://schemas.microsoft.com/office/2018/08/relationships/commentsExtensible" Target="commentsExtensible.xml" /><Relationship Id="rId20" Type="http://schemas.microsoft.com/office/2016/09/relationships/commentsIds" Target="commentsIds.xml" /><Relationship Id="rId21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dc:language>it</dc:language>
  <cp:lastModifiedBy>Francesco Scavello</cp:lastModifiedBy>
  <cp:revision>10</cp:revision>
  <dcterms:created xsi:type="dcterms:W3CDTF">2025-10-14T14:57:00Z</dcterms:created>
  <dcterms:modified xsi:type="dcterms:W3CDTF">2025-10-29T11:01:15Z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