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82"/>
        <w:pBdr/>
        <w:spacing/>
        <w:ind/>
        <w:jc w:val="center"/>
        <w:rPr>
          <w:rFonts w:asciiTheme="majorHAnsi" w:hAnsiTheme="majorHAnsi" w:eastAsiaTheme="majorEastAsia" w:cstheme="majorBidi"/>
          <w:spacing w:val="-10"/>
          <w:sz w:val="56"/>
          <w:szCs w:val="56"/>
        </w:rPr>
      </w:pPr>
      <w:r/>
      <w:bookmarkStart w:id="0" w:name="Xb86a0334da18bd5dcadfa5ca6143a46167e6f72"/>
      <w:r/>
      <w:bookmarkStart w:id="1" w:name="content"/>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982"/>
        <w:pBdr/>
        <w:spacing/>
        <w:ind/>
        <w:jc w:val="center"/>
        <w:rPr>
          <w:rFonts w:asciiTheme="majorHAnsi" w:hAnsiTheme="majorHAnsi" w:eastAsiaTheme="majorEastAsia" w:cstheme="majorBidi"/>
          <w:spacing w:val="-10"/>
          <w:sz w:val="56"/>
          <w:szCs w:val="56"/>
        </w:rPr>
      </w:pP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982"/>
        <w:pBdr/>
        <w:spacing/>
        <w:ind/>
        <w:jc w:val="center"/>
        <w:rPr>
          <w:rFonts w:asciiTheme="majorHAnsi" w:hAnsiTheme="majorHAnsi" w:eastAsiaTheme="majorEastAsia" w:cstheme="majorBidi"/>
          <w:spacing w:val="-10"/>
          <w:sz w:val="56"/>
          <w:szCs w:val="56"/>
        </w:rPr>
      </w:pP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982"/>
        <w:pBdr/>
        <w:spacing/>
        <w:ind/>
        <w:jc w:val="center"/>
        <w:rPr>
          <w:lang w:val="it-IT"/>
        </w:rPr>
      </w:pPr>
      <w:r>
        <w:rPr>
          <w:rFonts w:asciiTheme="majorHAnsi" w:hAnsiTheme="majorHAnsi" w:eastAsiaTheme="majorEastAsia" w:cstheme="majorBidi"/>
          <w:spacing w:val="-10"/>
          <w:sz w:val="56"/>
          <w:szCs w:val="56"/>
        </w:rPr>
        <w:t xml:space="preserve">PROC-09 – Gestione di Infortuni, Incidenti e </w:t>
      </w:r>
      <w:r>
        <w:rPr>
          <w:rFonts w:asciiTheme="majorHAnsi" w:hAnsiTheme="majorHAnsi" w:eastAsiaTheme="majorEastAsia" w:cstheme="majorBidi"/>
          <w:spacing w:val="-10"/>
          <w:sz w:val="56"/>
          <w:szCs w:val="56"/>
        </w:rPr>
        <w:t xml:space="preserve">Near</w:t>
      </w:r>
      <w:r>
        <w:rPr>
          <w:rFonts w:asciiTheme="majorHAnsi" w:hAnsiTheme="majorHAnsi" w:eastAsiaTheme="majorEastAsia" w:cstheme="majorBidi"/>
          <w:spacing w:val="-10"/>
          <w:sz w:val="56"/>
          <w:szCs w:val="56"/>
        </w:rPr>
        <w:t xml:space="preserve"> Miss</w:t>
      </w:r>
      <w:r>
        <w:rPr>
          <w:lang w:val="it-IT"/>
        </w:rPr>
      </w:r>
      <w:r>
        <w:rPr>
          <w:lang w:val="it-IT"/>
        </w:rPr>
      </w:r>
    </w:p>
    <w:tbl>
      <w:tblPr>
        <w:tblW w:w="0" w:type="auto"/>
        <w:tblBorders/>
        <w:tblLook w:val="04A0" w:firstRow="1" w:lastRow="0" w:firstColumn="1" w:lastColumn="0" w:noHBand="0" w:noVBand="1"/>
        <w:tblStyle w:val="1055"/>
      </w:tblPr>
      <w:tblGrid>
        <w:gridCol w:w="10173"/>
      </w:tblGrid>
      <w:tr>
        <w:trPr>
          <w:trHeight w:val="1200"/>
        </w:trPr>
        <w:tc>
          <w:tcPr>
            <w:tcBorders/>
            <w:tcW w:w="10173" w:type="dxa"/>
            <w:textDirection w:val="lrTb"/>
            <w:noWrap w:val="false"/>
          </w:tcPr>
          <w:p>
            <w:pPr>
              <w:pStyle w:val="982"/>
              <w:pBdr/>
              <w:spacing w:after="0" w:before="0"/>
              <w:ind/>
              <w:rPr>
                <w:lang w:val="it-IT"/>
              </w:rPr>
            </w:pPr>
            <w:r>
              <w:rPr>
                <w:lang w:val="it-IT"/>
              </w:rPr>
              <mc:AlternateContent>
                <mc:Choice Requires="wpg">
                  <w:drawing>
                    <wp:inline xmlns:wp="http://schemas.openxmlformats.org/drawingml/2006/wordprocessingDrawing" distT="0" distB="0" distL="0" distR="0">
                      <wp:extent cx="5114925" cy="19050"/>
                      <wp:effectExtent l="0" t="0" r="0" b="0"/>
                      <wp:docPr id="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pic:cNvPicPr>
                              <pic:nvPr/>
                            </pic:nvPicPr>
                            <pic:blipFill>
                              <a:blip r:embed="rId15"/>
                              <a:stretch/>
                            </pic:blipFill>
                            <pic:spPr bwMode="auto">
                              <a:xfrm>
                                <a:off x="0" y="0"/>
                                <a:ext cx="5114925" cy="190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2.75pt;height:1.50pt;mso-wrap-distance-left:0.00pt;mso-wrap-distance-top:0.00pt;mso-wrap-distance-right:0.00pt;mso-wrap-distance-bottom:0.00pt;z-index:1;" stroked="f">
                      <v:imagedata r:id="rId15" o:title=""/>
                      <o:lock v:ext="edit" rotation="t"/>
                    </v:shape>
                  </w:pict>
                </mc:Fallback>
              </mc:AlternateContent>
            </w:r>
            <w:r>
              <w:rPr>
                <w:lang w:val="it-IT"/>
              </w:rPr>
            </w:r>
            <w:r>
              <w:rPr>
                <w:lang w:val="it-IT"/>
              </w:rPr>
            </w:r>
          </w:p>
          <w:p>
            <w:pPr>
              <w:pStyle w:val="982"/>
              <w:pBdr/>
              <w:spacing w:after="0" w:before="0"/>
              <w:ind/>
              <w:rPr>
                <w:lang w:val="it-IT"/>
              </w:rPr>
            </w:pPr>
            <w:r>
              <w:rPr>
                <w:lang w:val="it-IT"/>
              </w:rPr>
              <w:t xml:space="preserve">COPIA</w:t>
            </w:r>
            <w:r>
              <w:rPr>
                <w:lang w:val="it-IT"/>
              </w:rPr>
            </w:r>
            <w:r>
              <w:rPr>
                <w:lang w:val="it-IT"/>
              </w:rPr>
            </w:r>
          </w:p>
          <w:p>
            <w:pPr>
              <w:pStyle w:val="982"/>
              <w:pBdr/>
              <w:spacing w:after="0" w:before="0"/>
              <w:ind/>
              <w:rPr>
                <w:lang w:val="it-IT"/>
              </w:rPr>
            </w:pPr>
            <w:r>
              <w:rPr>
                <w:lang w:val="it-IT"/>
              </w:rPr>
              <w:t xml:space="preserve"> </w:t>
            </w:r>
            <w:r>
              <w:rPr>
                <w:lang w:val="it-IT"/>
              </w:rPr>
            </w:r>
            <w:r>
              <w:rPr>
                <w:lang w:val="it-IT"/>
              </w:rPr>
            </w:r>
          </w:p>
          <w:p>
            <w:pPr>
              <w:pStyle w:val="982"/>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pic:cNvPicPr>
                              <pic:nvPr/>
                            </pic:nvPicPr>
                            <pic:blipFill>
                              <a:blip r:embed="rId16"/>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2.75pt;height:12.75pt;mso-wrap-distance-left:0.00pt;mso-wrap-distance-top:0.00pt;mso-wrap-distance-right:0.00pt;mso-wrap-distance-bottom:0.00pt;z-index:1;" stroked="f">
                      <v:imagedata r:id="rId16" o:title=""/>
                      <o:lock v:ext="edit" rotation="t"/>
                    </v:shape>
                  </w:pict>
                </mc:Fallback>
              </mc:AlternateContent>
            </w:r>
            <w:r>
              <w:rPr>
                <w:lang w:val="it-IT"/>
              </w:rPr>
              <w:t xml:space="preserve">controllata         </w:t>
            </w:r>
            <w:r>
              <w:rPr>
                <w:lang w:val="it-IT"/>
              </w:rPr>
            </w:r>
            <w:r>
              <w:rPr>
                <w:lang w:val="it-IT"/>
              </w:rPr>
            </w:r>
          </w:p>
          <w:p>
            <w:pPr>
              <w:pStyle w:val="982"/>
              <w:pBdr/>
              <w:spacing w:after="0" w:before="0"/>
              <w:ind/>
              <w:rPr>
                <w:lang w:val="it-IT"/>
              </w:rPr>
            </w:pPr>
            <w:r>
              <w:rPr>
                <w:lang w:val="it-IT"/>
              </w:rPr>
              <w:t xml:space="preserve"> </w:t>
            </w:r>
            <w:r>
              <w:rPr>
                <w:lang w:val="it-IT"/>
              </w:rPr>
            </w:r>
            <w:r>
              <w:rPr>
                <w:lang w:val="it-IT"/>
              </w:rPr>
            </w:r>
          </w:p>
          <w:p>
            <w:pPr>
              <w:pStyle w:val="982"/>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4"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pic:cNvPicPr>
                              <pic:nvPr/>
                            </pic:nvPicPr>
                            <pic:blipFill>
                              <a:blip r:embed="rId16"/>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75pt;height:12.75pt;mso-wrap-distance-left:0.00pt;mso-wrap-distance-top:0.00pt;mso-wrap-distance-right:0.00pt;mso-wrap-distance-bottom:0.00pt;z-index:1;" stroked="f">
                      <v:imagedata r:id="rId16" o:title=""/>
                      <o:lock v:ext="edit" rotation="t"/>
                    </v:shape>
                  </w:pict>
                </mc:Fallback>
              </mc:AlternateContent>
            </w:r>
            <w:r>
              <w:rPr>
                <w:lang w:val="it-IT"/>
              </w:rPr>
              <w:t xml:space="preserve">non controllata</w:t>
            </w:r>
            <w:r>
              <w:rPr>
                <w:lang w:val="it-IT"/>
              </w:rPr>
            </w:r>
            <w:r>
              <w:rPr>
                <w:lang w:val="it-IT"/>
              </w:rPr>
            </w:r>
          </w:p>
        </w:tc>
      </w:tr>
    </w:tbl>
    <w:p>
      <w:pPr>
        <w:pStyle w:val="982"/>
        <w:pBdr/>
        <w:spacing/>
        <w:ind/>
        <w:rPr>
          <w:lang w:val="it-IT"/>
        </w:rPr>
      </w:pPr>
      <w:r>
        <w:rPr>
          <w:lang w:val="it-IT"/>
        </w:rPr>
        <w:t xml:space="preserve"> </w:t>
      </w:r>
      <w:r>
        <w:rPr>
          <w:lang w:val="it-IT"/>
        </w:rPr>
      </w:r>
      <w:r>
        <w:rPr>
          <w:lang w:val="it-IT"/>
        </w:rPr>
      </w:r>
    </w:p>
    <w:p>
      <w:pPr>
        <w:pStyle w:val="982"/>
        <w:pBdr/>
        <w:spacing/>
        <w:ind/>
        <w:rPr>
          <w:lang w:val="it-IT"/>
        </w:rPr>
      </w:pPr>
      <w:r>
        <w:rPr>
          <w:lang w:val="it-IT"/>
        </w:rPr>
        <w:t xml:space="preserve">  </w:t>
      </w:r>
      <w:r>
        <w:rPr>
          <w:lang w:val="it-IT"/>
        </w:rPr>
      </w:r>
      <w:r>
        <w:rPr>
          <w:lang w:val="it-IT"/>
        </w:rPr>
      </w:r>
    </w:p>
    <w:tbl>
      <w:tblPr>
        <w:tblW w:w="0" w:type="auto"/>
        <w:tblCellMar>
          <w:left w:w="71" w:type="dxa"/>
          <w:right w:w="71"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Spacing w:w="0" w:type="dxa"/>
        <w:tblLook w:val="04A0" w:firstRow="1" w:lastRow="0" w:firstColumn="1" w:lastColumn="0" w:noHBand="0" w:noVBand="1"/>
      </w:tblPr>
      <w:tblGrid>
        <w:gridCol w:w="724"/>
        <w:gridCol w:w="4650"/>
        <w:gridCol w:w="1425"/>
        <w:gridCol w:w="1486"/>
        <w:gridCol w:w="1923"/>
      </w:tblGrid>
      <w:tr>
        <w:trPr>
          <w:tblCellSpacing w:w="0" w:type="dxa"/>
        </w:trPr>
        <w:tc>
          <w:tcPr>
            <w:gridSpan w:val="3"/>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592" w:type="dxa"/>
            <w:vAlign w:val="center"/>
            <w:textDirection w:val="lrTb"/>
            <w:noWrap w:val="false"/>
          </w:tcPr>
          <w:p>
            <w:pPr>
              <w:pStyle w:val="982"/>
              <w:pBdr/>
              <w:spacing/>
              <w:ind/>
              <w:rPr>
                <w:lang w:val="it-IT"/>
              </w:rPr>
            </w:pPr>
            <w:r>
              <w:rPr>
                <w:b/>
                <w:bCs/>
                <w:lang w:val="it-IT"/>
              </w:rPr>
              <w:t xml:space="preserve">STATO DELLE REVISIONI</w:t>
            </w:r>
            <w:r>
              <w:rPr>
                <w:lang w:val="it-IT"/>
              </w:rPr>
            </w:r>
            <w:r>
              <w:rPr>
                <w:lang w:val="it-IT"/>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203" w:type="dxa"/>
            <w:vAlign w:val="center"/>
            <w:textDirection w:val="lrTb"/>
            <w:noWrap w:val="false"/>
          </w:tcPr>
          <w:p>
            <w:pPr>
              <w:pStyle w:val="982"/>
              <w:pBdr/>
              <w:spacing/>
              <w:ind/>
              <w:rPr>
                <w:lang w:val="it-IT"/>
              </w:rPr>
            </w:pPr>
            <w:r>
              <w:rPr>
                <w:b/>
                <w:bCs/>
                <w:lang w:val="it-IT"/>
              </w:rPr>
              <w:t xml:space="preserve">ITER DI EMISSIONE</w:t>
            </w:r>
            <w:r>
              <w:rPr>
                <w:lang w:val="it-IT"/>
              </w:rPr>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982"/>
              <w:pBdr/>
              <w:spacing/>
              <w:ind/>
              <w:rPr>
                <w:lang w:val="it-IT"/>
              </w:rPr>
            </w:pPr>
            <w:r>
              <w:rPr>
                <w:lang w:val="it-IT"/>
              </w:rPr>
              <w:t xml:space="preserve">REV.</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982"/>
              <w:pBdr/>
              <w:spacing/>
              <w:ind/>
              <w:rPr>
                <w:lang w:val="it-IT"/>
              </w:rPr>
            </w:pPr>
            <w:r>
              <w:rPr>
                <w:lang w:val="it-IT"/>
              </w:rPr>
              <w:t xml:space="preserve">MOTIVO DELLA REVISIONE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982"/>
              <w:pBdr/>
              <w:spacing/>
              <w:ind/>
              <w:rPr>
                <w:lang w:val="it-IT"/>
              </w:rPr>
            </w:pPr>
            <w:r>
              <w:rPr>
                <w:lang w:val="it-IT"/>
              </w:rPr>
              <w:t xml:space="preserve">DATA</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982"/>
              <w:pBdr/>
              <w:spacing/>
              <w:ind/>
              <w:rPr>
                <w:lang w:val="it-IT"/>
              </w:rPr>
            </w:pPr>
            <w:r>
              <w:rPr>
                <w:lang w:val="it-IT"/>
              </w:rPr>
              <w:t xml:space="preserve">REDAZIONE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982"/>
              <w:pBdr/>
              <w:spacing/>
              <w:ind/>
              <w:rPr>
                <w:lang w:val="it-IT"/>
              </w:rPr>
            </w:pPr>
            <w:r>
              <w:rPr>
                <w:lang w:val="it-IT"/>
              </w:rPr>
              <w:t xml:space="preserve">APPROVAZIONE</w:t>
            </w:r>
            <w:r>
              <w:rPr>
                <w:lang w:val="it-IT"/>
              </w:rPr>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982"/>
              <w:pBdr/>
              <w:spacing/>
              <w:ind/>
              <w:rPr>
                <w:lang w:val="it-IT"/>
              </w:rPr>
            </w:pPr>
            <w:r>
              <w:rPr>
                <w:lang w:val="it-IT"/>
              </w:rPr>
              <w:t xml:space="preserve">0</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982"/>
              <w:pBdr/>
              <w:spacing/>
              <w:ind/>
              <w:rPr>
                <w:lang w:val="it-IT"/>
              </w:rPr>
            </w:pPr>
            <w:r>
              <w:rPr>
                <w:lang w:val="it-IT"/>
              </w:rPr>
              <w:t xml:space="preserve">Nuova Emissione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982"/>
              <w:pBdr/>
              <w:spacing/>
              <w:ind/>
              <w:rPr>
                <w:lang w:val="it-IT"/>
              </w:rPr>
            </w:pPr>
            <w:r>
              <w:rPr>
                <w:lang w:val="it-IT"/>
              </w:rPr>
              <w:t xml:space="preserve">14/10/2025</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982"/>
              <w:pBdr/>
              <w:spacing/>
              <w:ind/>
              <w:rPr>
                <w:lang w:val="it-IT"/>
              </w:rPr>
            </w:pPr>
            <w:r>
              <w:rPr>
                <w:lang w:val="it-IT"/>
              </w:rPr>
              <w:t xml:space="preserve"> </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982"/>
              <w:pBdr/>
              <w:spacing/>
              <w:ind/>
              <w:rPr>
                <w:lang w:val="it-IT"/>
              </w:rPr>
            </w:pPr>
            <w:r>
              <w:rPr>
                <w:lang w:val="it-IT"/>
              </w:rPr>
              <w:t xml:space="preserve"> </w:t>
            </w:r>
            <w:r>
              <w:rPr>
                <w:lang w:val="it-IT"/>
              </w:rPr>
            </w:r>
            <w:r>
              <w:rPr>
                <w:lang w:val="it-IT"/>
              </w:rPr>
            </w:r>
          </w:p>
        </w:tc>
      </w:tr>
    </w:tbl>
    <w:p>
      <w:pPr>
        <w:pStyle w:val="982"/>
        <w:pBdr/>
        <w:spacing/>
        <w:ind/>
        <w:rPr>
          <w:lang w:val="it-IT"/>
        </w:rPr>
      </w:pPr>
      <w:r>
        <w:rPr>
          <w:lang w:val="it-IT"/>
        </w:rPr>
        <w:t xml:space="preserve"> </w:t>
      </w:r>
      <w:r>
        <w:rPr>
          <w:lang w:val="it-IT"/>
        </w:rPr>
      </w:r>
      <w:r>
        <w:rPr>
          <w:lang w:val="it-IT"/>
        </w:rPr>
      </w:r>
    </w:p>
    <w:p>
      <w:pPr>
        <w:pBdr/>
        <w:spacing/>
        <w:ind/>
        <w:rPr/>
      </w:pPr>
      <w:r>
        <w:br w:type="page" w:clear="all"/>
      </w:r>
      <w:r/>
    </w:p>
    <w:sdt>
      <w:sdtPr>
        <w15:appearance w15:val="boundingBox"/>
        <w:id w:val="-781731850"/>
        <w:docPartObj>
          <w:docPartGallery w:val="Table of Contents"/>
          <w:docPartUnique w:val="true"/>
        </w:docPartObj>
        <w:rPr>
          <w:rFonts w:asciiTheme="minorHAnsi" w:hAnsiTheme="minorHAnsi" w:eastAsiaTheme="minorHAnsi" w:cstheme="minorBidi"/>
          <w:color w:val="auto"/>
          <w:sz w:val="24"/>
          <w:szCs w:val="24"/>
          <w:lang w:val="it-IT"/>
        </w:rPr>
      </w:sdtPr>
      <w:sdtContent>
        <w:p>
          <w:pPr>
            <w:pStyle w:val="969"/>
            <w:numPr>
              <w:ilvl w:val="0"/>
              <w:numId w:val="0"/>
            </w:numPr>
            <w:pBdr/>
            <w:spacing/>
            <w:ind w:hanging="360" w:left="360"/>
            <w:rPr/>
          </w:pPr>
          <w:r/>
          <w:bookmarkStart w:id="2" w:name="_Toc211437479"/>
          <w:r>
            <w:rPr>
              <w:lang w:val="it-IT"/>
            </w:rPr>
            <w:t xml:space="preserve">Sommario</w:t>
          </w:r>
          <w:bookmarkEnd w:id="2"/>
          <w:r/>
          <w:r/>
        </w:p>
        <w:p>
          <w:pPr>
            <w:pStyle w:val="1056"/>
            <w:pBdr/>
            <w:tabs>
              <w:tab w:val="right" w:leader="dot" w:pos="9962"/>
            </w:tabs>
            <w:spacing/>
            <w:ind/>
            <w:rPr>
              <w:rFonts w:eastAsiaTheme="minorEastAsia"/>
              <w:lang w:val="it-IT" w:eastAsia="it-IT"/>
              <w14:ligatures w14:val="standardContextual"/>
            </w:rPr>
          </w:pPr>
          <w:r>
            <w:fldChar w:fldCharType="begin"/>
          </w:r>
          <w:r>
            <w:instrText xml:space="preserve"> TOC \o "1-3" \h \z \u </w:instrText>
          </w:r>
          <w:r>
            <w:fldChar w:fldCharType="separate"/>
          </w:r>
          <w:hyperlink w:tooltip="#_Toc211437479" w:anchor="_Toc211437479" w:history="1">
            <w:r>
              <w:rPr>
                <w:rStyle w:val="1017"/>
                <w:lang w:val="it-IT"/>
              </w:rPr>
              <w:t xml:space="preserve">Sommario</w:t>
            </w:r>
            <w:r>
              <w:tab/>
            </w:r>
            <w:r>
              <w:fldChar w:fldCharType="begin"/>
            </w:r>
            <w:r>
              <w:instrText xml:space="preserve"> PAGEREF _Toc211437479 \h </w:instrText>
            </w:r>
            <w:r>
              <w:fldChar w:fldCharType="separate"/>
            </w:r>
            <w:r>
              <w:t xml:space="preserve">2</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437480" w:anchor="_Toc211437480" w:history="1">
            <w:r>
              <w:rPr>
                <w:rStyle w:val="1017"/>
              </w:rPr>
              <w:t xml:space="preserve">1.</w:t>
            </w:r>
            <w:r>
              <w:rPr>
                <w:rFonts w:eastAsiaTheme="minorEastAsia"/>
                <w:lang w:val="it-IT" w:eastAsia="it-IT"/>
                <w14:ligatures w14:val="standardContextual"/>
              </w:rPr>
              <w:tab/>
            </w:r>
            <w:r>
              <w:rPr>
                <w:rStyle w:val="1017"/>
              </w:rPr>
              <w:t xml:space="preserve">Scopo</w:t>
            </w:r>
            <w:r>
              <w:tab/>
            </w:r>
            <w:r>
              <w:fldChar w:fldCharType="begin"/>
            </w:r>
            <w:r>
              <w:instrText xml:space="preserve"> PAGEREF _Toc211437480 \h </w:instrText>
            </w:r>
            <w:r>
              <w:fldChar w:fldCharType="separate"/>
            </w:r>
            <w:r>
              <w:t xml:space="preserve">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437481" w:anchor="_Toc211437481" w:history="1">
            <w:r>
              <w:rPr>
                <w:rStyle w:val="1017"/>
              </w:rPr>
              <w:t xml:space="preserve">2.</w:t>
            </w:r>
            <w:r>
              <w:rPr>
                <w:rFonts w:eastAsiaTheme="minorEastAsia"/>
                <w:lang w:val="it-IT" w:eastAsia="it-IT"/>
                <w14:ligatures w14:val="standardContextual"/>
              </w:rPr>
              <w:tab/>
            </w:r>
            <w:r>
              <w:rPr>
                <w:rStyle w:val="1017"/>
              </w:rPr>
              <w:t xml:space="preserve">Campo di Applicazione</w:t>
            </w:r>
            <w:r>
              <w:tab/>
            </w:r>
            <w:r>
              <w:fldChar w:fldCharType="begin"/>
            </w:r>
            <w:r>
              <w:instrText xml:space="preserve"> PAGEREF _Toc211437481 \h </w:instrText>
            </w:r>
            <w:r>
              <w:fldChar w:fldCharType="separate"/>
            </w:r>
            <w:r>
              <w:t xml:space="preserve">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437482" w:anchor="_Toc211437482" w:history="1">
            <w:r>
              <w:rPr>
                <w:rStyle w:val="1017"/>
              </w:rPr>
              <w:t xml:space="preserve">3.</w:t>
            </w:r>
            <w:r>
              <w:rPr>
                <w:rFonts w:eastAsiaTheme="minorEastAsia"/>
                <w:lang w:val="it-IT" w:eastAsia="it-IT"/>
                <w14:ligatures w14:val="standardContextual"/>
              </w:rPr>
              <w:tab/>
            </w:r>
            <w:r>
              <w:rPr>
                <w:rStyle w:val="1017"/>
              </w:rPr>
              <w:t xml:space="preserve">Riferimenti</w:t>
            </w:r>
            <w:r>
              <w:tab/>
            </w:r>
            <w:r>
              <w:fldChar w:fldCharType="begin"/>
            </w:r>
            <w:r>
              <w:instrText xml:space="preserve"> PAGEREF _Toc211437482 \h </w:instrText>
            </w:r>
            <w:r>
              <w:fldChar w:fldCharType="separate"/>
            </w:r>
            <w:r>
              <w:t xml:space="preserve">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437483" w:anchor="_Toc211437483" w:history="1">
            <w:r>
              <w:rPr>
                <w:rStyle w:val="1017"/>
              </w:rPr>
              <w:t xml:space="preserve">4.</w:t>
            </w:r>
            <w:r>
              <w:rPr>
                <w:rFonts w:eastAsiaTheme="minorEastAsia"/>
                <w:lang w:val="it-IT" w:eastAsia="it-IT"/>
                <w14:ligatures w14:val="standardContextual"/>
              </w:rPr>
              <w:tab/>
            </w:r>
            <w:r>
              <w:rPr>
                <w:rStyle w:val="1017"/>
              </w:rPr>
              <w:t xml:space="preserve">Definizioni e Modalità Operative</w:t>
            </w:r>
            <w:r>
              <w:tab/>
            </w:r>
            <w:r>
              <w:fldChar w:fldCharType="begin"/>
            </w:r>
            <w:r>
              <w:instrText xml:space="preserve"> PAGEREF _Toc211437483 \h </w:instrText>
            </w:r>
            <w:r>
              <w:fldChar w:fldCharType="separate"/>
            </w:r>
            <w:r>
              <w:t xml:space="preserve">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437484" w:anchor="_Toc211437484" w:history="1">
            <w:r>
              <w:rPr>
                <w:rStyle w:val="1017"/>
              </w:rPr>
              <w:t xml:space="preserve">5.</w:t>
            </w:r>
            <w:r>
              <w:rPr>
                <w:rFonts w:eastAsiaTheme="minorEastAsia"/>
                <w:lang w:val="it-IT" w:eastAsia="it-IT"/>
                <w14:ligatures w14:val="standardContextual"/>
              </w:rPr>
              <w:tab/>
            </w:r>
            <w:r>
              <w:rPr>
                <w:rStyle w:val="1017"/>
              </w:rPr>
              <w:t xml:space="preserve">Matrice RACI</w:t>
            </w:r>
            <w:r>
              <w:tab/>
            </w:r>
            <w:r>
              <w:fldChar w:fldCharType="begin"/>
            </w:r>
            <w:r>
              <w:instrText xml:space="preserve"> PAGEREF _Toc211437484 \h </w:instrText>
            </w:r>
            <w:r>
              <w:fldChar w:fldCharType="separate"/>
            </w:r>
            <w:r>
              <w:t xml:space="preserve">6</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437485" w:anchor="_Toc211437485" w:history="1">
            <w:r>
              <w:rPr>
                <w:rStyle w:val="1017"/>
              </w:rPr>
              <w:t xml:space="preserve">6.</w:t>
            </w:r>
            <w:r>
              <w:rPr>
                <w:rFonts w:eastAsiaTheme="minorEastAsia"/>
                <w:lang w:val="it-IT" w:eastAsia="it-IT"/>
                <w14:ligatures w14:val="standardContextual"/>
              </w:rPr>
              <w:tab/>
            </w:r>
            <w:r>
              <w:rPr>
                <w:rStyle w:val="1017"/>
              </w:rPr>
              <w:t xml:space="preserve">KPI</w:t>
            </w:r>
            <w:r>
              <w:tab/>
            </w:r>
            <w:r>
              <w:fldChar w:fldCharType="begin"/>
            </w:r>
            <w:r>
              <w:instrText xml:space="preserve"> PAGEREF _Toc211437485 \h </w:instrText>
            </w:r>
            <w:r>
              <w:fldChar w:fldCharType="separate"/>
            </w:r>
            <w:r>
              <w:t xml:space="preserve">6</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437486" w:anchor="_Toc211437486" w:history="1">
            <w:r>
              <w:rPr>
                <w:rStyle w:val="1017"/>
              </w:rPr>
              <w:t xml:space="preserve">7.</w:t>
            </w:r>
            <w:r>
              <w:rPr>
                <w:rFonts w:eastAsiaTheme="minorEastAsia"/>
                <w:lang w:val="it-IT" w:eastAsia="it-IT"/>
                <w14:ligatures w14:val="standardContextual"/>
              </w:rPr>
              <w:tab/>
            </w:r>
            <w:r>
              <w:rPr>
                <w:rStyle w:val="1017"/>
              </w:rPr>
              <w:t xml:space="preserve">Modulistica</w:t>
            </w:r>
            <w:r>
              <w:tab/>
            </w:r>
            <w:r>
              <w:fldChar w:fldCharType="begin"/>
            </w:r>
            <w:r>
              <w:instrText xml:space="preserve"> PAGEREF _Toc211437486 \h </w:instrText>
            </w:r>
            <w:r>
              <w:fldChar w:fldCharType="separate"/>
            </w:r>
            <w:r>
              <w:t xml:space="preserve">6</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56"/>
            <w:pBdr/>
            <w:tabs>
              <w:tab w:val="left" w:leader="none" w:pos="480"/>
              <w:tab w:val="right" w:leader="dot" w:pos="9962"/>
            </w:tabs>
            <w:spacing/>
            <w:ind/>
            <w:rPr>
              <w:rFonts w:eastAsiaTheme="minorEastAsia"/>
              <w:lang w:val="it-IT" w:eastAsia="it-IT"/>
              <w14:ligatures w14:val="standardContextual"/>
            </w:rPr>
          </w:pPr>
          <w:r/>
          <w:hyperlink w:tooltip="#_Toc211437487" w:anchor="_Toc211437487" w:history="1">
            <w:r>
              <w:rPr>
                <w:rStyle w:val="1017"/>
              </w:rPr>
              <w:t xml:space="preserve">8.</w:t>
            </w:r>
            <w:r>
              <w:rPr>
                <w:rFonts w:eastAsiaTheme="minorEastAsia"/>
                <w:lang w:val="it-IT" w:eastAsia="it-IT"/>
                <w14:ligatures w14:val="standardContextual"/>
              </w:rPr>
              <w:tab/>
            </w:r>
            <w:r>
              <w:rPr>
                <w:rStyle w:val="1017"/>
              </w:rPr>
              <w:t xml:space="preserve">Controlli Previsti</w:t>
            </w:r>
            <w:r>
              <w:tab/>
            </w:r>
            <w:r>
              <w:fldChar w:fldCharType="begin"/>
            </w:r>
            <w:r>
              <w:instrText xml:space="preserve"> PAGEREF _Toc211437487 \h </w:instrText>
            </w:r>
            <w:r>
              <w:fldChar w:fldCharType="separate"/>
            </w:r>
            <w:r>
              <w:t xml:space="preserve">7</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Bdr/>
            <w:spacing/>
            <w:ind/>
            <w:rPr/>
          </w:pPr>
          <w:r>
            <w:rPr>
              <w:b/>
              <w:bCs/>
            </w:rPr>
            <w:fldChar w:fldCharType="end"/>
          </w:r>
          <w:r/>
        </w:p>
      </w:sdtContent>
    </w:sdt>
    <w:p>
      <w:pPr>
        <w:pBdr/>
        <w:spacing/>
        <w:ind/>
        <w:rPr/>
      </w:pPr>
      <w:r/>
      <w:bookmarkStart w:id="3" w:name="citations"/>
      <w:r/>
      <w:bookmarkEnd w:id="0"/>
      <w:r/>
      <w:bookmarkEnd w:id="1"/>
      <w:r>
        <w:br w:type="page" w:clear="all"/>
      </w:r>
      <w:r/>
    </w:p>
    <w:p>
      <w:pPr>
        <w:pStyle w:val="969"/>
        <w:pBdr/>
        <w:spacing/>
        <w:ind/>
        <w:rPr/>
      </w:pPr>
      <w:r/>
      <w:bookmarkStart w:id="4" w:name="_Toc211437480"/>
      <w:r>
        <w:t xml:space="preserve">Scopo</w:t>
      </w:r>
      <w:bookmarkEnd w:id="4"/>
      <w:r/>
      <w:r/>
    </w:p>
    <w:p>
      <w:pPr>
        <w:pStyle w:val="982"/>
        <w:pBdr/>
        <w:spacing/>
        <w:ind/>
        <w:rPr/>
      </w:pPr>
      <w:r>
        <w:t xml:space="preserve">Fornire un metodo strutturato per la gestione degli infortuni sul lavoro (dalla prestazione del primo soccorso alla denuncia assicurativa), degli incidenti (eventi con danni materiali) e dei </w:t>
      </w:r>
      <w:r>
        <w:rPr>
          <w:i/>
          <w:iCs/>
        </w:rPr>
        <w:t xml:space="preserve">near</w:t>
      </w:r>
      <w:r>
        <w:rPr>
          <w:i/>
          <w:iCs/>
        </w:rPr>
        <w:t xml:space="preserve"> miss</w:t>
      </w:r>
      <w:r>
        <w:t xml:space="preserve"> o “quasi incidenti” (eventi che potevano causare danno ma non l’han</w:t>
      </w:r>
      <w:r>
        <w:t xml:space="preserve">no provocato per circostanze fortuite). L’obiettivo è trattare adeguatamente ogni evento, adempiere agli obblighi di legge di comunicazione, e soprattutto analizzarne le cause per prevenire il ripetersi, in ottica di miglioramento continuo della sicurezza.</w:t>
      </w:r>
      <w:r/>
    </w:p>
    <w:p>
      <w:pPr>
        <w:pStyle w:val="969"/>
        <w:pBdr/>
        <w:spacing/>
        <w:ind/>
        <w:rPr/>
      </w:pPr>
      <w:r/>
      <w:bookmarkStart w:id="5" w:name="_Toc211437481"/>
      <w:r>
        <w:t xml:space="preserve">Campo di Applicazione</w:t>
      </w:r>
      <w:bookmarkEnd w:id="5"/>
      <w:r/>
      <w:r/>
    </w:p>
    <w:p>
      <w:pPr>
        <w:pStyle w:val="981"/>
        <w:pBdr/>
        <w:spacing/>
        <w:ind/>
        <w:rPr/>
      </w:pPr>
      <w:r>
        <w:t xml:space="preserve">Tutti gli incidenti occorsi in ambito lavorativo che coinvolgano dipendenti di </w:t>
      </w:r>
      <w:r>
        <w:t xml:space="preserve">Agrumigel</w:t>
      </w:r>
      <w:r>
        <w:t xml:space="preserve"> o personale esterno operante presso l’azienda (appaltatori, visitatori), nonché i mancati infortuni segnalati. La procedura copre tanto gli infortuni lievi (senza assenza o con prognosi breve) quanto quelli gravi e gli eventi di potenziale gravità.</w:t>
      </w:r>
      <w:r/>
    </w:p>
    <w:p>
      <w:pPr>
        <w:pStyle w:val="969"/>
        <w:pBdr/>
        <w:spacing/>
        <w:ind/>
        <w:rPr/>
      </w:pPr>
      <w:r/>
      <w:bookmarkStart w:id="6" w:name="_Toc211437482"/>
      <w:r>
        <w:t xml:space="preserve">Riferimenti</w:t>
      </w:r>
      <w:bookmarkEnd w:id="6"/>
      <w:r/>
      <w:r/>
    </w:p>
    <w:tbl>
      <w:tblPr>
        <w:tblW w:w="0" w:type="auto"/>
        <w:tblBorders/>
        <w:tblLook w:val="0420" w:firstRow="1" w:lastRow="0" w:firstColumn="0" w:lastColumn="0" w:noHBand="0" w:noVBand="1"/>
        <w:tblStyle w:val="1059"/>
      </w:tblPr>
      <w:tblGrid>
        <w:gridCol w:w="5056"/>
        <w:gridCol w:w="5056"/>
      </w:tblGrid>
      <w:tr>
        <w:trPr/>
        <w:tc>
          <w:tcPr>
            <w:tcBorders/>
            <w:tcW w:w="5056" w:type="dxa"/>
            <w:textDirection w:val="lrTb"/>
            <w:noWrap w:val="false"/>
          </w:tcPr>
          <w:p>
            <w:pPr>
              <w:pBdr/>
              <w:spacing/>
              <w:ind/>
              <w:rPr/>
            </w:pPr>
            <w:r>
              <w:t xml:space="preserve">Riferimento</w:t>
            </w:r>
            <w:r/>
          </w:p>
        </w:tc>
        <w:tc>
          <w:tcPr>
            <w:tcBorders/>
            <w:tcW w:w="5056" w:type="dxa"/>
            <w:textDirection w:val="lrTb"/>
            <w:noWrap w:val="false"/>
          </w:tcPr>
          <w:p>
            <w:pPr>
              <w:pBdr/>
              <w:spacing/>
              <w:ind/>
              <w:rPr/>
            </w:pPr>
            <w:r>
              <w:t xml:space="preserve">Contenuto principale</w:t>
            </w:r>
            <w:r/>
          </w:p>
        </w:tc>
      </w:tr>
      <w:tr>
        <w:trPr/>
        <w:tc>
          <w:tcPr>
            <w:tcBorders/>
            <w:tcW w:w="5056" w:type="dxa"/>
            <w:textDirection w:val="lrTb"/>
            <w:noWrap w:val="false"/>
          </w:tcPr>
          <w:p>
            <w:pPr>
              <w:pBdr/>
              <w:spacing/>
              <w:ind/>
              <w:rPr/>
            </w:pPr>
            <w:r>
              <w:t xml:space="preserve">D.Lgs.</w:t>
            </w:r>
            <w:r>
              <w:t xml:space="preserve"> 81/2008 art.18</w:t>
            </w:r>
            <w:r/>
          </w:p>
        </w:tc>
        <w:tc>
          <w:tcPr>
            <w:tcBorders/>
            <w:tcW w:w="5056" w:type="dxa"/>
            <w:textDirection w:val="lrTb"/>
            <w:noWrap w:val="false"/>
          </w:tcPr>
          <w:p>
            <w:pPr>
              <w:pBdr/>
              <w:spacing/>
              <w:ind/>
              <w:rPr/>
            </w:pPr>
            <w:r>
              <w:t xml:space="preserve">Obbligo datore di lavoro denuncia infortuni &gt; medialmente 1 giorno a INAIL</w:t>
            </w:r>
            <w:r/>
          </w:p>
        </w:tc>
      </w:tr>
      <w:tr>
        <w:trPr/>
        <w:tc>
          <w:tcPr>
            <w:tcBorders/>
            <w:tcW w:w="5056" w:type="dxa"/>
            <w:textDirection w:val="lrTb"/>
            <w:noWrap w:val="false"/>
          </w:tcPr>
          <w:p>
            <w:pPr>
              <w:pBdr/>
              <w:spacing/>
              <w:ind/>
              <w:rPr/>
            </w:pPr>
            <w:r>
              <w:t xml:space="preserve">D.Lgs.</w:t>
            </w:r>
            <w:r>
              <w:t xml:space="preserve"> 81/2008 art. 35</w:t>
            </w:r>
            <w:r/>
          </w:p>
        </w:tc>
        <w:tc>
          <w:tcPr>
            <w:tcBorders/>
            <w:tcW w:w="5056" w:type="dxa"/>
            <w:textDirection w:val="lrTb"/>
            <w:noWrap w:val="false"/>
          </w:tcPr>
          <w:p>
            <w:pPr>
              <w:pBdr/>
              <w:spacing/>
              <w:ind/>
              <w:rPr/>
            </w:pPr>
            <w:r>
              <w:t xml:space="preserve">Riunione periodica include discussione infortuni e cause</w:t>
            </w:r>
            <w:r/>
          </w:p>
        </w:tc>
      </w:tr>
      <w:tr>
        <w:trPr/>
        <w:tc>
          <w:tcPr>
            <w:tcBorders/>
            <w:tcW w:w="5056" w:type="dxa"/>
            <w:textDirection w:val="lrTb"/>
            <w:noWrap w:val="false"/>
          </w:tcPr>
          <w:p>
            <w:pPr>
              <w:pBdr/>
              <w:spacing/>
              <w:ind/>
              <w:rPr/>
            </w:pPr>
            <w:r>
              <w:t xml:space="preserve">Regolamento INAIL</w:t>
            </w:r>
            <w:r/>
          </w:p>
        </w:tc>
        <w:tc>
          <w:tcPr>
            <w:tcBorders/>
            <w:tcW w:w="5056" w:type="dxa"/>
            <w:textDirection w:val="lrTb"/>
            <w:noWrap w:val="false"/>
          </w:tcPr>
          <w:p>
            <w:pPr>
              <w:pBdr/>
              <w:spacing/>
              <w:ind/>
              <w:rPr/>
            </w:pPr>
            <w:r>
              <w:t xml:space="preserve">Denuncia e registrazione infortuni (registro infortuni non più obbligatorio, ma tenuto a fini interni)</w:t>
            </w:r>
            <w:r/>
          </w:p>
        </w:tc>
      </w:tr>
      <w:tr>
        <w:trPr/>
        <w:tc>
          <w:tcPr>
            <w:tcBorders/>
            <w:tcW w:w="5056" w:type="dxa"/>
            <w:textDirection w:val="lrTb"/>
            <w:noWrap w:val="false"/>
          </w:tcPr>
          <w:p>
            <w:pPr>
              <w:pBdr/>
              <w:spacing/>
              <w:ind/>
              <w:rPr/>
            </w:pPr>
            <w:r>
              <w:t xml:space="preserve">Norme ISO 45001:2018 sez.10</w:t>
            </w:r>
            <w:r/>
          </w:p>
        </w:tc>
        <w:tc>
          <w:tcPr>
            <w:tcBorders/>
            <w:tcW w:w="5056" w:type="dxa"/>
            <w:textDirection w:val="lrTb"/>
            <w:noWrap w:val="false"/>
          </w:tcPr>
          <w:p>
            <w:pPr>
              <w:pBdr/>
              <w:spacing/>
              <w:ind/>
              <w:rPr/>
            </w:pPr>
            <w:r>
              <w:t xml:space="preserve">Incident</w:t>
            </w:r>
            <w:r>
              <w:t xml:space="preserve"> </w:t>
            </w:r>
            <w:r>
              <w:t xml:space="preserve">Investigation</w:t>
            </w:r>
            <w:r/>
          </w:p>
        </w:tc>
      </w:tr>
      <w:tr>
        <w:trPr/>
        <w:tc>
          <w:tcPr>
            <w:tcBorders/>
            <w:tcW w:w="5056" w:type="dxa"/>
            <w:textDirection w:val="lrTb"/>
            <w:noWrap w:val="false"/>
          </w:tcPr>
          <w:p>
            <w:pPr>
              <w:pBdr/>
              <w:spacing/>
              <w:ind/>
              <w:rPr/>
            </w:pPr>
            <w:r>
              <w:t xml:space="preserve">Linee guida Inail</w:t>
            </w:r>
            <w:r/>
          </w:p>
        </w:tc>
        <w:tc>
          <w:tcPr>
            <w:tcBorders/>
            <w:tcW w:w="5056" w:type="dxa"/>
            <w:textDirection w:val="lrTb"/>
            <w:noWrap w:val="false"/>
          </w:tcPr>
          <w:p>
            <w:pPr>
              <w:pBdr/>
              <w:spacing/>
              <w:ind/>
              <w:rPr/>
            </w:pPr>
            <w:r>
              <w:t xml:space="preserve">Near</w:t>
            </w:r>
            <w:r>
              <w:t xml:space="preserve"> miss</w:t>
            </w:r>
            <w:r/>
          </w:p>
        </w:tc>
      </w:tr>
      <w:tr>
        <w:trPr/>
        <w:tc>
          <w:tcPr>
            <w:tcBorders/>
            <w:tcW w:w="5056" w:type="dxa"/>
            <w:textDirection w:val="lrTb"/>
            <w:noWrap w:val="false"/>
          </w:tcPr>
          <w:p>
            <w:pPr>
              <w:pBdr/>
              <w:spacing/>
              <w:ind/>
              <w:rPr/>
            </w:pPr>
            <w:r>
              <w:t xml:space="preserve">DVR</w:t>
            </w:r>
            <w:r/>
          </w:p>
        </w:tc>
        <w:tc>
          <w:tcPr>
            <w:tcBorders/>
            <w:tcW w:w="5056" w:type="dxa"/>
            <w:textDirection w:val="lrTb"/>
            <w:noWrap w:val="false"/>
          </w:tcPr>
          <w:p>
            <w:pPr>
              <w:pBdr/>
              <w:spacing/>
              <w:ind/>
              <w:rPr/>
            </w:pPr>
            <w:r>
              <w:t xml:space="preserve">Capitolo statistiche infortuni</w:t>
            </w:r>
            <w:r/>
          </w:p>
        </w:tc>
      </w:tr>
      <w:tr>
        <w:trPr/>
        <w:tc>
          <w:tcPr>
            <w:tcBorders/>
            <w:tcW w:w="5056" w:type="dxa"/>
            <w:textDirection w:val="lrTb"/>
            <w:noWrap w:val="false"/>
          </w:tcPr>
          <w:p>
            <w:pPr>
              <w:pBdr/>
              <w:spacing/>
              <w:ind/>
              <w:rPr/>
            </w:pPr>
            <w:r>
              <w:t xml:space="preserve">Modulo interno</w:t>
            </w:r>
            <w:r/>
          </w:p>
        </w:tc>
        <w:tc>
          <w:tcPr>
            <w:tcBorders/>
            <w:tcW w:w="5056" w:type="dxa"/>
            <w:textDirection w:val="lrTb"/>
            <w:noWrap w:val="false"/>
          </w:tcPr>
          <w:p>
            <w:pPr>
              <w:pBdr/>
              <w:spacing/>
              <w:ind/>
              <w:rPr/>
            </w:pPr>
            <w:r>
              <w:t xml:space="preserve">Segnalazione quasi incidente</w:t>
            </w:r>
            <w:r/>
          </w:p>
        </w:tc>
      </w:tr>
    </w:tbl>
    <w:p>
      <w:pPr>
        <w:pBdr/>
        <w:spacing/>
        <w:ind/>
        <w:rPr/>
      </w:pPr>
      <w:r/>
      <w:r/>
    </w:p>
    <w:p>
      <w:pPr>
        <w:pStyle w:val="969"/>
        <w:pBdr/>
        <w:spacing/>
        <w:ind/>
        <w:rPr/>
      </w:pPr>
      <w:r/>
      <w:bookmarkStart w:id="7" w:name="_Toc211437483"/>
      <w:r>
        <w:t xml:space="preserve">Definizioni e </w:t>
      </w:r>
      <w:r>
        <w:t xml:space="preserve">Modalità Operative</w:t>
      </w:r>
      <w:bookmarkEnd w:id="7"/>
      <w:r/>
      <w:r/>
    </w:p>
    <w:p>
      <w:pPr>
        <w:pStyle w:val="981"/>
        <w:numPr>
          <w:ilvl w:val="0"/>
          <w:numId w:val="5"/>
        </w:numPr>
        <w:pBdr/>
        <w:spacing/>
        <w:ind/>
        <w:rPr/>
      </w:pPr>
      <w:r>
        <w:rPr>
          <w:b/>
          <w:bCs/>
        </w:rPr>
        <w:t xml:space="preserve">Gestione Immediata dell’Infortunio:</w:t>
      </w:r>
      <w:r>
        <w:t xml:space="preserve"> In caso di infortunio occorso a un lavoratore, la priorità è la gestione sanitaria: l’Addetto di Primo Soccorso più vicino viene allertato e interviene con la cassetta di PS. Se necessario, viene chiamato il 118/112 per soccorso medi</w:t>
      </w:r>
      <w:r>
        <w:t xml:space="preserve">co professionale (in parallelo, come da PROC-01 Gestione Emergenze). Il preposto dell’area mette in sicurezza la zona (es. spegne macchinario se ancora in moto, isola l’area per evitare ulteriori coinvolgimenti) e raccoglie le prime informazioni su cosa è </w:t>
      </w:r>
      <w:r>
        <w:t xml:space="preserve">accaduto. Qualora l’infortunato sia cosciente, gli si chiede di descrivere l’accaduto; eventuali testimoni vengono individuati. Il lavoratore infortunato viene accompagnato al pronto socco</w:t>
      </w:r>
      <w:r>
        <w:t xml:space="preserve">rso se necessario o gestito internamente se di lieve entità (es. piccola ferita) compatibilmente con le procedure. Anche in caso di incidente senza feriti ma con danni (es. crollo scaffale, rovesciamento carrello), mettere in sicurezza l’area e le persone.</w:t>
      </w:r>
      <w:r/>
    </w:p>
    <w:p>
      <w:pPr>
        <w:pStyle w:val="981"/>
        <w:numPr>
          <w:ilvl w:val="0"/>
          <w:numId w:val="5"/>
        </w:numPr>
        <w:pBdr/>
        <w:spacing/>
        <w:ind/>
        <w:rPr/>
      </w:pPr>
      <w:r>
        <w:rPr>
          <w:b/>
          <w:bCs/>
        </w:rPr>
        <w:t xml:space="preserve">Comunicazioni interne:</w:t>
      </w:r>
      <w:r>
        <w:t xml:space="preserve"> Il preposto informa immediatamente il Datore di Lavoro (o un suo delegato, es. RSPP o dirigente di stabilimento) di ogni infortunio significativo. Per infortuni con prognosi presumibile oltre il primo</w:t>
      </w:r>
      <w:r>
        <w:t xml:space="preserve"> soccorso, il RSPP viene attivato a recarsi sul posto per valutazione. Se l’evento è grave (morte o pericolo di vita, amputazioni, incidente plurimo), oltre ai soccorsi va allertato immediatamente l’organo di vigilanza (es. ASL) come da art.54 DPR 1124/65.</w:t>
      </w:r>
      <w:r/>
    </w:p>
    <w:p>
      <w:pPr>
        <w:pStyle w:val="981"/>
        <w:numPr>
          <w:ilvl w:val="0"/>
          <w:numId w:val="5"/>
        </w:numPr>
        <w:pBdr/>
        <w:spacing/>
        <w:ind/>
        <w:rPr/>
      </w:pPr>
      <w:r>
        <w:rPr>
          <w:b/>
          <w:bCs/>
        </w:rPr>
        <w:t xml:space="preserve">Indagine e Raccolta Dati:</w:t>
      </w:r>
      <w:r>
        <w:t xml:space="preserve"> Una volta stabilizzata la situazione, entro 24-48 ore il RSPP insieme al preposto ed eventuale RLS effettua un’indagine sull’evento. Vengono compilati i moduli </w:t>
      </w:r>
      <w:r>
        <w:rPr>
          <w:b/>
          <w:bCs/>
        </w:rPr>
        <w:t xml:space="preserve">MOD-04 Scheda Infortunio</w:t>
      </w:r>
      <w:r>
        <w:t xml:space="preserve"> o </w:t>
      </w:r>
      <w:r>
        <w:rPr>
          <w:b/>
          <w:bCs/>
        </w:rPr>
        <w:t xml:space="preserve">MOD-05 Segnalazione Quasi Infortunio</w:t>
      </w:r>
      <w:r>
        <w:t xml:space="preserve"> a seconda dei casi, raccogliendo: generalità dell’infortunato, data e ora, luogo, dinamica descritta (chi faceva cosa, evento scatenante), lesioni riportate (per</w:t>
      </w:r>
      <w:r>
        <w:t xml:space="preserve"> infortunio), danni materiali (per incidente), testimoni e cause immediate apparenti. Si acquisiscono fotografie del luogo, si preservano se possibile eventuali oggetti coinvolti (es. utensile rotto, DPI danneggiato). L’indagine mira a identificare sia le </w:t>
      </w:r>
      <w:r>
        <w:rPr>
          <w:b/>
          <w:bCs/>
        </w:rPr>
        <w:t xml:space="preserve">cause immediate</w:t>
      </w:r>
      <w:r>
        <w:t xml:space="preserve"> (es. errore operatore, guasto attrezzatura, condizione pericolosa) sia le </w:t>
      </w:r>
      <w:r>
        <w:rPr>
          <w:b/>
          <w:bCs/>
        </w:rPr>
        <w:t xml:space="preserve">cause profonde</w:t>
      </w:r>
      <w:r>
        <w:t xml:space="preserve"> o di sistema (es. carenza di formazione, procedura non adeguata, mancata manutenzione). Si utilizza metodica 5-Why o diagramma di Ishikawa se opportuno. Il RSPP redige un rapporto investigativo dettagliato.</w:t>
      </w:r>
      <w:r/>
    </w:p>
    <w:p>
      <w:pPr>
        <w:pStyle w:val="981"/>
        <w:numPr>
          <w:ilvl w:val="0"/>
          <w:numId w:val="5"/>
        </w:numPr>
        <w:pBdr/>
        <w:spacing/>
        <w:ind/>
        <w:rPr/>
      </w:pPr>
      <w:r>
        <w:rPr>
          <w:b/>
          <w:bCs/>
        </w:rPr>
        <w:t xml:space="preserve">Classificazione e Registrazione:</w:t>
      </w:r>
      <w:r>
        <w:t xml:space="preserve"> Ogni infortunio viene cl</w:t>
      </w:r>
      <w:r>
        <w:t xml:space="preserve">assificato in base alla gravità (lieve: &lt;1 giorno di assenza; con prognosi breve: 1-3 giorni; medio: 4-30 giorni; grave: &gt;30 giorni o particolare – ad esempio amputazione, infortunio mortale). Indipendentemente dalla gravità, l’evento viene registrato nel </w:t>
      </w:r>
      <w:r>
        <w:rPr>
          <w:i/>
          <w:iCs/>
        </w:rPr>
        <w:t xml:space="preserve">Registro Infortuni interno</w:t>
      </w:r>
      <w:r>
        <w:t xml:space="preserve"> (facoltativo ma consigliato per storicità) con numero progressivo annuo, e archiviato unitamente alla scheda infortunio e alla copia della denuncia INAIL (se dovuta). I </w:t>
      </w:r>
      <w:r>
        <w:t xml:space="preserve">near</w:t>
      </w:r>
      <w:r>
        <w:t xml:space="preserve"> miss vengono anch’essi registrati su apposito registro o file, con la loro descrizione e le azioni intraprese.</w:t>
      </w:r>
      <w:r/>
    </w:p>
    <w:p>
      <w:pPr>
        <w:pStyle w:val="981"/>
        <w:numPr>
          <w:ilvl w:val="0"/>
          <w:numId w:val="5"/>
        </w:numPr>
        <w:pBdr/>
        <w:spacing/>
        <w:ind/>
        <w:rPr/>
      </w:pPr>
      <w:r>
        <w:rPr>
          <w:b/>
          <w:bCs/>
        </w:rPr>
        <w:t xml:space="preserve">Comunicazioni all’esterno:</w:t>
      </w:r>
      <w:r>
        <w:t xml:space="preserve"> L’Ufficio del Personale provvede alle denunce obbligatorie: invio della denuncia/comunicazione di infortunio a INAI</w:t>
      </w:r>
      <w:r>
        <w:t xml:space="preserve">L in via telematica entro 48 ore dall’evento se con prognosi superiore a 3 giorni (escluso quello dell’evento), e anche per infortuni &gt; 1 giorno a fini statistici (vigenza attuale obbligo comunicazione breve infortuni). Per gli infortuni mortali o con peri</w:t>
      </w:r>
      <w:r>
        <w:t xml:space="preserve">colo vita, come detto, immediata comunicazione a autorità di Pubblica Sicurezza e ASL. Se l’infortunio coinvolge un lavoratore di ditta appaltatrice, l’azienda committente collabora ma è il datore di lavoro dell’infortunato a dover fare la denuncia INAIL; </w:t>
      </w:r>
      <w:r>
        <w:t xml:space="preserve">tuttavia</w:t>
      </w:r>
      <w:r>
        <w:t xml:space="preserve"> </w:t>
      </w:r>
      <w:r>
        <w:t xml:space="preserve">Agrumigel</w:t>
      </w:r>
      <w:r>
        <w:t xml:space="preserve"> informa formalmente l’azienda appaltatrice e documenta l’accaduto (la relazione tecnica sarà condivisa). In caso di </w:t>
      </w:r>
      <w:r>
        <w:t xml:space="preserve">evento grave, la scena dell’infortunio deve essere lasciata intatta a disposizione degli organi ispettivi (salvo necessità di prevenire ulteriori rischi).</w:t>
      </w:r>
      <w:r/>
    </w:p>
    <w:p>
      <w:pPr>
        <w:pStyle w:val="981"/>
        <w:numPr>
          <w:ilvl w:val="0"/>
          <w:numId w:val="5"/>
        </w:numPr>
        <w:pBdr/>
        <w:spacing/>
        <w:ind/>
        <w:rPr/>
      </w:pPr>
      <w:r>
        <w:rPr>
          <w:b/>
          <w:bCs/>
        </w:rPr>
        <w:t xml:space="preserve">Azioni Correttive e Follow-up:</w:t>
      </w:r>
      <w:r>
        <w:t xml:space="preserve"> In base ai risultati dell’indagine, il Datore d</w:t>
      </w:r>
      <w:r>
        <w:t xml:space="preserve">i Lavoro con RSPP e RLS definisce misure correttive per evitare il ripetersi dell’evento. Queste possono includere: revisione di una procedura operativa, formazione aggiuntiva al personale, modifica di un macchinario (es. aggiunta di protezioni), segnaleti</w:t>
      </w:r>
      <w:r>
        <w:t xml:space="preserve">ca o dispositivi supplementari, sanzioni disciplinari se l’evento è stato causato da infrazione deliberata, o altre azioni. Le azioni vengono elencate sul rapporto e assegnati responsabili e tempi. L’efficacia delle azioni sarà verificata (ad es. se entro </w:t>
      </w:r>
      <w:r>
        <w:t xml:space="preserve">3</w:t>
      </w:r>
      <w:r>
        <w:t xml:space="preserve"> mesi la misura è implementata e se non si sono più verificati casi analoghi).</w:t>
      </w:r>
      <w:r/>
    </w:p>
    <w:p>
      <w:pPr>
        <w:pStyle w:val="981"/>
        <w:numPr>
          <w:ilvl w:val="0"/>
          <w:numId w:val="5"/>
        </w:numPr>
        <w:pBdr/>
        <w:spacing/>
        <w:ind/>
        <w:rPr/>
      </w:pPr>
      <w:r>
        <w:rPr>
          <w:b/>
          <w:bCs/>
        </w:rPr>
        <w:t xml:space="preserve">Gestione del Rientro al Lavoro:</w:t>
      </w:r>
      <w:r>
        <w:t xml:space="preserve"> Per infortuni con assenza, al rientro il lavoratore consegna il certificato di chiusura i</w:t>
      </w:r>
      <w:r>
        <w:t xml:space="preserve">nfortunio. L’Ufficio Personale si occupa di eventuali pratiche INAIL (retribuzione, indennizzo). Se l’infortunio ha comportato limitazioni funzionali, prima di riprendere piena attività il lavoratore viene inviato a visita dal MC per valutare eventuali pre</w:t>
      </w:r>
      <w:r>
        <w:t xml:space="preserve">scrizioni (es. lavori leggeri temporanei). Il preposto accoglie il lavoratore, gli fornisce eventuale aggiornamento sulle novità nel periodo di assenza e lo sensibilizza a evitare il ripetersi dell’evento (senza colpevolizzazioni, ma come lezione appresa).</w:t>
      </w:r>
      <w:r/>
    </w:p>
    <w:p>
      <w:pPr>
        <w:pStyle w:val="981"/>
        <w:numPr>
          <w:ilvl w:val="0"/>
          <w:numId w:val="5"/>
        </w:numPr>
        <w:pBdr/>
        <w:spacing/>
        <w:ind/>
        <w:rPr/>
      </w:pPr>
      <w:r>
        <w:rPr>
          <w:b/>
          <w:bCs/>
        </w:rPr>
        <w:t xml:space="preserve">Analisi Statistica e Riunioni:</w:t>
      </w:r>
      <w:r>
        <w:t xml:space="preserve"> Tutti i dati di infortuni e </w:t>
      </w:r>
      <w:r>
        <w:t xml:space="preserve">near</w:t>
      </w:r>
      <w:r>
        <w:t xml:space="preserve"> miss vengono analizzati periodicamente dal RSPP: calcolo degli indici di frequenza e gravità, confronto con anni precedenti e con benchmark di settore. I risultati e le considerazioni (es. “principalmente tagli alle mani in reparto X”, “aumento </w:t>
      </w:r>
      <w:r>
        <w:t xml:space="preserve">near</w:t>
      </w:r>
      <w:r>
        <w:t xml:space="preserve"> miss logistici”) sono presentati alla </w:t>
      </w:r>
      <w:r>
        <w:rPr>
          <w:b/>
          <w:bCs/>
        </w:rPr>
        <w:t xml:space="preserve">riunione periodica annuale</w:t>
      </w:r>
      <w:r>
        <w:t xml:space="preserve"> con RLS e datore di lavoro</w:t>
      </w:r>
      <w:hyperlink r:id="rId17" w:tooltip="file://file-6upqkKDJM5EktxA9eBbtqY#:~:text=sicurezza%20sul%20lavoro%2C%20nonch%C3%A9%20alla,riunione%20periodica%20di%20cui%20all%E2%80%99articolo" w:anchor=":~:text=sicurezza%20sul%20lavoro%2C%20nonch%C3%A9%20alla,riunione%20periodica%20di%20cui%20all%E2%80%99articolo" w:history="1">
        <w:r>
          <w:rPr>
            <w:rStyle w:val="1017"/>
          </w:rPr>
          <w:t xml:space="preserve">[2]</w:t>
        </w:r>
      </w:hyperlink>
      <w:r>
        <w:t xml:space="preserve">. In quella sede si discute l’efficacia delle azioni intraprese e si pianificano ulteriori miglioramenti sulla base delle tendenze. Anche i </w:t>
      </w:r>
      <w:r>
        <w:t xml:space="preserve">near</w:t>
      </w:r>
      <w:r>
        <w:t xml:space="preserve"> miss vengono valorizzati: un alto numero di segnalazioni di quasi incidente è considerato indice di cultura proattiva, e fornisce spunti per prevenire veri infortuni.</w:t>
      </w:r>
      <w:r/>
    </w:p>
    <w:p>
      <w:pPr>
        <w:pStyle w:val="981"/>
        <w:numPr>
          <w:ilvl w:val="0"/>
          <w:numId w:val="5"/>
        </w:numPr>
        <w:pBdr/>
        <w:spacing/>
        <w:ind/>
        <w:rPr/>
      </w:pPr>
      <w:r>
        <w:rPr>
          <w:b/>
          <w:bCs/>
        </w:rPr>
        <w:t xml:space="preserve">Promozione della Segnalazione di </w:t>
      </w:r>
      <w:r>
        <w:rPr>
          <w:b/>
          <w:bCs/>
        </w:rPr>
        <w:t xml:space="preserve">Near</w:t>
      </w:r>
      <w:r>
        <w:rPr>
          <w:b/>
          <w:bCs/>
        </w:rPr>
        <w:t xml:space="preserve"> Miss:</w:t>
      </w:r>
      <w:r>
        <w:t xml:space="preserve"> L’azienda incoraggia tutti i lavoratori a segnalare liberamente e senza timore ogni situazione di mancato infortunio o pericolo osservato. A tal fine, tramite </w:t>
      </w:r>
      <w:r>
        <w:rPr>
          <w:b/>
          <w:bCs/>
        </w:rPr>
        <w:t xml:space="preserve">MOD-05 Segnalazione Quasi Incidente</w:t>
      </w:r>
      <w:r>
        <w:t xml:space="preserve">, i lavoratori possono des</w:t>
      </w:r>
      <w:r>
        <w:t xml:space="preserve">crivere l’evento (anche in forma anonima se preferiscono, depositando il modulo in un’urna dedicata). Le segnalazioni vengono esaminate dal RSPP che, se necessario, approfondisce con chi l’ha fatta (rispettando la riservatezza) per capire i dettagli. Ogni </w:t>
      </w:r>
      <w:r>
        <w:t xml:space="preserve">near</w:t>
      </w:r>
      <w:r>
        <w:t xml:space="preserve"> miss significativo viene trattato come un infortunio mancato: analisi cause e misure preventive. Ad esempio, se viene segnalato che un bancale è caduto sfiorand</w:t>
      </w:r>
      <w:r>
        <w:t xml:space="preserve">o un operaio, si indaga sulla causa (imballo difettoso? uso errato del muletto?</w:t>
      </w:r>
      <w:r>
        <w:t xml:space="preserve">) e si interviene (istruire i carrellisti,</w:t>
      </w:r>
      <w:r>
        <w:t xml:space="preserve"> etc.). Importante: non vengono applicate sanzioni a chi segnala un proprio errore come </w:t>
      </w:r>
      <w:r>
        <w:t xml:space="preserve">near</w:t>
      </w:r>
      <w:r>
        <w:t xml:space="preserve"> miss, la filosofia è </w:t>
      </w:r>
      <w:r>
        <w:rPr>
          <w:i/>
          <w:iCs/>
        </w:rPr>
        <w:t xml:space="preserve">“just culture”</w:t>
      </w:r>
      <w:r>
        <w:t xml:space="preserve"> per imparare dagli errori.</w:t>
      </w:r>
      <w:r/>
    </w:p>
    <w:p>
      <w:pPr>
        <w:pStyle w:val="969"/>
        <w:pBdr/>
        <w:spacing/>
        <w:ind/>
        <w:rPr/>
      </w:pPr>
      <w:r/>
      <w:bookmarkStart w:id="8" w:name="_Toc211437484"/>
      <w:r>
        <w:t xml:space="preserve">Matrice RACI</w:t>
      </w:r>
      <w:bookmarkEnd w:id="8"/>
      <w:r/>
      <w:r/>
    </w:p>
    <w:p>
      <w:pPr>
        <w:pStyle w:val="981"/>
        <w:pBdr/>
        <w:spacing/>
        <w:ind/>
        <w:rPr/>
      </w:pPr>
      <w:r>
        <w:t xml:space="preserve">Ruoli nella gestione di infortuni e </w:t>
      </w:r>
      <w:r>
        <w:t xml:space="preserve">near</w:t>
      </w:r>
      <w:r>
        <w:t xml:space="preserve"> miss:</w:t>
      </w:r>
      <w:r/>
    </w:p>
    <w:tbl>
      <w:tblPr>
        <w:tblW w:w="0" w:type="auto"/>
        <w:tblBorders/>
        <w:tblLook w:val="0020" w:firstRow="1" w:lastRow="0" w:firstColumn="0" w:lastColumn="0" w:noHBand="0" w:noVBand="0"/>
        <w:tblStyle w:val="1055"/>
      </w:tblPr>
      <w:tblGrid>
        <w:gridCol w:w="2452"/>
        <w:gridCol w:w="1560"/>
        <w:gridCol w:w="803"/>
        <w:gridCol w:w="1295"/>
        <w:gridCol w:w="1537"/>
        <w:gridCol w:w="635"/>
        <w:gridCol w:w="1906"/>
      </w:tblGrid>
      <w:tr>
        <w:trPr/>
        <w:tc>
          <w:tcPr>
            <w:tcBorders/>
            <w:tcW w:w="0" w:type="auto"/>
            <w:textDirection w:val="lrTb"/>
            <w:noWrap w:val="false"/>
          </w:tcPr>
          <w:p>
            <w:pPr>
              <w:pStyle w:val="983"/>
              <w:pBdr/>
              <w:spacing/>
              <w:ind/>
              <w:rPr/>
            </w:pPr>
            <w:r>
              <w:rPr>
                <w:b/>
                <w:bCs/>
              </w:rPr>
              <w:t xml:space="preserve">Attività</w:t>
            </w:r>
            <w:r/>
          </w:p>
        </w:tc>
        <w:tc>
          <w:tcPr>
            <w:tcBorders/>
            <w:tcW w:w="0" w:type="auto"/>
            <w:textDirection w:val="lrTb"/>
            <w:noWrap w:val="false"/>
          </w:tcPr>
          <w:p>
            <w:pPr>
              <w:pStyle w:val="983"/>
              <w:pBdr/>
              <w:spacing/>
              <w:ind/>
              <w:jc w:val="center"/>
              <w:rPr/>
            </w:pPr>
            <w:r>
              <w:rPr>
                <w:b/>
                <w:bCs/>
              </w:rPr>
              <w:t xml:space="preserve">Datore di Lavoro</w:t>
            </w:r>
            <w:r/>
          </w:p>
        </w:tc>
        <w:tc>
          <w:tcPr>
            <w:tcBorders/>
            <w:tcW w:w="0" w:type="auto"/>
            <w:textDirection w:val="lrTb"/>
            <w:noWrap w:val="false"/>
          </w:tcPr>
          <w:p>
            <w:pPr>
              <w:pStyle w:val="983"/>
              <w:pBdr/>
              <w:spacing/>
              <w:ind/>
              <w:jc w:val="center"/>
              <w:rPr/>
            </w:pPr>
            <w:r>
              <w:rPr>
                <w:b/>
                <w:bCs/>
              </w:rPr>
              <w:t xml:space="preserve">RSPP</w:t>
            </w:r>
            <w:r/>
          </w:p>
        </w:tc>
        <w:tc>
          <w:tcPr>
            <w:tcBorders/>
            <w:tcW w:w="0" w:type="auto"/>
            <w:textDirection w:val="lrTb"/>
            <w:noWrap w:val="false"/>
          </w:tcPr>
          <w:p>
            <w:pPr>
              <w:pStyle w:val="983"/>
              <w:pBdr/>
              <w:spacing/>
              <w:ind/>
              <w:jc w:val="center"/>
              <w:rPr/>
            </w:pPr>
            <w:r>
              <w:rPr>
                <w:b/>
                <w:bCs/>
              </w:rPr>
              <w:t xml:space="preserve">Preposto</w:t>
            </w:r>
            <w:r/>
          </w:p>
        </w:tc>
        <w:tc>
          <w:tcPr>
            <w:tcBorders/>
            <w:tcW w:w="0" w:type="auto"/>
            <w:textDirection w:val="lrTb"/>
            <w:noWrap w:val="false"/>
          </w:tcPr>
          <w:p>
            <w:pPr>
              <w:pStyle w:val="983"/>
              <w:pBdr/>
              <w:spacing/>
              <w:ind/>
              <w:jc w:val="center"/>
              <w:rPr/>
            </w:pPr>
            <w:r>
              <w:rPr>
                <w:b/>
                <w:bCs/>
              </w:rPr>
              <w:t xml:space="preserve">Addetto Primo Soccorso</w:t>
            </w:r>
            <w:r/>
          </w:p>
        </w:tc>
        <w:tc>
          <w:tcPr>
            <w:tcBorders/>
            <w:tcW w:w="0" w:type="auto"/>
            <w:textDirection w:val="lrTb"/>
            <w:noWrap w:val="false"/>
          </w:tcPr>
          <w:p>
            <w:pPr>
              <w:pStyle w:val="983"/>
              <w:pBdr/>
              <w:spacing/>
              <w:ind/>
              <w:jc w:val="center"/>
              <w:rPr/>
            </w:pPr>
            <w:r>
              <w:rPr>
                <w:b/>
                <w:bCs/>
              </w:rPr>
              <w:t xml:space="preserve">RLS</w:t>
            </w:r>
            <w:r/>
          </w:p>
        </w:tc>
        <w:tc>
          <w:tcPr>
            <w:tcBorders/>
            <w:tcW w:w="0" w:type="auto"/>
            <w:textDirection w:val="lrTb"/>
            <w:noWrap w:val="false"/>
          </w:tcPr>
          <w:p>
            <w:pPr>
              <w:pStyle w:val="983"/>
              <w:pBdr/>
              <w:spacing/>
              <w:ind/>
              <w:jc w:val="center"/>
              <w:rPr/>
            </w:pPr>
            <w:r>
              <w:rPr>
                <w:b/>
                <w:bCs/>
              </w:rPr>
              <w:t xml:space="preserve">Lavoratore</w:t>
            </w:r>
            <w:r/>
          </w:p>
        </w:tc>
      </w:tr>
      <w:tr>
        <w:trPr/>
        <w:tc>
          <w:tcPr>
            <w:tcBorders/>
            <w:tcW w:w="0" w:type="auto"/>
            <w:textDirection w:val="lrTb"/>
            <w:noWrap w:val="false"/>
          </w:tcPr>
          <w:p>
            <w:pPr>
              <w:pStyle w:val="983"/>
              <w:pBdr/>
              <w:spacing/>
              <w:ind/>
              <w:rPr/>
            </w:pPr>
            <w:r>
              <w:t xml:space="preserve">Primo soccorso e messa in sicurezza</w:t>
            </w:r>
            <w:r/>
          </w:p>
        </w:tc>
        <w:tc>
          <w:tcPr>
            <w:tcBorders/>
            <w:tcW w:w="0" w:type="auto"/>
            <w:textDirection w:val="lrTb"/>
            <w:noWrap w:val="false"/>
          </w:tcPr>
          <w:p>
            <w:pPr>
              <w:pStyle w:val="983"/>
              <w:pBdr/>
              <w:spacing/>
              <w:ind/>
              <w:jc w:val="center"/>
              <w:rPr/>
            </w:pPr>
            <w:r>
              <w:t xml:space="preserve">I (fornisce mezzi)</w:t>
            </w:r>
            <w:r/>
          </w:p>
        </w:tc>
        <w:tc>
          <w:tcPr>
            <w:tcBorders/>
            <w:tcW w:w="0" w:type="auto"/>
            <w:textDirection w:val="lrTb"/>
            <w:noWrap w:val="false"/>
          </w:tcPr>
          <w:p>
            <w:pPr>
              <w:pStyle w:val="983"/>
              <w:pBdr/>
              <w:spacing/>
              <w:ind/>
              <w:jc w:val="center"/>
              <w:rPr/>
            </w:pPr>
            <w:r>
              <w:t xml:space="preserve">C</w:t>
            </w:r>
            <w:r/>
          </w:p>
        </w:tc>
        <w:tc>
          <w:tcPr>
            <w:tcBorders/>
            <w:tcW w:w="0" w:type="auto"/>
            <w:textDirection w:val="lrTb"/>
            <w:noWrap w:val="false"/>
          </w:tcPr>
          <w:p>
            <w:pPr>
              <w:pStyle w:val="983"/>
              <w:pBdr/>
              <w:spacing/>
              <w:ind/>
              <w:jc w:val="center"/>
              <w:rPr/>
            </w:pPr>
            <w:r>
              <w:t xml:space="preserve">R</w:t>
            </w:r>
            <w:r/>
          </w:p>
        </w:tc>
        <w:tc>
          <w:tcPr>
            <w:tcBorders/>
            <w:tcW w:w="0" w:type="auto"/>
            <w:textDirection w:val="lrTb"/>
            <w:noWrap w:val="false"/>
          </w:tcPr>
          <w:p>
            <w:pPr>
              <w:pStyle w:val="983"/>
              <w:pBdr/>
              <w:spacing/>
              <w:ind/>
              <w:jc w:val="center"/>
              <w:rPr/>
            </w:pPr>
            <w:r>
              <w:t xml:space="preserve">R (per soccorso)</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R (auto </w:t>
            </w:r>
            <w:r>
              <w:t xml:space="preserve">protez</w:t>
            </w:r>
            <w:r>
              <w:t xml:space="preserve">.)</w:t>
            </w:r>
            <w:r/>
          </w:p>
        </w:tc>
      </w:tr>
      <w:tr>
        <w:trPr/>
        <w:tc>
          <w:tcPr>
            <w:tcBorders/>
            <w:tcW w:w="0" w:type="auto"/>
            <w:textDirection w:val="lrTb"/>
            <w:noWrap w:val="false"/>
          </w:tcPr>
          <w:p>
            <w:pPr>
              <w:pStyle w:val="983"/>
              <w:pBdr/>
              <w:spacing/>
              <w:ind/>
              <w:rPr/>
            </w:pPr>
            <w:r>
              <w:t xml:space="preserve">Comunicazione evento (interno/esterno)</w:t>
            </w:r>
            <w:r/>
          </w:p>
        </w:tc>
        <w:tc>
          <w:tcPr>
            <w:tcBorders/>
            <w:tcW w:w="0" w:type="auto"/>
            <w:textDirection w:val="lrTb"/>
            <w:noWrap w:val="false"/>
          </w:tcPr>
          <w:p>
            <w:pPr>
              <w:pStyle w:val="983"/>
              <w:pBdr/>
              <w:spacing/>
              <w:ind/>
              <w:jc w:val="center"/>
              <w:rPr/>
            </w:pPr>
            <w:r>
              <w:t xml:space="preserve">A</w:t>
            </w:r>
            <w:r/>
          </w:p>
        </w:tc>
        <w:tc>
          <w:tcPr>
            <w:tcBorders/>
            <w:tcW w:w="0" w:type="auto"/>
            <w:textDirection w:val="lrTb"/>
            <w:noWrap w:val="false"/>
          </w:tcPr>
          <w:p>
            <w:pPr>
              <w:pStyle w:val="983"/>
              <w:pBdr/>
              <w:spacing/>
              <w:ind/>
              <w:jc w:val="center"/>
              <w:rPr/>
            </w:pPr>
            <w:r>
              <w:t xml:space="preserve">C</w:t>
            </w:r>
            <w:r/>
          </w:p>
        </w:tc>
        <w:tc>
          <w:tcPr>
            <w:tcBorders/>
            <w:tcW w:w="0" w:type="auto"/>
            <w:textDirection w:val="lrTb"/>
            <w:noWrap w:val="false"/>
          </w:tcPr>
          <w:p>
            <w:pPr>
              <w:pStyle w:val="983"/>
              <w:pBdr/>
              <w:spacing/>
              <w:ind/>
              <w:jc w:val="center"/>
              <w:rPr/>
            </w:pPr>
            <w:r>
              <w:t xml:space="preserve">R (segnala DL)</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r>
      <w:tr>
        <w:trPr/>
        <w:tc>
          <w:tcPr>
            <w:tcBorders/>
            <w:tcW w:w="0" w:type="auto"/>
            <w:textDirection w:val="lrTb"/>
            <w:noWrap w:val="false"/>
          </w:tcPr>
          <w:p>
            <w:pPr>
              <w:pStyle w:val="983"/>
              <w:pBdr/>
              <w:spacing/>
              <w:ind/>
              <w:rPr/>
            </w:pPr>
            <w:r>
              <w:t xml:space="preserve">Indagine e raccolta informazioni</w:t>
            </w:r>
            <w:r/>
          </w:p>
        </w:tc>
        <w:tc>
          <w:tcPr>
            <w:tcBorders/>
            <w:tcW w:w="0" w:type="auto"/>
            <w:textDirection w:val="lrTb"/>
            <w:noWrap w:val="false"/>
          </w:tcPr>
          <w:p>
            <w:pPr>
              <w:pStyle w:val="983"/>
              <w:pBdr/>
              <w:spacing/>
              <w:ind/>
              <w:jc w:val="center"/>
              <w:rPr/>
            </w:pPr>
            <w:r>
              <w:t xml:space="preserve">A (assicurare risorse)</w:t>
            </w:r>
            <w:r/>
          </w:p>
        </w:tc>
        <w:tc>
          <w:tcPr>
            <w:tcBorders/>
            <w:tcW w:w="0" w:type="auto"/>
            <w:textDirection w:val="lrTb"/>
            <w:noWrap w:val="false"/>
          </w:tcPr>
          <w:p>
            <w:pPr>
              <w:pStyle w:val="983"/>
              <w:pBdr/>
              <w:spacing/>
              <w:ind/>
              <w:jc w:val="center"/>
              <w:rPr/>
            </w:pPr>
            <w:r>
              <w:t xml:space="preserve">R</w:t>
            </w:r>
            <w:r/>
          </w:p>
        </w:tc>
        <w:tc>
          <w:tcPr>
            <w:tcBorders/>
            <w:tcW w:w="0" w:type="auto"/>
            <w:textDirection w:val="lrTb"/>
            <w:noWrap w:val="false"/>
          </w:tcPr>
          <w:p>
            <w:pPr>
              <w:pStyle w:val="983"/>
              <w:pBdr/>
              <w:spacing/>
              <w:ind/>
              <w:jc w:val="center"/>
              <w:rPr/>
            </w:pPr>
            <w:r>
              <w:t xml:space="preserve">R</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C</w:t>
            </w:r>
            <w:r/>
          </w:p>
        </w:tc>
        <w:tc>
          <w:tcPr>
            <w:tcBorders/>
            <w:tcW w:w="0" w:type="auto"/>
            <w:textDirection w:val="lrTb"/>
            <w:noWrap w:val="false"/>
          </w:tcPr>
          <w:p>
            <w:pPr>
              <w:pStyle w:val="983"/>
              <w:pBdr/>
              <w:spacing/>
              <w:ind/>
              <w:jc w:val="center"/>
              <w:rPr/>
            </w:pPr>
            <w:r>
              <w:t xml:space="preserve">C (testimonianza)</w:t>
            </w:r>
            <w:r/>
          </w:p>
        </w:tc>
      </w:tr>
      <w:tr>
        <w:trPr/>
        <w:tc>
          <w:tcPr>
            <w:tcBorders/>
            <w:tcW w:w="0" w:type="auto"/>
            <w:textDirection w:val="lrTb"/>
            <w:noWrap w:val="false"/>
          </w:tcPr>
          <w:p>
            <w:pPr>
              <w:pStyle w:val="983"/>
              <w:pBdr/>
              <w:spacing/>
              <w:ind/>
              <w:rPr/>
            </w:pPr>
            <w:r>
              <w:t xml:space="preserve">Denuncia INAIL e amministrazione</w:t>
            </w:r>
            <w:r/>
          </w:p>
        </w:tc>
        <w:tc>
          <w:tcPr>
            <w:tcBorders/>
            <w:tcW w:w="0" w:type="auto"/>
            <w:textDirection w:val="lrTb"/>
            <w:noWrap w:val="false"/>
          </w:tcPr>
          <w:p>
            <w:pPr>
              <w:pStyle w:val="983"/>
              <w:pBdr/>
              <w:spacing/>
              <w:ind/>
              <w:jc w:val="center"/>
              <w:rPr/>
            </w:pPr>
            <w:r>
              <w:t xml:space="preserve">A</w:t>
            </w:r>
            <w:r/>
          </w:p>
        </w:tc>
        <w:tc>
          <w:tcPr>
            <w:tcBorders/>
            <w:tcW w:w="0" w:type="auto"/>
            <w:textDirection w:val="lrTb"/>
            <w:noWrap w:val="false"/>
          </w:tcPr>
          <w:p>
            <w:pPr>
              <w:pStyle w:val="983"/>
              <w:pBdr/>
              <w:spacing/>
              <w:ind/>
              <w:jc w:val="center"/>
              <w:rPr/>
            </w:pPr>
            <w:r>
              <w:t xml:space="preserve">C</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r>
      <w:tr>
        <w:trPr/>
        <w:tc>
          <w:tcPr>
            <w:tcBorders/>
            <w:tcW w:w="0" w:type="auto"/>
            <w:textDirection w:val="lrTb"/>
            <w:noWrap w:val="false"/>
          </w:tcPr>
          <w:p>
            <w:pPr>
              <w:pStyle w:val="983"/>
              <w:pBdr/>
              <w:spacing/>
              <w:ind/>
              <w:rPr/>
            </w:pPr>
            <w:r>
              <w:t xml:space="preserve">Definizione azioni correttive</w:t>
            </w:r>
            <w:r/>
          </w:p>
        </w:tc>
        <w:tc>
          <w:tcPr>
            <w:tcBorders/>
            <w:tcW w:w="0" w:type="auto"/>
            <w:textDirection w:val="lrTb"/>
            <w:noWrap w:val="false"/>
          </w:tcPr>
          <w:p>
            <w:pPr>
              <w:pStyle w:val="983"/>
              <w:pBdr/>
              <w:spacing/>
              <w:ind/>
              <w:jc w:val="center"/>
              <w:rPr/>
            </w:pPr>
            <w:r>
              <w:t xml:space="preserve">A</w:t>
            </w:r>
            <w:r/>
          </w:p>
        </w:tc>
        <w:tc>
          <w:tcPr>
            <w:tcBorders/>
            <w:tcW w:w="0" w:type="auto"/>
            <w:textDirection w:val="lrTb"/>
            <w:noWrap w:val="false"/>
          </w:tcPr>
          <w:p>
            <w:pPr>
              <w:pStyle w:val="983"/>
              <w:pBdr/>
              <w:spacing/>
              <w:ind/>
              <w:jc w:val="center"/>
              <w:rPr/>
            </w:pPr>
            <w:r>
              <w:t xml:space="preserve">R</w:t>
            </w:r>
            <w:r/>
          </w:p>
        </w:tc>
        <w:tc>
          <w:tcPr>
            <w:tcBorders/>
            <w:tcW w:w="0" w:type="auto"/>
            <w:textDirection w:val="lrTb"/>
            <w:noWrap w:val="false"/>
          </w:tcPr>
          <w:p>
            <w:pPr>
              <w:pStyle w:val="983"/>
              <w:pBdr/>
              <w:spacing/>
              <w:ind/>
              <w:jc w:val="center"/>
              <w:rPr/>
            </w:pPr>
            <w:r>
              <w:t xml:space="preserve">C</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C</w:t>
            </w:r>
            <w:r/>
          </w:p>
        </w:tc>
        <w:tc>
          <w:tcPr>
            <w:tcBorders/>
            <w:tcW w:w="0" w:type="auto"/>
            <w:textDirection w:val="lrTb"/>
            <w:noWrap w:val="false"/>
          </w:tcPr>
          <w:p>
            <w:pPr>
              <w:pStyle w:val="983"/>
              <w:pBdr/>
              <w:spacing/>
              <w:ind/>
              <w:jc w:val="center"/>
              <w:rPr/>
            </w:pPr>
            <w:r>
              <w:t xml:space="preserve">I</w:t>
            </w:r>
            <w:r/>
          </w:p>
        </w:tc>
      </w:tr>
      <w:tr>
        <w:trPr/>
        <w:tc>
          <w:tcPr>
            <w:tcBorders/>
            <w:tcW w:w="0" w:type="auto"/>
            <w:textDirection w:val="lrTb"/>
            <w:noWrap w:val="false"/>
          </w:tcPr>
          <w:p>
            <w:pPr>
              <w:pStyle w:val="983"/>
              <w:pBdr/>
              <w:spacing/>
              <w:ind/>
              <w:rPr/>
            </w:pPr>
            <w:r>
              <w:t xml:space="preserve">Implementazione azioni correttive</w:t>
            </w:r>
            <w:r/>
          </w:p>
        </w:tc>
        <w:tc>
          <w:tcPr>
            <w:tcBorders/>
            <w:tcW w:w="0" w:type="auto"/>
            <w:textDirection w:val="lrTb"/>
            <w:noWrap w:val="false"/>
          </w:tcPr>
          <w:p>
            <w:pPr>
              <w:pStyle w:val="983"/>
              <w:pBdr/>
              <w:spacing/>
              <w:ind/>
              <w:jc w:val="center"/>
              <w:rPr/>
            </w:pPr>
            <w:r>
              <w:t xml:space="preserve">A (risorse)</w:t>
            </w:r>
            <w:r/>
          </w:p>
        </w:tc>
        <w:tc>
          <w:tcPr>
            <w:tcBorders/>
            <w:tcW w:w="0" w:type="auto"/>
            <w:textDirection w:val="lrTb"/>
            <w:noWrap w:val="false"/>
          </w:tcPr>
          <w:p>
            <w:pPr>
              <w:pStyle w:val="983"/>
              <w:pBdr/>
              <w:spacing/>
              <w:ind/>
              <w:jc w:val="center"/>
              <w:rPr/>
            </w:pPr>
            <w:r>
              <w:t xml:space="preserve">C</w:t>
            </w:r>
            <w:r/>
          </w:p>
        </w:tc>
        <w:tc>
          <w:tcPr>
            <w:tcBorders/>
            <w:tcW w:w="0" w:type="auto"/>
            <w:textDirection w:val="lrTb"/>
            <w:noWrap w:val="false"/>
          </w:tcPr>
          <w:p>
            <w:pPr>
              <w:pStyle w:val="983"/>
              <w:pBdr/>
              <w:spacing/>
              <w:ind/>
              <w:jc w:val="center"/>
              <w:rPr/>
            </w:pPr>
            <w:r>
              <w:t xml:space="preserve">R (in reparto)</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r>
      <w:tr>
        <w:trPr/>
        <w:tc>
          <w:tcPr>
            <w:tcBorders/>
            <w:tcW w:w="0" w:type="auto"/>
            <w:textDirection w:val="lrTb"/>
            <w:noWrap w:val="false"/>
          </w:tcPr>
          <w:p>
            <w:pPr>
              <w:pStyle w:val="983"/>
              <w:pBdr/>
              <w:spacing/>
              <w:ind/>
              <w:rPr/>
            </w:pPr>
            <w:r>
              <w:t xml:space="preserve">Segnalazione </w:t>
            </w:r>
            <w:r>
              <w:t xml:space="preserve">near</w:t>
            </w:r>
            <w:r>
              <w:t xml:space="preserve"> miss</w:t>
            </w:r>
            <w:r/>
          </w:p>
        </w:tc>
        <w:tc>
          <w:tcPr>
            <w:tcBorders/>
            <w:tcW w:w="0" w:type="auto"/>
            <w:textDirection w:val="lrTb"/>
            <w:noWrap w:val="false"/>
          </w:tcPr>
          <w:p>
            <w:pPr>
              <w:pStyle w:val="983"/>
              <w:pBdr/>
              <w:spacing/>
              <w:ind/>
              <w:jc w:val="center"/>
              <w:rPr/>
            </w:pPr>
            <w:r>
              <w:t xml:space="preserve">A (promuove cultura)</w:t>
            </w:r>
            <w:r/>
          </w:p>
        </w:tc>
        <w:tc>
          <w:tcPr>
            <w:tcBorders/>
            <w:tcW w:w="0" w:type="auto"/>
            <w:textDirection w:val="lrTb"/>
            <w:noWrap w:val="false"/>
          </w:tcPr>
          <w:p>
            <w:pPr>
              <w:pStyle w:val="983"/>
              <w:pBdr/>
              <w:spacing/>
              <w:ind/>
              <w:jc w:val="center"/>
              <w:rPr/>
            </w:pPr>
            <w:r>
              <w:t xml:space="preserve">R</w:t>
            </w:r>
            <w:r/>
          </w:p>
        </w:tc>
        <w:tc>
          <w:tcPr>
            <w:tcBorders/>
            <w:tcW w:w="0" w:type="auto"/>
            <w:textDirection w:val="lrTb"/>
            <w:noWrap w:val="false"/>
          </w:tcPr>
          <w:p>
            <w:pPr>
              <w:pStyle w:val="983"/>
              <w:pBdr/>
              <w:spacing/>
              <w:ind/>
              <w:jc w:val="center"/>
              <w:rPr/>
            </w:pPr>
            <w:r>
              <w:t xml:space="preserve">C</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R (compila modulo)</w:t>
            </w:r>
            <w:r/>
          </w:p>
        </w:tc>
      </w:tr>
      <w:tr>
        <w:trPr/>
        <w:tc>
          <w:tcPr>
            <w:tcBorders/>
            <w:tcW w:w="0" w:type="auto"/>
            <w:textDirection w:val="lrTb"/>
            <w:noWrap w:val="false"/>
          </w:tcPr>
          <w:p>
            <w:pPr>
              <w:pStyle w:val="983"/>
              <w:pBdr/>
              <w:spacing/>
              <w:ind/>
              <w:rPr/>
            </w:pPr>
            <w:r>
              <w:t xml:space="preserve">Analisi periodica </w:t>
            </w:r>
            <w:r>
              <w:t xml:space="preserve">trend</w:t>
            </w:r>
            <w:r/>
          </w:p>
        </w:tc>
        <w:tc>
          <w:tcPr>
            <w:tcBorders/>
            <w:tcW w:w="0" w:type="auto"/>
            <w:textDirection w:val="lrTb"/>
            <w:noWrap w:val="false"/>
          </w:tcPr>
          <w:p>
            <w:pPr>
              <w:pStyle w:val="983"/>
              <w:pBdr/>
              <w:spacing/>
              <w:ind/>
              <w:jc w:val="center"/>
              <w:rPr/>
            </w:pPr>
            <w:r>
              <w:t xml:space="preserve">A</w:t>
            </w:r>
            <w:r/>
          </w:p>
        </w:tc>
        <w:tc>
          <w:tcPr>
            <w:tcBorders/>
            <w:tcW w:w="0" w:type="auto"/>
            <w:textDirection w:val="lrTb"/>
            <w:noWrap w:val="false"/>
          </w:tcPr>
          <w:p>
            <w:pPr>
              <w:pStyle w:val="983"/>
              <w:pBdr/>
              <w:spacing/>
              <w:ind/>
              <w:jc w:val="center"/>
              <w:rPr/>
            </w:pPr>
            <w:r>
              <w:t xml:space="preserve">R</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I</w:t>
            </w:r>
            <w:r/>
          </w:p>
        </w:tc>
        <w:tc>
          <w:tcPr>
            <w:tcBorders/>
            <w:tcW w:w="0" w:type="auto"/>
            <w:textDirection w:val="lrTb"/>
            <w:noWrap w:val="false"/>
          </w:tcPr>
          <w:p>
            <w:pPr>
              <w:pStyle w:val="983"/>
              <w:pBdr/>
              <w:spacing/>
              <w:ind/>
              <w:jc w:val="center"/>
              <w:rPr/>
            </w:pPr>
            <w:r>
              <w:t xml:space="preserve">C</w:t>
            </w:r>
            <w:r/>
          </w:p>
        </w:tc>
        <w:tc>
          <w:tcPr>
            <w:tcBorders/>
            <w:tcW w:w="0" w:type="auto"/>
            <w:textDirection w:val="lrTb"/>
            <w:noWrap w:val="false"/>
          </w:tcPr>
          <w:p>
            <w:pPr>
              <w:pStyle w:val="983"/>
              <w:pBdr/>
              <w:spacing/>
              <w:ind/>
              <w:jc w:val="center"/>
              <w:rPr/>
            </w:pPr>
            <w:r>
              <w:t xml:space="preserve">I</w:t>
            </w:r>
            <w:r/>
          </w:p>
        </w:tc>
      </w:tr>
    </w:tbl>
    <w:p>
      <w:pPr>
        <w:pStyle w:val="969"/>
        <w:pBdr/>
        <w:spacing/>
        <w:ind/>
        <w:rPr/>
      </w:pPr>
      <w:r/>
      <w:bookmarkStart w:id="9" w:name="_Toc211437485"/>
      <w:r>
        <w:t xml:space="preserve">KPI</w:t>
      </w:r>
      <w:bookmarkEnd w:id="9"/>
      <w:r/>
      <w:r/>
    </w:p>
    <w:tbl>
      <w:tblPr>
        <w:tblW w:w="0" w:type="auto"/>
        <w:tblBorders/>
        <w:tblLook w:val="0420" w:firstRow="1" w:lastRow="0" w:firstColumn="0" w:lastColumn="0" w:noHBand="0" w:noVBand="1"/>
        <w:tblStyle w:val="1059"/>
      </w:tblPr>
      <w:tblGrid>
        <w:gridCol w:w="5056"/>
        <w:gridCol w:w="5056"/>
      </w:tblGrid>
      <w:tr>
        <w:trPr/>
        <w:tc>
          <w:tcPr>
            <w:tcBorders/>
            <w:tcW w:w="5056" w:type="dxa"/>
            <w:textDirection w:val="lrTb"/>
            <w:noWrap w:val="false"/>
          </w:tcPr>
          <w:p>
            <w:pPr>
              <w:pBdr/>
              <w:spacing/>
              <w:ind/>
              <w:rPr/>
            </w:pPr>
            <w:r>
              <w:t xml:space="preserve">Indicatore</w:t>
            </w:r>
            <w:r/>
          </w:p>
        </w:tc>
        <w:tc>
          <w:tcPr>
            <w:tcBorders/>
            <w:tcW w:w="5056" w:type="dxa"/>
            <w:textDirection w:val="lrTb"/>
            <w:noWrap w:val="false"/>
          </w:tcPr>
          <w:p>
            <w:pPr>
              <w:pBdr/>
              <w:spacing/>
              <w:ind/>
              <w:rPr/>
            </w:pPr>
            <w:r>
              <w:t xml:space="preserve">Descrizione</w:t>
            </w:r>
            <w:r/>
          </w:p>
        </w:tc>
      </w:tr>
      <w:tr>
        <w:trPr/>
        <w:tc>
          <w:tcPr>
            <w:tcBorders/>
            <w:tcW w:w="5056" w:type="dxa"/>
            <w:textDirection w:val="lrTb"/>
            <w:noWrap w:val="false"/>
          </w:tcPr>
          <w:p>
            <w:pPr>
              <w:pBdr/>
              <w:spacing/>
              <w:ind/>
              <w:rPr/>
            </w:pPr>
            <w:r>
              <w:t xml:space="preserve">Tasso di frequenza infortuni</w:t>
            </w:r>
            <w:r/>
          </w:p>
        </w:tc>
        <w:tc>
          <w:tcPr>
            <w:tcBorders/>
            <w:tcW w:w="5056" w:type="dxa"/>
            <w:textDirection w:val="lrTb"/>
            <w:noWrap w:val="false"/>
          </w:tcPr>
          <w:p>
            <w:pPr>
              <w:pBdr/>
              <w:spacing/>
              <w:ind/>
              <w:rPr/>
            </w:pPr>
            <w:r>
              <w:t xml:space="preserve">numero infortuni x 1.000.000 ore lavorate</w:t>
            </w:r>
            <w:r/>
          </w:p>
        </w:tc>
      </w:tr>
      <w:tr>
        <w:trPr/>
        <w:tc>
          <w:tcPr>
            <w:tcBorders/>
            <w:tcW w:w="5056" w:type="dxa"/>
            <w:textDirection w:val="lrTb"/>
            <w:noWrap w:val="false"/>
          </w:tcPr>
          <w:p>
            <w:pPr>
              <w:pBdr/>
              <w:spacing/>
              <w:ind/>
              <w:rPr/>
            </w:pPr>
            <w:r>
              <w:t xml:space="preserve">Tasso di gravità</w:t>
            </w:r>
            <w:r/>
          </w:p>
        </w:tc>
        <w:tc>
          <w:tcPr>
            <w:tcBorders/>
            <w:tcW w:w="5056" w:type="dxa"/>
            <w:textDirection w:val="lrTb"/>
            <w:noWrap w:val="false"/>
          </w:tcPr>
          <w:p>
            <w:pPr>
              <w:pBdr/>
              <w:spacing/>
              <w:ind/>
              <w:rPr/>
            </w:pPr>
            <w:r>
              <w:t xml:space="preserve">giorni persi per infortunio x 1.000 / ore lavorate</w:t>
            </w:r>
            <w:r/>
          </w:p>
        </w:tc>
      </w:tr>
      <w:tr>
        <w:trPr/>
        <w:tc>
          <w:tcPr>
            <w:tcBorders/>
            <w:tcW w:w="5056" w:type="dxa"/>
            <w:textDirection w:val="lrTb"/>
            <w:noWrap w:val="false"/>
          </w:tcPr>
          <w:p>
            <w:pPr>
              <w:pBdr/>
              <w:spacing/>
              <w:ind/>
              <w:rPr/>
            </w:pPr>
            <w:r>
              <w:t xml:space="preserve">Numero di </w:t>
            </w:r>
            <w:r>
              <w:t xml:space="preserve">near</w:t>
            </w:r>
            <w:r>
              <w:t xml:space="preserve"> miss segnalati</w:t>
            </w:r>
            <w:r/>
          </w:p>
        </w:tc>
        <w:tc>
          <w:tcPr>
            <w:tcBorders/>
            <w:tcW w:w="5056" w:type="dxa"/>
            <w:textDirection w:val="lrTb"/>
            <w:noWrap w:val="false"/>
          </w:tcPr>
          <w:p>
            <w:pPr>
              <w:pBdr/>
              <w:spacing/>
              <w:ind/>
              <w:rPr/>
            </w:pPr>
            <w:r>
              <w:t xml:space="preserve">1</w:t>
            </w:r>
            <w:r/>
          </w:p>
        </w:tc>
      </w:tr>
      <w:tr>
        <w:trPr/>
        <w:tc>
          <w:tcPr>
            <w:tcBorders/>
            <w:tcW w:w="5056" w:type="dxa"/>
            <w:textDirection w:val="lrTb"/>
            <w:noWrap w:val="false"/>
          </w:tcPr>
          <w:p>
            <w:pPr>
              <w:pBdr/>
              <w:spacing/>
              <w:ind/>
              <w:rPr/>
            </w:pPr>
            <w:r>
              <w:t xml:space="preserve">Tempo medio tra incidente e chiusura indagine</w:t>
            </w:r>
            <w:r/>
          </w:p>
        </w:tc>
        <w:tc>
          <w:tcPr>
            <w:tcBorders/>
            <w:tcW w:w="5056" w:type="dxa"/>
            <w:textDirection w:val="lrTb"/>
            <w:noWrap w:val="false"/>
          </w:tcPr>
          <w:p>
            <w:pPr>
              <w:pBdr/>
              <w:spacing/>
              <w:ind/>
              <w:rPr/>
            </w:pPr>
            <w:r>
              <w:t xml:space="preserve"> &lt;7 giorni per avere rapporto e azioni decise</w:t>
            </w:r>
            <w:r/>
          </w:p>
        </w:tc>
      </w:tr>
    </w:tbl>
    <w:p>
      <w:pPr>
        <w:pBdr/>
        <w:spacing/>
        <w:ind/>
        <w:rPr/>
      </w:pPr>
      <w:r/>
      <w:r/>
    </w:p>
    <w:p>
      <w:pPr>
        <w:pStyle w:val="969"/>
        <w:pBdr/>
        <w:spacing/>
        <w:ind/>
        <w:rPr/>
      </w:pPr>
      <w:r/>
      <w:bookmarkStart w:id="10" w:name="_Toc211437486"/>
      <w:r>
        <w:t xml:space="preserve">Modulistica</w:t>
      </w:r>
      <w:bookmarkEnd w:id="10"/>
      <w:r/>
      <w:r/>
    </w:p>
    <w:tbl>
      <w:tblPr>
        <w:tblW w:w="0" w:type="auto"/>
        <w:tblBorders/>
        <w:tblLook w:val="0420" w:firstRow="1" w:lastRow="0" w:firstColumn="0" w:lastColumn="0" w:noHBand="0" w:noVBand="1"/>
        <w:tblStyle w:val="1059"/>
      </w:tblPr>
      <w:tblGrid>
        <w:gridCol w:w="5056"/>
        <w:gridCol w:w="5056"/>
      </w:tblGrid>
      <w:tr>
        <w:trPr/>
        <w:tc>
          <w:tcPr>
            <w:tcBorders/>
            <w:tcW w:w="5056" w:type="dxa"/>
            <w:textDirection w:val="lrTb"/>
            <w:noWrap w:val="false"/>
          </w:tcPr>
          <w:p>
            <w:pPr>
              <w:pBdr/>
              <w:spacing/>
              <w:ind/>
              <w:rPr/>
            </w:pPr>
            <w:r>
              <w:t xml:space="preserve">Modulo</w:t>
            </w:r>
            <w:r/>
          </w:p>
        </w:tc>
        <w:tc>
          <w:tcPr>
            <w:tcBorders/>
            <w:tcW w:w="5056" w:type="dxa"/>
            <w:textDirection w:val="lrTb"/>
            <w:noWrap w:val="false"/>
          </w:tcPr>
          <w:p>
            <w:pPr>
              <w:pBdr/>
              <w:spacing/>
              <w:ind/>
              <w:rPr/>
            </w:pPr>
            <w:r>
              <w:t xml:space="preserve">Descrizione</w:t>
            </w:r>
            <w:r/>
          </w:p>
        </w:tc>
      </w:tr>
      <w:tr>
        <w:trPr/>
        <w:tc>
          <w:tcPr>
            <w:tcBorders/>
            <w:tcW w:w="5056" w:type="dxa"/>
            <w:textDirection w:val="lrTb"/>
            <w:noWrap w:val="false"/>
          </w:tcPr>
          <w:p>
            <w:pPr>
              <w:pBdr/>
              <w:spacing/>
              <w:ind/>
              <w:rPr/>
            </w:pPr>
            <w:r>
              <w:t xml:space="preserve">MOD-04 Scheda Infortunio</w:t>
            </w:r>
            <w:r/>
          </w:p>
        </w:tc>
        <w:tc>
          <w:tcPr>
            <w:tcBorders/>
            <w:tcW w:w="5056" w:type="dxa"/>
            <w:textDirection w:val="lrTb"/>
            <w:noWrap w:val="false"/>
          </w:tcPr>
          <w:p>
            <w:pPr>
              <w:pBdr/>
              <w:spacing/>
              <w:ind/>
              <w:rPr/>
            </w:pPr>
            <w:r>
              <w:t xml:space="preserve">form interno per raccolta dettagli evento, </w:t>
            </w:r>
            <w:r>
              <w:t xml:space="preserve">causa, esito, a cura di RSPP/preposto</w:t>
            </w:r>
            <w:r/>
          </w:p>
        </w:tc>
      </w:tr>
      <w:tr>
        <w:trPr/>
        <w:tc>
          <w:tcPr>
            <w:tcBorders/>
            <w:tcW w:w="5056" w:type="dxa"/>
            <w:textDirection w:val="lrTb"/>
            <w:noWrap w:val="false"/>
          </w:tcPr>
          <w:p>
            <w:pPr>
              <w:pBdr/>
              <w:spacing/>
              <w:ind/>
              <w:rPr/>
            </w:pPr>
            <w:r>
              <w:t xml:space="preserve">MOD-05 Segnalazione Quasi Incidente</w:t>
            </w:r>
            <w:r/>
          </w:p>
        </w:tc>
        <w:tc>
          <w:tcPr>
            <w:tcBorders/>
            <w:tcW w:w="5056" w:type="dxa"/>
            <w:textDirection w:val="lrTb"/>
            <w:noWrap w:val="false"/>
          </w:tcPr>
          <w:p>
            <w:pPr>
              <w:pBdr/>
              <w:spacing/>
              <w:ind/>
              <w:rPr/>
            </w:pPr>
            <w:r>
              <w:t xml:space="preserve">form semplice per lavoratori, anche anonimo</w:t>
            </w:r>
            <w:r/>
          </w:p>
        </w:tc>
      </w:tr>
      <w:tr>
        <w:trPr/>
        <w:tc>
          <w:tcPr>
            <w:tcBorders/>
            <w:tcW w:w="5056" w:type="dxa"/>
            <w:textDirection w:val="lrTb"/>
            <w:noWrap w:val="false"/>
          </w:tcPr>
          <w:p>
            <w:pPr>
              <w:pBdr/>
              <w:spacing/>
              <w:ind/>
              <w:rPr/>
            </w:pPr>
            <w:r>
              <w:t xml:space="preserve">Registro infortuni interno</w:t>
            </w:r>
            <w:r/>
          </w:p>
        </w:tc>
        <w:tc>
          <w:tcPr>
            <w:tcBorders/>
            <w:tcW w:w="5056" w:type="dxa"/>
            <w:textDirection w:val="lrTb"/>
            <w:noWrap w:val="false"/>
          </w:tcPr>
          <w:p>
            <w:pPr>
              <w:pBdr/>
              <w:spacing/>
              <w:ind/>
              <w:rPr/>
            </w:pPr>
            <w:r>
              <w:t xml:space="preserve">cronologico, facoltativo ma utile</w:t>
            </w:r>
            <w:r/>
          </w:p>
        </w:tc>
      </w:tr>
      <w:tr>
        <w:trPr/>
        <w:tc>
          <w:tcPr>
            <w:tcBorders/>
            <w:tcW w:w="5056" w:type="dxa"/>
            <w:textDirection w:val="lrTb"/>
            <w:noWrap w:val="false"/>
          </w:tcPr>
          <w:p>
            <w:pPr>
              <w:pBdr/>
              <w:spacing/>
              <w:ind/>
              <w:rPr/>
            </w:pPr>
            <w:r>
              <w:t xml:space="preserve">MOD-03 Verbale Riunione Sicurezza</w:t>
            </w:r>
            <w:r/>
          </w:p>
        </w:tc>
        <w:tc>
          <w:tcPr>
            <w:tcBorders/>
            <w:tcW w:w="5056" w:type="dxa"/>
            <w:textDirection w:val="lrTb"/>
            <w:noWrap w:val="false"/>
          </w:tcPr>
          <w:p>
            <w:pPr>
              <w:pBdr/>
              <w:spacing/>
              <w:ind/>
              <w:rPr/>
            </w:pPr>
            <w:r>
              <w:t xml:space="preserve">riporta analisi annuale infortuni</w:t>
            </w:r>
            <w:r/>
          </w:p>
        </w:tc>
      </w:tr>
      <w:tr>
        <w:trPr/>
        <w:tc>
          <w:tcPr>
            <w:tcBorders/>
            <w:tcW w:w="5056" w:type="dxa"/>
            <w:textDirection w:val="lrTb"/>
            <w:noWrap w:val="false"/>
          </w:tcPr>
          <w:p>
            <w:pPr>
              <w:pBdr/>
              <w:spacing/>
              <w:ind/>
              <w:rPr/>
            </w:pPr>
            <w:r>
              <w:t xml:space="preserve">eventuale modulo di indagine dettagliato</w:t>
            </w:r>
            <w:r/>
          </w:p>
        </w:tc>
        <w:tc>
          <w:tcPr>
            <w:tcBorders/>
            <w:tcW w:w="5056" w:type="dxa"/>
            <w:textDirection w:val="lrTb"/>
            <w:noWrap w:val="false"/>
          </w:tcPr>
          <w:p>
            <w:pPr>
              <w:pBdr/>
              <w:spacing/>
              <w:ind/>
              <w:rPr/>
            </w:pPr>
            <w:r>
              <w:t xml:space="preserve">tipo modello Inail o 8D </w:t>
            </w:r>
            <w:r>
              <w:t xml:space="preserve">problem</w:t>
            </w:r>
            <w:r>
              <w:t xml:space="preserve"> solving, se adottato per casi complessi</w:t>
            </w:r>
            <w:r/>
          </w:p>
        </w:tc>
      </w:tr>
    </w:tbl>
    <w:p>
      <w:pPr>
        <w:pBdr/>
        <w:spacing/>
        <w:ind/>
        <w:rPr/>
      </w:pPr>
      <w:r/>
      <w:r/>
    </w:p>
    <w:p>
      <w:pPr>
        <w:pStyle w:val="969"/>
        <w:pBdr/>
        <w:spacing/>
        <w:ind/>
        <w:rPr/>
      </w:pPr>
      <w:r/>
      <w:bookmarkStart w:id="11" w:name="_Toc211437487"/>
      <w:r>
        <w:t xml:space="preserve">Controlli Previsti</w:t>
      </w:r>
      <w:bookmarkEnd w:id="11"/>
      <w:r/>
      <w:r/>
    </w:p>
    <w:tbl>
      <w:tblPr>
        <w:tblW w:w="0" w:type="auto"/>
        <w:tblBorders/>
        <w:tblLook w:val="0420" w:firstRow="1" w:lastRow="0" w:firstColumn="0" w:lastColumn="0" w:noHBand="0" w:noVBand="1"/>
        <w:tblStyle w:val="1059"/>
      </w:tblPr>
      <w:tblGrid>
        <w:gridCol w:w="3370"/>
        <w:gridCol w:w="3371"/>
        <w:gridCol w:w="3371"/>
      </w:tblGrid>
      <w:tr>
        <w:trPr/>
        <w:tc>
          <w:tcPr>
            <w:tcBorders/>
            <w:tcW w:w="3370" w:type="dxa"/>
            <w:textDirection w:val="lrTb"/>
            <w:noWrap w:val="false"/>
          </w:tcPr>
          <w:p>
            <w:pPr>
              <w:pBdr/>
              <w:spacing/>
              <w:ind/>
              <w:rPr/>
            </w:pPr>
            <w:r>
              <w:t xml:space="preserve">Attività</w:t>
            </w:r>
            <w:r/>
          </w:p>
        </w:tc>
        <w:tc>
          <w:tcPr>
            <w:tcBorders/>
            <w:tcW w:w="3371" w:type="dxa"/>
            <w:textDirection w:val="lrTb"/>
            <w:noWrap w:val="false"/>
          </w:tcPr>
          <w:p>
            <w:pPr>
              <w:pBdr/>
              <w:spacing/>
              <w:ind/>
              <w:rPr/>
            </w:pPr>
            <w:r>
              <w:t xml:space="preserve">Responsabile</w:t>
            </w:r>
            <w:r/>
          </w:p>
        </w:tc>
        <w:tc>
          <w:tcPr>
            <w:tcBorders/>
            <w:tcW w:w="3371" w:type="dxa"/>
            <w:textDirection w:val="lrTb"/>
            <w:noWrap w:val="false"/>
          </w:tcPr>
          <w:p>
            <w:pPr>
              <w:pBdr/>
              <w:spacing/>
              <w:ind/>
              <w:rPr/>
            </w:pPr>
            <w:r>
              <w:t xml:space="preserve">Descrizione</w:t>
            </w:r>
            <w:r/>
          </w:p>
        </w:tc>
      </w:tr>
      <w:tr>
        <w:trPr/>
        <w:tc>
          <w:tcPr>
            <w:tcBorders/>
            <w:tcW w:w="3370" w:type="dxa"/>
            <w:textDirection w:val="lrTb"/>
            <w:noWrap w:val="false"/>
          </w:tcPr>
          <w:p>
            <w:pPr>
              <w:pBdr/>
              <w:spacing/>
              <w:ind/>
              <w:rPr/>
            </w:pPr>
            <w:r>
              <w:t xml:space="preserve">Verifica analisi e denuncia infortuni</w:t>
            </w:r>
            <w:r/>
          </w:p>
        </w:tc>
        <w:tc>
          <w:tcPr>
            <w:tcBorders/>
            <w:tcW w:w="3371" w:type="dxa"/>
            <w:textDirection w:val="lrTb"/>
            <w:noWrap w:val="false"/>
          </w:tcPr>
          <w:p>
            <w:pPr>
              <w:pBdr/>
              <w:spacing/>
              <w:ind/>
              <w:rPr/>
            </w:pPr>
            <w:r>
              <w:t xml:space="preserve">RSPP</w:t>
            </w:r>
            <w:r/>
          </w:p>
        </w:tc>
        <w:tc>
          <w:tcPr>
            <w:tcBorders/>
            <w:tcW w:w="3371" w:type="dxa"/>
            <w:textDirection w:val="lrTb"/>
            <w:noWrap w:val="false"/>
          </w:tcPr>
          <w:p>
            <w:pPr>
              <w:pBdr/>
              <w:spacing/>
              <w:ind/>
              <w:rPr/>
            </w:pPr>
            <w:r>
              <w:t xml:space="preserve">Tiene elenco infortuni, confronta con comunicazioni INAIL, assicura correttezza</w:t>
            </w:r>
            <w:r/>
          </w:p>
        </w:tc>
      </w:tr>
      <w:tr>
        <w:trPr/>
        <w:tc>
          <w:tcPr>
            <w:tcBorders/>
            <w:tcW w:w="3370" w:type="dxa"/>
            <w:textDirection w:val="lrTb"/>
            <w:noWrap w:val="false"/>
          </w:tcPr>
          <w:p>
            <w:pPr>
              <w:pBdr/>
              <w:spacing/>
              <w:ind/>
              <w:rPr/>
            </w:pPr>
            <w:r>
              <w:t xml:space="preserve">Audit periodici sulle indagini</w:t>
            </w:r>
            <w:r/>
          </w:p>
        </w:tc>
        <w:tc>
          <w:tcPr>
            <w:tcBorders/>
            <w:tcW w:w="3371" w:type="dxa"/>
            <w:textDirection w:val="lrTb"/>
            <w:noWrap w:val="false"/>
          </w:tcPr>
          <w:p>
            <w:pPr>
              <w:pBdr/>
              <w:spacing/>
              <w:ind/>
              <w:rPr/>
            </w:pPr>
            <w:r>
              <w:t xml:space="preserve">Datore di Lavoro</w:t>
            </w:r>
            <w:r/>
          </w:p>
        </w:tc>
        <w:tc>
          <w:tcPr>
            <w:tcBorders/>
            <w:tcW w:w="3371" w:type="dxa"/>
            <w:textDirection w:val="lrTb"/>
            <w:noWrap w:val="false"/>
          </w:tcPr>
          <w:p>
            <w:pPr>
              <w:pBdr/>
              <w:spacing/>
              <w:ind/>
              <w:rPr/>
            </w:pPr>
            <w:r>
              <w:t xml:space="preserve">Riesame campione rapporti di infortunio, verifica qualità cause e misure</w:t>
            </w:r>
            <w:r/>
          </w:p>
        </w:tc>
      </w:tr>
      <w:tr>
        <w:trPr/>
        <w:tc>
          <w:tcPr>
            <w:tcBorders/>
            <w:tcW w:w="3370" w:type="dxa"/>
            <w:textDirection w:val="lrTb"/>
            <w:noWrap w:val="false"/>
          </w:tcPr>
          <w:p>
            <w:pPr>
              <w:pBdr/>
              <w:spacing/>
              <w:ind/>
              <w:rPr/>
            </w:pPr>
            <w:r>
              <w:t xml:space="preserve">Accesso informazioni sugli infortuni</w:t>
            </w:r>
            <w:r/>
          </w:p>
        </w:tc>
        <w:tc>
          <w:tcPr>
            <w:tcBorders/>
            <w:tcW w:w="3371" w:type="dxa"/>
            <w:textDirection w:val="lrTb"/>
            <w:noWrap w:val="false"/>
          </w:tcPr>
          <w:p>
            <w:pPr>
              <w:pBdr/>
              <w:spacing/>
              <w:ind/>
              <w:rPr/>
            </w:pPr>
            <w:r>
              <w:t xml:space="preserve">RLS</w:t>
            </w:r>
            <w:r/>
          </w:p>
        </w:tc>
        <w:tc>
          <w:tcPr>
            <w:tcBorders/>
            <w:tcW w:w="3371" w:type="dxa"/>
            <w:textDirection w:val="lrTb"/>
            <w:noWrap w:val="false"/>
          </w:tcPr>
          <w:p>
            <w:pPr>
              <w:pBdr/>
              <w:spacing/>
              <w:ind/>
              <w:rPr/>
            </w:pPr>
            <w:r>
              <w:t xml:space="preserve">Verifica misure adeguate, partecipa ai sopralluoghi, firma verbali</w:t>
            </w:r>
            <w:r/>
          </w:p>
        </w:tc>
      </w:tr>
      <w:tr>
        <w:trPr/>
        <w:tc>
          <w:tcPr>
            <w:tcBorders/>
            <w:tcW w:w="3370" w:type="dxa"/>
            <w:textDirection w:val="lrTb"/>
            <w:noWrap w:val="false"/>
          </w:tcPr>
          <w:p>
            <w:pPr>
              <w:pBdr/>
              <w:spacing/>
              <w:ind/>
              <w:rPr/>
            </w:pPr>
            <w:r>
              <w:t xml:space="preserve">Controllo stato azioni correttive</w:t>
            </w:r>
            <w:r/>
          </w:p>
        </w:tc>
        <w:tc>
          <w:tcPr>
            <w:tcBorders/>
            <w:tcW w:w="3371" w:type="dxa"/>
            <w:textDirection w:val="lrTb"/>
            <w:noWrap w:val="false"/>
          </w:tcPr>
          <w:p>
            <w:pPr>
              <w:pBdr/>
              <w:spacing/>
              <w:ind/>
              <w:rPr/>
            </w:pPr>
            <w:r>
              <w:t xml:space="preserve">Riunione periodica</w:t>
            </w:r>
            <w:r/>
          </w:p>
        </w:tc>
        <w:tc>
          <w:tcPr>
            <w:tcBorders/>
            <w:tcW w:w="3371" w:type="dxa"/>
            <w:textDirection w:val="lrTb"/>
            <w:noWrap w:val="false"/>
          </w:tcPr>
          <w:p>
            <w:pPr>
              <w:pBdr/>
              <w:spacing/>
              <w:ind/>
              <w:rPr/>
            </w:pPr>
            <w:r>
              <w:t xml:space="preserve">Controllo avanzamento azioni, ridiscussione e riassegnazione se inefficaci</w:t>
            </w:r>
            <w:r/>
          </w:p>
        </w:tc>
      </w:tr>
      <w:tr>
        <w:trPr/>
        <w:tc>
          <w:tcPr>
            <w:tcBorders/>
            <w:tcW w:w="3370" w:type="dxa"/>
            <w:textDirection w:val="lrTb"/>
            <w:noWrap w:val="false"/>
          </w:tcPr>
          <w:p>
            <w:pPr>
              <w:pBdr/>
              <w:spacing/>
              <w:ind/>
              <w:rPr/>
            </w:pPr>
            <w:r>
              <w:t xml:space="preserve">Promozione </w:t>
            </w:r>
            <w:r>
              <w:t xml:space="preserve">near</w:t>
            </w:r>
            <w:r>
              <w:t xml:space="preserve"> miss reporting</w:t>
            </w:r>
            <w:r/>
          </w:p>
        </w:tc>
        <w:tc>
          <w:tcPr>
            <w:tcBorders/>
            <w:tcW w:w="3371" w:type="dxa"/>
            <w:textDirection w:val="lrTb"/>
            <w:noWrap w:val="false"/>
          </w:tcPr>
          <w:p>
            <w:pPr>
              <w:pBdr/>
              <w:spacing/>
              <w:ind/>
              <w:rPr/>
            </w:pPr>
            <w:r>
              <w:t xml:space="preserve">Direzione</w:t>
            </w:r>
            <w:r/>
          </w:p>
        </w:tc>
        <w:tc>
          <w:tcPr>
            <w:tcBorders/>
            <w:tcW w:w="3371" w:type="dxa"/>
            <w:textDirection w:val="lrTb"/>
            <w:noWrap w:val="false"/>
          </w:tcPr>
          <w:p>
            <w:pPr>
              <w:pBdr/>
              <w:spacing/>
              <w:ind/>
              <w:rPr/>
            </w:pPr>
            <w:r>
              <w:t xml:space="preserve">Verifica segnalazioni, campagne di sensibilizzazione, riunioni nei reparti</w:t>
            </w:r>
            <w:r/>
          </w:p>
        </w:tc>
      </w:tr>
      <w:tr>
        <w:trPr/>
        <w:tc>
          <w:tcPr>
            <w:tcBorders/>
            <w:tcW w:w="3370" w:type="dxa"/>
            <w:textDirection w:val="lrTb"/>
            <w:noWrap w:val="false"/>
          </w:tcPr>
          <w:p>
            <w:pPr>
              <w:pBdr/>
              <w:spacing/>
              <w:ind/>
              <w:rPr/>
            </w:pPr>
            <w:r>
              <w:t xml:space="preserve">Apprendimento dagli eventi</w:t>
            </w:r>
            <w:r/>
          </w:p>
        </w:tc>
        <w:tc>
          <w:tcPr>
            <w:tcBorders/>
            <w:tcW w:w="3371" w:type="dxa"/>
            <w:textDirection w:val="lrTb"/>
            <w:noWrap w:val="false"/>
          </w:tcPr>
          <w:p>
            <w:pPr>
              <w:pBdr/>
              <w:spacing/>
              <w:ind/>
              <w:rPr/>
            </w:pPr>
            <w:r>
              <w:t xml:space="preserve">Tutti</w:t>
            </w:r>
            <w:r/>
          </w:p>
        </w:tc>
        <w:tc>
          <w:tcPr>
            <w:tcBorders/>
            <w:tcW w:w="3371" w:type="dxa"/>
            <w:textDirection w:val="lrTb"/>
            <w:noWrap w:val="false"/>
          </w:tcPr>
          <w:p>
            <w:pPr>
              <w:pBdr/>
              <w:spacing/>
              <w:ind/>
              <w:rPr/>
            </w:pPr>
            <w:r>
              <w:t xml:space="preserve">Riduzione numero e gravità infortuni nel tempo</w:t>
            </w:r>
            <w:r/>
          </w:p>
        </w:tc>
      </w:tr>
    </w:tbl>
    <w:p>
      <w:pPr>
        <w:pBdr/>
        <w:spacing/>
        <w:ind/>
        <w:rPr/>
      </w:pPr>
      <w:r/>
      <w:r/>
    </w:p>
    <w:p>
      <w:pPr>
        <w:pBdr/>
        <w:spacing/>
        <w:ind/>
        <w:rPr/>
      </w:pPr>
      <w:r/>
      <w:bookmarkEnd w:id="3"/>
      <w:r/>
      <w:r/>
    </w:p>
    <w:sectPr>
      <w:headerReference w:type="default" r:id="rId9"/>
      <w:footerReference w:type="default" r:id="rId10"/>
      <w:footnotePr>
        <w:numRestart w:val="eachSect"/>
      </w:footnotePr>
      <w:endnotePr/>
      <w:type w:val="nextPage"/>
      <w:pgSz w:h="15840" w:orient="portrait" w:w="12240"/>
      <w:pgMar w:top="1417"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ind/>
        <w:rPr/>
      </w:pPr>
      <w:r>
        <w:separator/>
      </w:r>
      <w:r/>
    </w:p>
  </w:endnote>
  <w:endnote w:type="continuationSeparator" w:id="0">
    <w:p>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17711698"/>
      <w:docPartObj>
        <w:docPartGallery w:val="Page Numbers (Bottom of Page)"/>
        <w:docPartUnique w:val="true"/>
      </w:docPartObj>
      <w:rPr/>
    </w:sdtPr>
    <w:sdtContent>
      <w:p>
        <w:pPr>
          <w:pStyle w:val="1053"/>
          <w:pBdr/>
          <w:spacing/>
          <w:ind/>
          <w:jc w:val="right"/>
          <w:rPr/>
        </w:pPr>
        <w:r>
          <w:fldChar w:fldCharType="begin"/>
        </w:r>
        <w:r>
          <w:instrText xml:space="preserve">PAGE   \* MERGEFORMAT</w:instrText>
        </w:r>
        <w:r>
          <w:fldChar w:fldCharType="separate"/>
        </w:r>
        <w:r>
          <w:rPr>
            <w:lang w:val="it-IT"/>
          </w:rPr>
          <w:t xml:space="preserve">2</w:t>
        </w:r>
        <w:r>
          <w:fldChar w:fldCharType="end"/>
        </w:r>
        <w:r/>
      </w:p>
    </w:sdtContent>
  </w:sdt>
  <w:p>
    <w:pPr>
      <w:pStyle w:val="10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ind/>
        <w:rPr/>
      </w:pPr>
      <w:r>
        <w:separator/>
      </w:r>
      <w:r/>
    </w:p>
  </w:footnote>
  <w:footnote w:type="continuationSeparator" w:id="0">
    <w:p>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jc w:val="center"/>
      <w:tblW w:w="10314" w:type="dxa"/>
      <w:tblBorders/>
      <w:tblLook w:val="04A0" w:firstRow="1" w:lastRow="0" w:firstColumn="1" w:lastColumn="0" w:noHBand="0" w:noVBand="1"/>
      <w:tblStyle w:val="1055"/>
    </w:tblPr>
    <w:tblGrid>
      <w:gridCol w:w="2943"/>
      <w:gridCol w:w="4678"/>
      <w:gridCol w:w="2693"/>
    </w:tblGrid>
    <w:tr>
      <w:trPr>
        <w:jc w:val="center"/>
        <w:trHeight w:val="977"/>
      </w:trPr>
      <w:tc>
        <w:tcPr>
          <w:tcBorders/>
          <w:tcW w:w="2943" w:type="dxa"/>
          <w:vAlign w:val="center"/>
          <w:textDirection w:val="lrTb"/>
          <w:noWrap w:val="false"/>
        </w:tcPr>
        <w:p>
          <w:pPr>
            <w:pStyle w:val="1051"/>
            <w:pBdr/>
            <w:spacing/>
            <w:ind/>
            <w:rPr>
              <w:lang w:val="it-IT"/>
            </w:rPr>
          </w:pPr>
          <w:r>
            <w:rPr>
              <w:lang w:val="it-IT"/>
            </w:rPr>
            <mc:AlternateContent>
              <mc:Choice Requires="wpg">
                <w:drawing>
                  <wp:inline xmlns:wp="http://schemas.openxmlformats.org/drawingml/2006/wordprocessingDrawing" distT="0" distB="0" distL="0" distR="0">
                    <wp:extent cx="1085850" cy="514350"/>
                    <wp:effectExtent l="0" t="0" r="0" b="0"/>
                    <wp:docPr id="1"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pic:cNvPicPr>
                            <pic:nvPr/>
                          </pic:nvPicPr>
                          <pic:blipFill>
                            <a:blip r:embed="rId1"/>
                            <a:stretch/>
                          </pic:blipFill>
                          <pic:spPr bwMode="auto">
                            <a:xfrm>
                              <a:off x="0" y="0"/>
                              <a:ext cx="1085850" cy="514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5.50pt;height:40.50pt;mso-wrap-distance-left:0.00pt;mso-wrap-distance-top:0.00pt;mso-wrap-distance-right:0.00pt;mso-wrap-distance-bottom:0.00pt;z-index:1;" stroked="f">
                    <v:imagedata r:id="rId1" o:title=""/>
                    <o:lock v:ext="edit" rotation="t"/>
                  </v:shape>
                </w:pict>
              </mc:Fallback>
            </mc:AlternateContent>
          </w:r>
          <w:r>
            <w:rPr>
              <w:lang w:val="it-IT"/>
            </w:rPr>
          </w:r>
          <w:r>
            <w:rPr>
              <w:lang w:val="it-IT"/>
            </w:rPr>
          </w:r>
        </w:p>
      </w:tc>
      <w:tc>
        <w:tcPr>
          <w:tcBorders/>
          <w:tcW w:w="4678" w:type="dxa"/>
          <w:vAlign w:val="center"/>
          <w:textDirection w:val="lrTb"/>
          <w:noWrap w:val="false"/>
        </w:tcPr>
        <w:p>
          <w:pPr>
            <w:pStyle w:val="1051"/>
            <w:pBdr/>
            <w:spacing/>
            <w:ind/>
            <w:rPr>
              <w:lang w:val="it-IT"/>
            </w:rPr>
          </w:pPr>
          <w:r>
            <w:rPr>
              <w:b/>
              <w:bCs/>
            </w:rPr>
            <w:t xml:space="preserve">PROC-09 – Gestione di Infortuni, Incidenti e </w:t>
          </w:r>
          <w:r>
            <w:rPr>
              <w:b/>
              <w:bCs/>
            </w:rPr>
            <w:t xml:space="preserve">Near</w:t>
          </w:r>
          <w:r>
            <w:rPr>
              <w:b/>
              <w:bCs/>
            </w:rPr>
            <w:t xml:space="preserve"> Miss</w:t>
          </w:r>
          <w:r>
            <w:rPr>
              <w:lang w:val="it-IT"/>
            </w:rPr>
          </w:r>
          <w:r>
            <w:rPr>
              <w:lang w:val="it-IT"/>
            </w:rPr>
          </w:r>
        </w:p>
      </w:tc>
      <w:tc>
        <w:tcPr>
          <w:tcBorders/>
          <w:tcW w:w="2693" w:type="dxa"/>
          <w:vAlign w:val="center"/>
          <w:textDirection w:val="lrTb"/>
          <w:noWrap w:val="false"/>
        </w:tcPr>
        <w:p>
          <w:pPr>
            <w:pStyle w:val="1051"/>
            <w:pBdr/>
            <w:spacing/>
            <w:ind/>
            <w:rPr>
              <w:lang w:val="it-IT"/>
            </w:rPr>
          </w:pPr>
          <w:r>
            <w:rPr>
              <w:lang w:val="it-IT"/>
            </w:rPr>
            <w:t xml:space="preserve">PROC-0</w:t>
          </w:r>
          <w:r>
            <w:rPr>
              <w:lang w:val="it-IT"/>
            </w:rPr>
            <w:t xml:space="preserve">9</w:t>
          </w:r>
          <w:r>
            <w:rPr>
              <w:lang w:val="it-IT"/>
            </w:rPr>
          </w:r>
          <w:r>
            <w:rPr>
              <w:lang w:val="it-IT"/>
            </w:rPr>
          </w:r>
        </w:p>
        <w:p>
          <w:pPr>
            <w:pStyle w:val="1051"/>
            <w:pBdr/>
            <w:spacing/>
            <w:ind/>
            <w:rPr>
              <w:lang w:val="it-IT"/>
            </w:rPr>
          </w:pPr>
          <w:r>
            <w:rPr>
              <w:lang w:val="it-IT"/>
            </w:rPr>
            <w:t xml:space="preserve">REV. </w:t>
          </w:r>
          <w:r>
            <w:rPr>
              <w:lang w:val="it-IT"/>
            </w:rPr>
            <w:t xml:space="preserve">00</w:t>
          </w:r>
          <w:r>
            <w:rPr>
              <w:lang w:val="it-IT"/>
            </w:rPr>
            <w:t xml:space="preserve"> del </w:t>
          </w:r>
          <w:r>
            <w:rPr>
              <w:lang w:val="it-IT"/>
            </w:rPr>
            <w:t xml:space="preserve">14</w:t>
          </w:r>
          <w:r>
            <w:rPr>
              <w:lang w:val="it-IT"/>
            </w:rPr>
            <w:t xml:space="preserve">-</w:t>
          </w:r>
          <w:r>
            <w:rPr>
              <w:lang w:val="it-IT"/>
            </w:rPr>
            <w:t xml:space="preserve">10</w:t>
          </w:r>
          <w:r>
            <w:rPr>
              <w:lang w:val="it-IT"/>
            </w:rPr>
            <w:t xml:space="preserve">-2025</w:t>
          </w:r>
          <w:r>
            <w:rPr>
              <w:lang w:val="it-IT"/>
            </w:rPr>
          </w:r>
          <w:r>
            <w:rPr>
              <w:lang w:val="it-IT"/>
            </w:rPr>
          </w:r>
        </w:p>
      </w:tc>
    </w:tr>
  </w:tbl>
  <w:p>
    <w:pPr>
      <w:pStyle w:val="105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1."/>
      <w:numFmt w:val="decimal"/>
      <w:pPr>
        <w:pBdr/>
        <w:spacing/>
        <w:ind w:hanging="360" w:left="360"/>
      </w:pPr>
      <w:pStyle w:val="969"/>
      <w:rPr/>
      <w:start w:val="1"/>
      <w:suff w:val="tab"/>
    </w:lvl>
    <w:lvl w:ilvl="1">
      <w:isLgl w:val="false"/>
      <w:lvlJc w:val="left"/>
      <w:lvlText w:val="%1.%2"/>
      <w:numFmt w:val="decimal"/>
      <w:pPr>
        <w:pBdr/>
        <w:spacing/>
        <w:ind w:hanging="576" w:left="576"/>
      </w:pPr>
      <w:pStyle w:val="970"/>
      <w:rPr>
        <w:rFonts w:hint="default"/>
      </w:rPr>
      <w:start w:val="1"/>
      <w:suff w:val="tab"/>
    </w:lvl>
    <w:lvl w:ilvl="2">
      <w:isLgl w:val="false"/>
      <w:lvlJc w:val="left"/>
      <w:lvlText w:val="%1.%2.%3"/>
      <w:numFmt w:val="decimal"/>
      <w:pPr>
        <w:pBdr/>
        <w:spacing/>
        <w:ind w:hanging="720" w:left="720"/>
      </w:pPr>
      <w:pStyle w:val="971"/>
      <w:rPr>
        <w:rFonts w:hint="default"/>
      </w:rPr>
      <w:start w:val="1"/>
      <w:suff w:val="tab"/>
    </w:lvl>
    <w:lvl w:ilvl="3">
      <w:isLgl w:val="false"/>
      <w:lvlJc w:val="left"/>
      <w:lvlText w:val="%1.%2.%3.%4"/>
      <w:numFmt w:val="decimal"/>
      <w:pPr>
        <w:pBdr/>
        <w:spacing/>
        <w:ind w:hanging="864" w:left="864"/>
      </w:pPr>
      <w:pStyle w:val="972"/>
      <w:rPr>
        <w:rFonts w:hint="default"/>
      </w:rPr>
      <w:start w:val="1"/>
      <w:suff w:val="tab"/>
    </w:lvl>
    <w:lvl w:ilvl="4">
      <w:isLgl w:val="false"/>
      <w:lvlJc w:val="left"/>
      <w:lvlText w:val="%1.%2.%3.%4.%5"/>
      <w:numFmt w:val="decimal"/>
      <w:pPr>
        <w:pBdr/>
        <w:spacing/>
        <w:ind w:hanging="1008" w:left="1008"/>
      </w:pPr>
      <w:pStyle w:val="973"/>
      <w:rPr>
        <w:rFonts w:hint="default"/>
      </w:rPr>
      <w:start w:val="1"/>
      <w:suff w:val="tab"/>
    </w:lvl>
    <w:lvl w:ilvl="5">
      <w:isLgl w:val="false"/>
      <w:lvlJc w:val="left"/>
      <w:lvlText w:val="%1.%2.%3.%4.%5.%6"/>
      <w:numFmt w:val="decimal"/>
      <w:pPr>
        <w:pBdr/>
        <w:spacing/>
        <w:ind w:hanging="1152" w:left="1152"/>
      </w:pPr>
      <w:pStyle w:val="974"/>
      <w:rPr>
        <w:rFonts w:hint="default"/>
      </w:rPr>
      <w:start w:val="1"/>
      <w:suff w:val="tab"/>
    </w:lvl>
    <w:lvl w:ilvl="6">
      <w:isLgl w:val="false"/>
      <w:lvlJc w:val="left"/>
      <w:lvlText w:val="%1.%2.%3.%4.%5.%6.%7"/>
      <w:numFmt w:val="decimal"/>
      <w:pPr>
        <w:pBdr/>
        <w:spacing/>
        <w:ind w:hanging="1296" w:left="1296"/>
      </w:pPr>
      <w:pStyle w:val="975"/>
      <w:rPr>
        <w:rFonts w:hint="default"/>
      </w:rPr>
      <w:start w:val="1"/>
      <w:suff w:val="tab"/>
    </w:lvl>
    <w:lvl w:ilvl="7">
      <w:isLgl w:val="false"/>
      <w:lvlJc w:val="left"/>
      <w:lvlText w:val="%1.%2.%3.%4.%5.%6.%7.%8"/>
      <w:numFmt w:val="decimal"/>
      <w:pPr>
        <w:pBdr/>
        <w:spacing/>
        <w:ind w:hanging="1440" w:left="1440"/>
      </w:pPr>
      <w:pStyle w:val="976"/>
      <w:rPr>
        <w:rFonts w:hint="default"/>
      </w:rPr>
      <w:start w:val="1"/>
      <w:suff w:val="tab"/>
    </w:lvl>
    <w:lvl w:ilvl="8">
      <w:isLgl w:val="false"/>
      <w:lvlJc w:val="left"/>
      <w:lvlText w:val="%1.%2.%3.%4.%5.%6.%7.%8.%9"/>
      <w:numFmt w:val="decimal"/>
      <w:pPr>
        <w:pBdr/>
        <w:spacing/>
        <w:ind w:hanging="1584" w:left="1584"/>
      </w:pPr>
      <w:pStyle w:val="977"/>
      <w:rPr>
        <w:rFonts w:hint="default"/>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283"/>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it"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5">
    <w:name w:val="Table Grid Light"/>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Plain Table 2"/>
    <w:basedOn w:val="9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Plain Table 3"/>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4"/>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5"/>
    <w:basedOn w:val="9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w:basedOn w:val="9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w:basedOn w:val="9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1"/>
    <w:basedOn w:val="9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5"/>
    <w:basedOn w:val="9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6"/>
    <w:basedOn w:val="9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w:basedOn w:val="9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1"/>
    <w:basedOn w:val="9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2"/>
    <w:basedOn w:val="9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3"/>
    <w:basedOn w:val="9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4"/>
    <w:basedOn w:val="9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5"/>
    <w:basedOn w:val="9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6"/>
    <w:basedOn w:val="9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Accent 1"/>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 Accent 2"/>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 Accent 3"/>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Accent 4"/>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 Accent 5"/>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6"/>
    <w:basedOn w:val="9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6">
    <w:name w:val="Grid Table 6 Colorful - Accent 1"/>
    <w:basedOn w:val="9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7">
    <w:name w:val="Grid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8">
    <w:name w:val="Grid Table 6 Colorful - Accent 3"/>
    <w:basedOn w:val="9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9">
    <w:name w:val="Grid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0">
    <w:name w:val="Grid Table 6 Colorful - Accent 5"/>
    <w:basedOn w:val="9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1">
    <w:name w:val="Grid Table 6 Colorful - Accent 6"/>
    <w:basedOn w:val="9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2">
    <w:name w:val="Grid Table 7 Colorful"/>
    <w:basedOn w:val="9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1"/>
    <w:basedOn w:val="9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2"/>
    <w:basedOn w:val="9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 Accent 3"/>
    <w:basedOn w:val="9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4"/>
    <w:basedOn w:val="9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5"/>
    <w:basedOn w:val="9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6"/>
    <w:basedOn w:val="9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1"/>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2"/>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 Accent 3"/>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4"/>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5"/>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6"/>
    <w:basedOn w:val="9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w:basedOn w:val="9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1"/>
    <w:basedOn w:val="9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2"/>
    <w:basedOn w:val="9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 Accent 3"/>
    <w:basedOn w:val="9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4"/>
    <w:basedOn w:val="9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5"/>
    <w:basedOn w:val="9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6"/>
    <w:basedOn w:val="9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1"/>
    <w:basedOn w:val="9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2"/>
    <w:basedOn w:val="9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 Accent 3"/>
    <w:basedOn w:val="9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 Accent 4"/>
    <w:basedOn w:val="9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5"/>
    <w:basedOn w:val="9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6"/>
    <w:basedOn w:val="9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w:basedOn w:val="9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1"/>
    <w:basedOn w:val="9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2"/>
    <w:basedOn w:val="9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 Accent 3"/>
    <w:basedOn w:val="9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 Accent 4"/>
    <w:basedOn w:val="9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5"/>
    <w:basedOn w:val="9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6"/>
    <w:basedOn w:val="9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5 Dark"/>
    <w:basedOn w:val="9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1"/>
    <w:basedOn w:val="9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2"/>
    <w:basedOn w:val="9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5 Dark - Accent 3"/>
    <w:basedOn w:val="9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1">
    <w:name w:val="List Table 5 Dark - Accent 4"/>
    <w:basedOn w:val="9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5"/>
    <w:basedOn w:val="9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6"/>
    <w:basedOn w:val="9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6 Colorful"/>
    <w:basedOn w:val="9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1"/>
    <w:basedOn w:val="9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2"/>
    <w:basedOn w:val="9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6 Colorful - Accent 3"/>
    <w:basedOn w:val="9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 Accent 4"/>
    <w:basedOn w:val="9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5"/>
    <w:basedOn w:val="9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6"/>
    <w:basedOn w:val="9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7 Colorful"/>
    <w:basedOn w:val="9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2">
    <w:name w:val="List Table 7 Colorful - Accent 1"/>
    <w:basedOn w:val="9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03">
    <w:name w:val="List Table 7 Colorful - Accent 2"/>
    <w:basedOn w:val="9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04">
    <w:name w:val="List Table 7 Colorful - Accent 3"/>
    <w:basedOn w:val="9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905">
    <w:name w:val="List Table 7 Colorful - Accent 4"/>
    <w:basedOn w:val="9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906">
    <w:name w:val="List Table 7 Colorful - Accent 5"/>
    <w:basedOn w:val="9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907">
    <w:name w:val="List Table 7 Colorful - Accent 6"/>
    <w:basedOn w:val="9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08">
    <w:name w:val="Lined - Accent"/>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1"/>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2"/>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ned - Accent 3"/>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ned - Accent 4"/>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5"/>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6"/>
    <w:basedOn w:val="9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w:basedOn w:val="9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1"/>
    <w:basedOn w:val="9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2"/>
    <w:basedOn w:val="9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amp; Lined - Accent 3"/>
    <w:basedOn w:val="9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4"/>
    <w:basedOn w:val="9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5"/>
    <w:basedOn w:val="9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6"/>
    <w:basedOn w:val="9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w:basedOn w:val="9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1"/>
    <w:basedOn w:val="9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2"/>
    <w:basedOn w:val="9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 Accent 3"/>
    <w:basedOn w:val="9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 Accent 4"/>
    <w:basedOn w:val="9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5"/>
    <w:basedOn w:val="9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6"/>
    <w:basedOn w:val="9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9">
    <w:name w:val="Heading 1 Char"/>
    <w:basedOn w:val="978"/>
    <w:link w:val="969"/>
    <w:uiPriority w:val="9"/>
    <w:pPr>
      <w:pBdr/>
      <w:spacing/>
      <w:ind/>
    </w:pPr>
    <w:rPr>
      <w:rFonts w:ascii="Arial" w:hAnsi="Arial" w:eastAsia="Arial" w:cs="Arial"/>
      <w:color w:val="0f4761" w:themeColor="accent1" w:themeShade="BF"/>
      <w:sz w:val="40"/>
      <w:szCs w:val="40"/>
    </w:rPr>
  </w:style>
  <w:style w:type="character" w:styleId="930">
    <w:name w:val="Heading 2 Char"/>
    <w:basedOn w:val="978"/>
    <w:link w:val="970"/>
    <w:uiPriority w:val="9"/>
    <w:pPr>
      <w:pBdr/>
      <w:spacing/>
      <w:ind/>
    </w:pPr>
    <w:rPr>
      <w:rFonts w:ascii="Arial" w:hAnsi="Arial" w:eastAsia="Arial" w:cs="Arial"/>
      <w:color w:val="0f4761" w:themeColor="accent1" w:themeShade="BF"/>
      <w:sz w:val="32"/>
      <w:szCs w:val="32"/>
    </w:rPr>
  </w:style>
  <w:style w:type="character" w:styleId="931">
    <w:name w:val="Heading 3 Char"/>
    <w:basedOn w:val="978"/>
    <w:link w:val="971"/>
    <w:uiPriority w:val="9"/>
    <w:pPr>
      <w:pBdr/>
      <w:spacing/>
      <w:ind/>
    </w:pPr>
    <w:rPr>
      <w:rFonts w:ascii="Arial" w:hAnsi="Arial" w:eastAsia="Arial" w:cs="Arial"/>
      <w:color w:val="0f4761" w:themeColor="accent1" w:themeShade="BF"/>
      <w:sz w:val="28"/>
      <w:szCs w:val="28"/>
    </w:rPr>
  </w:style>
  <w:style w:type="character" w:styleId="932">
    <w:name w:val="Heading 4 Char"/>
    <w:basedOn w:val="978"/>
    <w:link w:val="972"/>
    <w:uiPriority w:val="9"/>
    <w:pPr>
      <w:pBdr/>
      <w:spacing/>
      <w:ind/>
    </w:pPr>
    <w:rPr>
      <w:rFonts w:ascii="Arial" w:hAnsi="Arial" w:eastAsia="Arial" w:cs="Arial"/>
      <w:i/>
      <w:iCs/>
      <w:color w:val="0f4761" w:themeColor="accent1" w:themeShade="BF"/>
    </w:rPr>
  </w:style>
  <w:style w:type="character" w:styleId="933">
    <w:name w:val="Heading 5 Char"/>
    <w:basedOn w:val="978"/>
    <w:link w:val="973"/>
    <w:uiPriority w:val="9"/>
    <w:pPr>
      <w:pBdr/>
      <w:spacing/>
      <w:ind/>
    </w:pPr>
    <w:rPr>
      <w:rFonts w:ascii="Arial" w:hAnsi="Arial" w:eastAsia="Arial" w:cs="Arial"/>
      <w:color w:val="0f4761" w:themeColor="accent1" w:themeShade="BF"/>
    </w:rPr>
  </w:style>
  <w:style w:type="character" w:styleId="934">
    <w:name w:val="Heading 6 Char"/>
    <w:basedOn w:val="978"/>
    <w:link w:val="974"/>
    <w:uiPriority w:val="9"/>
    <w:pPr>
      <w:pBdr/>
      <w:spacing/>
      <w:ind/>
    </w:pPr>
    <w:rPr>
      <w:rFonts w:ascii="Arial" w:hAnsi="Arial" w:eastAsia="Arial" w:cs="Arial"/>
      <w:i/>
      <w:iCs/>
      <w:color w:val="595959" w:themeColor="text1" w:themeTint="A6"/>
    </w:rPr>
  </w:style>
  <w:style w:type="character" w:styleId="935">
    <w:name w:val="Heading 7 Char"/>
    <w:basedOn w:val="978"/>
    <w:link w:val="975"/>
    <w:uiPriority w:val="9"/>
    <w:pPr>
      <w:pBdr/>
      <w:spacing/>
      <w:ind/>
    </w:pPr>
    <w:rPr>
      <w:rFonts w:ascii="Arial" w:hAnsi="Arial" w:eastAsia="Arial" w:cs="Arial"/>
      <w:color w:val="595959" w:themeColor="text1" w:themeTint="A6"/>
    </w:rPr>
  </w:style>
  <w:style w:type="character" w:styleId="936">
    <w:name w:val="Heading 8 Char"/>
    <w:basedOn w:val="978"/>
    <w:link w:val="976"/>
    <w:uiPriority w:val="9"/>
    <w:pPr>
      <w:pBdr/>
      <w:spacing/>
      <w:ind/>
    </w:pPr>
    <w:rPr>
      <w:rFonts w:ascii="Arial" w:hAnsi="Arial" w:eastAsia="Arial" w:cs="Arial"/>
      <w:i/>
      <w:iCs/>
      <w:color w:val="272727" w:themeColor="text1" w:themeTint="D8"/>
    </w:rPr>
  </w:style>
  <w:style w:type="character" w:styleId="937">
    <w:name w:val="Heading 9 Char"/>
    <w:basedOn w:val="978"/>
    <w:link w:val="977"/>
    <w:uiPriority w:val="9"/>
    <w:pPr>
      <w:pBdr/>
      <w:spacing/>
      <w:ind/>
    </w:pPr>
    <w:rPr>
      <w:rFonts w:ascii="Arial" w:hAnsi="Arial" w:eastAsia="Arial" w:cs="Arial"/>
      <w:i/>
      <w:iCs/>
      <w:color w:val="272727" w:themeColor="text1" w:themeTint="D8"/>
    </w:rPr>
  </w:style>
  <w:style w:type="character" w:styleId="938">
    <w:name w:val="Title Char"/>
    <w:basedOn w:val="978"/>
    <w:link w:val="984"/>
    <w:uiPriority w:val="10"/>
    <w:pPr>
      <w:pBdr/>
      <w:spacing/>
      <w:ind/>
    </w:pPr>
    <w:rPr>
      <w:rFonts w:ascii="Arial" w:hAnsi="Arial" w:eastAsia="Arial" w:cs="Arial"/>
      <w:spacing w:val="-10"/>
      <w:sz w:val="56"/>
      <w:szCs w:val="56"/>
    </w:rPr>
  </w:style>
  <w:style w:type="character" w:styleId="939">
    <w:name w:val="Subtitle Char"/>
    <w:basedOn w:val="978"/>
    <w:link w:val="986"/>
    <w:uiPriority w:val="11"/>
    <w:pPr>
      <w:pBdr/>
      <w:spacing/>
      <w:ind/>
    </w:pPr>
    <w:rPr>
      <w:color w:val="595959" w:themeColor="text1" w:themeTint="A6"/>
      <w:spacing w:val="15"/>
      <w:sz w:val="28"/>
      <w:szCs w:val="28"/>
    </w:rPr>
  </w:style>
  <w:style w:type="paragraph" w:styleId="940">
    <w:name w:val="Quote"/>
    <w:basedOn w:val="968"/>
    <w:next w:val="968"/>
    <w:link w:val="941"/>
    <w:uiPriority w:val="29"/>
    <w:qFormat/>
    <w:pPr>
      <w:pBdr/>
      <w:spacing w:before="160"/>
      <w:ind/>
      <w:jc w:val="center"/>
    </w:pPr>
    <w:rPr>
      <w:i/>
      <w:iCs/>
      <w:color w:val="404040" w:themeColor="text1" w:themeTint="BF"/>
    </w:rPr>
  </w:style>
  <w:style w:type="character" w:styleId="941">
    <w:name w:val="Quote Char"/>
    <w:basedOn w:val="978"/>
    <w:link w:val="940"/>
    <w:uiPriority w:val="29"/>
    <w:pPr>
      <w:pBdr/>
      <w:spacing/>
      <w:ind/>
    </w:pPr>
    <w:rPr>
      <w:i/>
      <w:iCs/>
      <w:color w:val="404040" w:themeColor="text1" w:themeTint="BF"/>
    </w:rPr>
  </w:style>
  <w:style w:type="paragraph" w:styleId="942">
    <w:name w:val="List Paragraph"/>
    <w:basedOn w:val="968"/>
    <w:uiPriority w:val="34"/>
    <w:qFormat/>
    <w:pPr>
      <w:pBdr/>
      <w:spacing/>
      <w:ind w:left="720"/>
      <w:contextualSpacing w:val="true"/>
    </w:pPr>
  </w:style>
  <w:style w:type="character" w:styleId="943">
    <w:name w:val="Intense Emphasis"/>
    <w:basedOn w:val="978"/>
    <w:uiPriority w:val="21"/>
    <w:qFormat/>
    <w:pPr>
      <w:pBdr/>
      <w:spacing/>
      <w:ind/>
    </w:pPr>
    <w:rPr>
      <w:i/>
      <w:iCs/>
      <w:color w:val="0f4761" w:themeColor="accent1" w:themeShade="BF"/>
    </w:rPr>
  </w:style>
  <w:style w:type="paragraph" w:styleId="944">
    <w:name w:val="Intense Quote"/>
    <w:basedOn w:val="968"/>
    <w:next w:val="968"/>
    <w:link w:val="94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5">
    <w:name w:val="Intense Quote Char"/>
    <w:basedOn w:val="978"/>
    <w:link w:val="944"/>
    <w:uiPriority w:val="30"/>
    <w:pPr>
      <w:pBdr/>
      <w:spacing/>
      <w:ind/>
    </w:pPr>
    <w:rPr>
      <w:i/>
      <w:iCs/>
      <w:color w:val="0f4761" w:themeColor="accent1" w:themeShade="BF"/>
    </w:rPr>
  </w:style>
  <w:style w:type="character" w:styleId="946">
    <w:name w:val="Intense Reference"/>
    <w:basedOn w:val="978"/>
    <w:uiPriority w:val="32"/>
    <w:qFormat/>
    <w:pPr>
      <w:pBdr/>
      <w:spacing/>
      <w:ind/>
    </w:pPr>
    <w:rPr>
      <w:b/>
      <w:bCs/>
      <w:smallCaps/>
      <w:color w:val="0f4761" w:themeColor="accent1" w:themeShade="BF"/>
      <w:spacing w:val="5"/>
    </w:rPr>
  </w:style>
  <w:style w:type="paragraph" w:styleId="947">
    <w:name w:val="No Spacing"/>
    <w:basedOn w:val="968"/>
    <w:uiPriority w:val="1"/>
    <w:qFormat/>
    <w:pPr>
      <w:pBdr/>
      <w:spacing w:after="0" w:line="240" w:lineRule="auto"/>
      <w:ind/>
    </w:pPr>
  </w:style>
  <w:style w:type="character" w:styleId="948">
    <w:name w:val="Subtle Emphasis"/>
    <w:basedOn w:val="978"/>
    <w:uiPriority w:val="19"/>
    <w:qFormat/>
    <w:pPr>
      <w:pBdr/>
      <w:spacing/>
      <w:ind/>
    </w:pPr>
    <w:rPr>
      <w:i/>
      <w:iCs/>
      <w:color w:val="404040" w:themeColor="text1" w:themeTint="BF"/>
    </w:rPr>
  </w:style>
  <w:style w:type="character" w:styleId="949">
    <w:name w:val="Emphasis"/>
    <w:basedOn w:val="978"/>
    <w:uiPriority w:val="20"/>
    <w:qFormat/>
    <w:pPr>
      <w:pBdr/>
      <w:spacing/>
      <w:ind/>
    </w:pPr>
    <w:rPr>
      <w:i/>
      <w:iCs/>
    </w:rPr>
  </w:style>
  <w:style w:type="character" w:styleId="950">
    <w:name w:val="Strong"/>
    <w:basedOn w:val="978"/>
    <w:uiPriority w:val="22"/>
    <w:qFormat/>
    <w:pPr>
      <w:pBdr/>
      <w:spacing/>
      <w:ind/>
    </w:pPr>
    <w:rPr>
      <w:b/>
      <w:bCs/>
    </w:rPr>
  </w:style>
  <w:style w:type="character" w:styleId="951">
    <w:name w:val="Subtle Reference"/>
    <w:basedOn w:val="978"/>
    <w:uiPriority w:val="31"/>
    <w:qFormat/>
    <w:pPr>
      <w:pBdr/>
      <w:spacing/>
      <w:ind/>
    </w:pPr>
    <w:rPr>
      <w:smallCaps/>
      <w:color w:val="5a5a5a" w:themeColor="text1" w:themeTint="A5"/>
    </w:rPr>
  </w:style>
  <w:style w:type="character" w:styleId="952">
    <w:name w:val="Book Title"/>
    <w:basedOn w:val="978"/>
    <w:uiPriority w:val="33"/>
    <w:qFormat/>
    <w:pPr>
      <w:pBdr/>
      <w:spacing/>
      <w:ind/>
    </w:pPr>
    <w:rPr>
      <w:b/>
      <w:bCs/>
      <w:i/>
      <w:iCs/>
      <w:spacing w:val="5"/>
    </w:rPr>
  </w:style>
  <w:style w:type="character" w:styleId="953">
    <w:name w:val="Header Char"/>
    <w:basedOn w:val="978"/>
    <w:link w:val="1051"/>
    <w:uiPriority w:val="99"/>
    <w:pPr>
      <w:pBdr/>
      <w:spacing/>
      <w:ind/>
    </w:pPr>
  </w:style>
  <w:style w:type="character" w:styleId="954">
    <w:name w:val="Footer Char"/>
    <w:basedOn w:val="978"/>
    <w:link w:val="1053"/>
    <w:uiPriority w:val="99"/>
    <w:pPr>
      <w:pBdr/>
      <w:spacing/>
      <w:ind/>
    </w:pPr>
  </w:style>
  <w:style w:type="character" w:styleId="955">
    <w:name w:val="Footnote Text Char"/>
    <w:basedOn w:val="978"/>
    <w:link w:val="1003"/>
    <w:uiPriority w:val="99"/>
    <w:semiHidden/>
    <w:pPr>
      <w:pBdr/>
      <w:spacing/>
      <w:ind/>
    </w:pPr>
    <w:rPr>
      <w:sz w:val="20"/>
      <w:szCs w:val="20"/>
    </w:rPr>
  </w:style>
  <w:style w:type="paragraph" w:styleId="956">
    <w:name w:val="endnote text"/>
    <w:basedOn w:val="968"/>
    <w:link w:val="957"/>
    <w:uiPriority w:val="99"/>
    <w:semiHidden/>
    <w:unhideWhenUsed/>
    <w:pPr>
      <w:pBdr/>
      <w:spacing w:after="0" w:line="240" w:lineRule="auto"/>
      <w:ind/>
    </w:pPr>
    <w:rPr>
      <w:sz w:val="20"/>
      <w:szCs w:val="20"/>
    </w:rPr>
  </w:style>
  <w:style w:type="character" w:styleId="957">
    <w:name w:val="Endnote Text Char"/>
    <w:basedOn w:val="978"/>
    <w:link w:val="956"/>
    <w:uiPriority w:val="99"/>
    <w:semiHidden/>
    <w:pPr>
      <w:pBdr/>
      <w:spacing/>
      <w:ind/>
    </w:pPr>
    <w:rPr>
      <w:sz w:val="20"/>
      <w:szCs w:val="20"/>
    </w:rPr>
  </w:style>
  <w:style w:type="character" w:styleId="958">
    <w:name w:val="endnote reference"/>
    <w:basedOn w:val="978"/>
    <w:uiPriority w:val="99"/>
    <w:semiHidden/>
    <w:unhideWhenUsed/>
    <w:pPr>
      <w:pBdr/>
      <w:spacing/>
      <w:ind/>
    </w:pPr>
    <w:rPr>
      <w:vertAlign w:val="superscript"/>
    </w:rPr>
  </w:style>
  <w:style w:type="character" w:styleId="959">
    <w:name w:val="FollowedHyperlink"/>
    <w:basedOn w:val="978"/>
    <w:uiPriority w:val="99"/>
    <w:semiHidden/>
    <w:unhideWhenUsed/>
    <w:pPr>
      <w:pBdr/>
      <w:spacing/>
      <w:ind/>
    </w:pPr>
    <w:rPr>
      <w:color w:val="954f72" w:themeColor="followedHyperlink"/>
      <w:u w:val="single"/>
    </w:rPr>
  </w:style>
  <w:style w:type="paragraph" w:styleId="960">
    <w:name w:val="toc 4"/>
    <w:basedOn w:val="968"/>
    <w:next w:val="968"/>
    <w:uiPriority w:val="39"/>
    <w:unhideWhenUsed/>
    <w:pPr>
      <w:pBdr/>
      <w:spacing w:after="100"/>
      <w:ind w:left="660"/>
    </w:pPr>
  </w:style>
  <w:style w:type="paragraph" w:styleId="961">
    <w:name w:val="toc 5"/>
    <w:basedOn w:val="968"/>
    <w:next w:val="968"/>
    <w:uiPriority w:val="39"/>
    <w:unhideWhenUsed/>
    <w:pPr>
      <w:pBdr/>
      <w:spacing w:after="100"/>
      <w:ind w:left="880"/>
    </w:pPr>
  </w:style>
  <w:style w:type="paragraph" w:styleId="962">
    <w:name w:val="toc 6"/>
    <w:basedOn w:val="968"/>
    <w:next w:val="968"/>
    <w:uiPriority w:val="39"/>
    <w:unhideWhenUsed/>
    <w:pPr>
      <w:pBdr/>
      <w:spacing w:after="100"/>
      <w:ind w:left="1100"/>
    </w:pPr>
  </w:style>
  <w:style w:type="paragraph" w:styleId="963">
    <w:name w:val="toc 7"/>
    <w:basedOn w:val="968"/>
    <w:next w:val="968"/>
    <w:uiPriority w:val="39"/>
    <w:unhideWhenUsed/>
    <w:pPr>
      <w:pBdr/>
      <w:spacing w:after="100"/>
      <w:ind w:left="1320"/>
    </w:pPr>
  </w:style>
  <w:style w:type="paragraph" w:styleId="964">
    <w:name w:val="toc 8"/>
    <w:basedOn w:val="968"/>
    <w:next w:val="968"/>
    <w:uiPriority w:val="39"/>
    <w:unhideWhenUsed/>
    <w:pPr>
      <w:pBdr/>
      <w:spacing w:after="100"/>
      <w:ind w:left="1540"/>
    </w:pPr>
  </w:style>
  <w:style w:type="paragraph" w:styleId="965">
    <w:name w:val="toc 9"/>
    <w:basedOn w:val="968"/>
    <w:next w:val="968"/>
    <w:uiPriority w:val="39"/>
    <w:unhideWhenUsed/>
    <w:pPr>
      <w:pBdr/>
      <w:spacing w:after="100"/>
      <w:ind w:left="1760"/>
    </w:pPr>
  </w:style>
  <w:style w:type="character" w:styleId="966">
    <w:name w:val="Placeholder Text"/>
    <w:basedOn w:val="978"/>
    <w:uiPriority w:val="99"/>
    <w:semiHidden/>
    <w:pPr>
      <w:pBdr/>
      <w:spacing/>
      <w:ind/>
    </w:pPr>
    <w:rPr>
      <w:color w:val="666666"/>
    </w:rPr>
  </w:style>
  <w:style w:type="paragraph" w:styleId="967">
    <w:name w:val="table of figures"/>
    <w:basedOn w:val="968"/>
    <w:next w:val="968"/>
    <w:uiPriority w:val="99"/>
    <w:unhideWhenUsed/>
    <w:pPr>
      <w:pBdr/>
      <w:spacing w:after="0" w:afterAutospacing="0"/>
      <w:ind/>
    </w:pPr>
  </w:style>
  <w:style w:type="paragraph" w:styleId="968" w:default="1">
    <w:name w:val="Normal"/>
    <w:qFormat/>
    <w:pPr>
      <w:pBdr/>
      <w:spacing/>
      <w:ind/>
    </w:pPr>
  </w:style>
  <w:style w:type="paragraph" w:styleId="969">
    <w:name w:val="Heading 1"/>
    <w:basedOn w:val="968"/>
    <w:next w:val="981"/>
    <w:link w:val="993"/>
    <w:uiPriority w:val="9"/>
    <w:qFormat/>
    <w:pPr>
      <w:keepNext w:val="true"/>
      <w:keepLines w:val="true"/>
      <w:numPr>
        <w:numId w:val="1"/>
      </w:numPr>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70">
    <w:name w:val="Heading 2"/>
    <w:basedOn w:val="968"/>
    <w:next w:val="981"/>
    <w:link w:val="994"/>
    <w:uiPriority w:val="9"/>
    <w:unhideWhenUsed/>
    <w:qFormat/>
    <w:pPr>
      <w:keepNext w:val="true"/>
      <w:keepLines w:val="true"/>
      <w:numPr>
        <w:ilvl w:val="1"/>
        <w:numId w:val="1"/>
      </w:numPr>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71">
    <w:name w:val="Heading 3"/>
    <w:basedOn w:val="968"/>
    <w:next w:val="981"/>
    <w:link w:val="995"/>
    <w:uiPriority w:val="9"/>
    <w:unhideWhenUsed/>
    <w:qFormat/>
    <w:pPr>
      <w:keepNext w:val="true"/>
      <w:keepLines w:val="true"/>
      <w:numPr>
        <w:ilvl w:val="2"/>
        <w:numId w:val="1"/>
      </w:numPr>
      <w:pBdr/>
      <w:spacing w:after="80" w:before="160"/>
      <w:ind/>
      <w:outlineLvl w:val="2"/>
    </w:pPr>
    <w:rPr>
      <w:rFonts w:eastAsiaTheme="majorEastAsia" w:cstheme="majorBidi"/>
      <w:color w:val="0f4761" w:themeColor="accent1" w:themeShade="BF"/>
      <w:sz w:val="28"/>
      <w:szCs w:val="28"/>
    </w:rPr>
  </w:style>
  <w:style w:type="paragraph" w:styleId="972">
    <w:name w:val="Heading 4"/>
    <w:basedOn w:val="968"/>
    <w:next w:val="981"/>
    <w:link w:val="996"/>
    <w:uiPriority w:val="9"/>
    <w:semiHidden/>
    <w:unhideWhenUsed/>
    <w:qFormat/>
    <w:pPr>
      <w:keepNext w:val="true"/>
      <w:keepLines w:val="true"/>
      <w:numPr>
        <w:ilvl w:val="3"/>
        <w:numId w:val="1"/>
      </w:numPr>
      <w:pBdr/>
      <w:spacing w:after="40" w:before="80"/>
      <w:ind/>
      <w:outlineLvl w:val="3"/>
    </w:pPr>
    <w:rPr>
      <w:rFonts w:eastAsiaTheme="majorEastAsia" w:cstheme="majorBidi"/>
      <w:i/>
      <w:iCs/>
      <w:color w:val="0f4761" w:themeColor="accent1" w:themeShade="BF"/>
    </w:rPr>
  </w:style>
  <w:style w:type="paragraph" w:styleId="973">
    <w:name w:val="Heading 5"/>
    <w:basedOn w:val="968"/>
    <w:next w:val="981"/>
    <w:link w:val="997"/>
    <w:uiPriority w:val="9"/>
    <w:semiHidden/>
    <w:unhideWhenUsed/>
    <w:qFormat/>
    <w:pPr>
      <w:keepNext w:val="true"/>
      <w:keepLines w:val="true"/>
      <w:numPr>
        <w:ilvl w:val="4"/>
        <w:numId w:val="1"/>
      </w:numPr>
      <w:pBdr/>
      <w:spacing w:after="40" w:before="80"/>
      <w:ind/>
      <w:outlineLvl w:val="4"/>
    </w:pPr>
    <w:rPr>
      <w:rFonts w:eastAsiaTheme="majorEastAsia" w:cstheme="majorBidi"/>
      <w:color w:val="0f4761" w:themeColor="accent1" w:themeShade="BF"/>
    </w:rPr>
  </w:style>
  <w:style w:type="paragraph" w:styleId="974">
    <w:name w:val="Heading 6"/>
    <w:basedOn w:val="968"/>
    <w:next w:val="981"/>
    <w:link w:val="998"/>
    <w:uiPriority w:val="9"/>
    <w:semiHidden/>
    <w:unhideWhenUsed/>
    <w:qFormat/>
    <w:pPr>
      <w:keepNext w:val="true"/>
      <w:keepLines w:val="true"/>
      <w:numPr>
        <w:ilvl w:val="5"/>
        <w:numId w:val="1"/>
      </w:numPr>
      <w:pBdr/>
      <w:spacing w:after="0" w:before="40"/>
      <w:ind/>
      <w:outlineLvl w:val="5"/>
    </w:pPr>
    <w:rPr>
      <w:rFonts w:eastAsiaTheme="majorEastAsia" w:cstheme="majorBidi"/>
      <w:i/>
      <w:iCs/>
      <w:color w:val="595959" w:themeColor="text1" w:themeTint="A6"/>
    </w:rPr>
  </w:style>
  <w:style w:type="paragraph" w:styleId="975">
    <w:name w:val="Heading 7"/>
    <w:basedOn w:val="968"/>
    <w:next w:val="981"/>
    <w:link w:val="999"/>
    <w:uiPriority w:val="9"/>
    <w:semiHidden/>
    <w:unhideWhenUsed/>
    <w:qFormat/>
    <w:pPr>
      <w:keepNext w:val="true"/>
      <w:keepLines w:val="true"/>
      <w:numPr>
        <w:ilvl w:val="6"/>
        <w:numId w:val="1"/>
      </w:numPr>
      <w:pBdr/>
      <w:spacing w:after="0" w:before="40"/>
      <w:ind/>
      <w:outlineLvl w:val="6"/>
    </w:pPr>
    <w:rPr>
      <w:rFonts w:eastAsiaTheme="majorEastAsia" w:cstheme="majorBidi"/>
      <w:color w:val="595959" w:themeColor="text1" w:themeTint="A6"/>
    </w:rPr>
  </w:style>
  <w:style w:type="paragraph" w:styleId="976">
    <w:name w:val="Heading 8"/>
    <w:basedOn w:val="968"/>
    <w:next w:val="981"/>
    <w:link w:val="1000"/>
    <w:uiPriority w:val="9"/>
    <w:semiHidden/>
    <w:unhideWhenUsed/>
    <w:qFormat/>
    <w:pPr>
      <w:keepNext w:val="true"/>
      <w:keepLines w:val="true"/>
      <w:numPr>
        <w:ilvl w:val="7"/>
        <w:numId w:val="1"/>
      </w:numPr>
      <w:pBdr/>
      <w:spacing w:after="0"/>
      <w:ind/>
      <w:outlineLvl w:val="7"/>
    </w:pPr>
    <w:rPr>
      <w:rFonts w:eastAsiaTheme="majorEastAsia" w:cstheme="majorBidi"/>
      <w:i/>
      <w:iCs/>
      <w:color w:val="272727" w:themeColor="text1" w:themeTint="D8"/>
    </w:rPr>
  </w:style>
  <w:style w:type="paragraph" w:styleId="977">
    <w:name w:val="Heading 9"/>
    <w:basedOn w:val="968"/>
    <w:next w:val="981"/>
    <w:link w:val="1001"/>
    <w:uiPriority w:val="9"/>
    <w:semiHidden/>
    <w:unhideWhenUsed/>
    <w:qFormat/>
    <w:pPr>
      <w:keepNext w:val="true"/>
      <w:keepLines w:val="true"/>
      <w:numPr>
        <w:ilvl w:val="8"/>
        <w:numId w:val="1"/>
      </w:numPr>
      <w:pBdr/>
      <w:spacing w:after="0"/>
      <w:ind/>
      <w:outlineLvl w:val="8"/>
    </w:pPr>
    <w:rPr>
      <w:rFonts w:eastAsiaTheme="majorEastAsia" w:cstheme="majorBidi"/>
      <w:color w:val="272727" w:themeColor="text1" w:themeTint="D8"/>
    </w:rPr>
  </w:style>
  <w:style w:type="character" w:styleId="978" w:default="1">
    <w:name w:val="Default Paragraph Font"/>
    <w:uiPriority w:val="1"/>
    <w:semiHidden/>
    <w:unhideWhenUsed/>
    <w:pPr>
      <w:pBdr/>
      <w:spacing/>
      <w:ind/>
    </w:pPr>
  </w:style>
  <w:style w:type="table" w:styleId="9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0" w:default="1">
    <w:name w:val="No List"/>
    <w:uiPriority w:val="99"/>
    <w:semiHidden/>
    <w:unhideWhenUsed/>
    <w:pPr>
      <w:pBdr/>
      <w:spacing/>
      <w:ind/>
    </w:pPr>
  </w:style>
  <w:style w:type="paragraph" w:styleId="981">
    <w:name w:val="Body Text"/>
    <w:basedOn w:val="968"/>
    <w:qFormat/>
    <w:pPr>
      <w:pBdr/>
      <w:spacing w:after="180" w:before="180"/>
      <w:ind/>
    </w:pPr>
  </w:style>
  <w:style w:type="paragraph" w:styleId="982" w:customStyle="1">
    <w:name w:val="First Paragraph"/>
    <w:basedOn w:val="981"/>
    <w:next w:val="981"/>
    <w:qFormat/>
    <w:pPr>
      <w:pBdr/>
      <w:spacing/>
      <w:ind/>
    </w:pPr>
  </w:style>
  <w:style w:type="paragraph" w:styleId="983" w:customStyle="1">
    <w:name w:val="Compact"/>
    <w:basedOn w:val="981"/>
    <w:qFormat/>
    <w:pPr>
      <w:pBdr/>
      <w:spacing w:after="36" w:before="36"/>
      <w:ind/>
    </w:pPr>
  </w:style>
  <w:style w:type="paragraph" w:styleId="984">
    <w:name w:val="Title"/>
    <w:basedOn w:val="968"/>
    <w:next w:val="981"/>
    <w:link w:val="985"/>
    <w:uiPriority w:val="10"/>
    <w:qFormat/>
    <w:pPr>
      <w:pBdr/>
      <w:spacing w:after="80"/>
      <w:ind/>
      <w:contextualSpacing w:val="true"/>
      <w:jc w:val="center"/>
    </w:pPr>
    <w:rPr>
      <w:rFonts w:asciiTheme="majorHAnsi" w:hAnsiTheme="majorHAnsi" w:eastAsiaTheme="majorEastAsia" w:cstheme="majorBidi"/>
      <w:spacing w:val="-10"/>
      <w:sz w:val="56"/>
      <w:szCs w:val="56"/>
    </w:rPr>
  </w:style>
  <w:style w:type="character" w:styleId="985" w:customStyle="1">
    <w:name w:val="Titolo Carattere"/>
    <w:basedOn w:val="978"/>
    <w:link w:val="984"/>
    <w:uiPriority w:val="10"/>
    <w:pPr>
      <w:pBdr/>
      <w:spacing/>
      <w:ind/>
    </w:pPr>
    <w:rPr>
      <w:rFonts w:asciiTheme="majorHAnsi" w:hAnsiTheme="majorHAnsi" w:eastAsiaTheme="majorEastAsia" w:cstheme="majorBidi"/>
      <w:spacing w:val="-10"/>
      <w:sz w:val="56"/>
      <w:szCs w:val="56"/>
    </w:rPr>
  </w:style>
  <w:style w:type="paragraph" w:styleId="986">
    <w:name w:val="Subtitle"/>
    <w:basedOn w:val="984"/>
    <w:next w:val="981"/>
    <w:link w:val="987"/>
    <w:uiPriority w:val="11"/>
    <w:qFormat/>
    <w:pPr>
      <w:numPr>
        <w:ilvl w:val="1"/>
      </w:numPr>
      <w:pBdr/>
      <w:spacing/>
      <w:ind/>
    </w:pPr>
    <w:rPr>
      <w:spacing w:val="15"/>
      <w:sz w:val="28"/>
      <w:szCs w:val="28"/>
    </w:rPr>
  </w:style>
  <w:style w:type="character" w:styleId="987" w:customStyle="1">
    <w:name w:val="Sottotitolo Carattere"/>
    <w:basedOn w:val="978"/>
    <w:link w:val="986"/>
    <w:uiPriority w:val="11"/>
    <w:pPr>
      <w:pBdr/>
      <w:spacing/>
      <w:ind/>
    </w:pPr>
    <w:rPr>
      <w:rFonts w:eastAsiaTheme="majorEastAsia" w:cstheme="majorBidi"/>
      <w:color w:val="595959" w:themeColor="text1" w:themeTint="A6"/>
      <w:spacing w:val="15"/>
      <w:sz w:val="28"/>
      <w:szCs w:val="28"/>
    </w:rPr>
  </w:style>
  <w:style w:type="paragraph" w:styleId="988" w:customStyle="1">
    <w:name w:val="Author"/>
    <w:next w:val="981"/>
    <w:qFormat/>
    <w:pPr>
      <w:keepNext w:val="true"/>
      <w:keepLines w:val="true"/>
      <w:pBdr/>
      <w:spacing/>
      <w:ind/>
      <w:jc w:val="center"/>
    </w:pPr>
  </w:style>
  <w:style w:type="paragraph" w:styleId="989">
    <w:name w:val="Date"/>
    <w:next w:val="981"/>
    <w:qFormat/>
    <w:pPr>
      <w:keepNext w:val="true"/>
      <w:keepLines w:val="true"/>
      <w:pBdr/>
      <w:spacing/>
      <w:ind/>
      <w:jc w:val="center"/>
    </w:pPr>
  </w:style>
  <w:style w:type="paragraph" w:styleId="990" w:customStyle="1">
    <w:name w:val="Abstract Title"/>
    <w:basedOn w:val="968"/>
    <w:next w:val="991"/>
    <w:qFormat/>
    <w:pPr>
      <w:keepNext w:val="true"/>
      <w:keepLines w:val="true"/>
      <w:pBdr/>
      <w:spacing w:after="0" w:before="300"/>
      <w:ind/>
      <w:jc w:val="center"/>
    </w:pPr>
    <w:rPr>
      <w:b/>
      <w:sz w:val="20"/>
      <w:szCs w:val="20"/>
    </w:rPr>
  </w:style>
  <w:style w:type="paragraph" w:styleId="991" w:customStyle="1">
    <w:name w:val="Abstract"/>
    <w:basedOn w:val="968"/>
    <w:next w:val="981"/>
    <w:qFormat/>
    <w:pPr>
      <w:keepNext w:val="true"/>
      <w:keepLines w:val="true"/>
      <w:pBdr/>
      <w:spacing w:after="300" w:before="100"/>
      <w:ind/>
    </w:pPr>
    <w:rPr>
      <w:sz w:val="20"/>
      <w:szCs w:val="20"/>
    </w:rPr>
  </w:style>
  <w:style w:type="paragraph" w:styleId="992">
    <w:name w:val="Bibliography"/>
    <w:basedOn w:val="968"/>
    <w:qFormat/>
    <w:pPr>
      <w:pBdr/>
      <w:spacing/>
      <w:ind/>
    </w:pPr>
  </w:style>
  <w:style w:type="character" w:styleId="993" w:customStyle="1">
    <w:name w:val="Titolo 1 Carattere"/>
    <w:basedOn w:val="978"/>
    <w:link w:val="969"/>
    <w:uiPriority w:val="9"/>
    <w:pPr>
      <w:pBdr/>
      <w:spacing/>
      <w:ind/>
    </w:pPr>
    <w:rPr>
      <w:rFonts w:asciiTheme="majorHAnsi" w:hAnsiTheme="majorHAnsi" w:eastAsiaTheme="majorEastAsia" w:cstheme="majorBidi"/>
      <w:color w:val="0f4761" w:themeColor="accent1" w:themeShade="BF"/>
      <w:sz w:val="40"/>
      <w:szCs w:val="40"/>
    </w:rPr>
  </w:style>
  <w:style w:type="character" w:styleId="994" w:customStyle="1">
    <w:name w:val="Titolo 2 Carattere"/>
    <w:basedOn w:val="978"/>
    <w:link w:val="970"/>
    <w:uiPriority w:val="9"/>
    <w:pPr>
      <w:pBdr/>
      <w:spacing/>
      <w:ind/>
    </w:pPr>
    <w:rPr>
      <w:rFonts w:asciiTheme="majorHAnsi" w:hAnsiTheme="majorHAnsi" w:eastAsiaTheme="majorEastAsia" w:cstheme="majorBidi"/>
      <w:color w:val="0f4761" w:themeColor="accent1" w:themeShade="BF"/>
      <w:sz w:val="32"/>
      <w:szCs w:val="32"/>
    </w:rPr>
  </w:style>
  <w:style w:type="character" w:styleId="995" w:customStyle="1">
    <w:name w:val="Titolo 3 Carattere"/>
    <w:basedOn w:val="978"/>
    <w:link w:val="971"/>
    <w:uiPriority w:val="9"/>
    <w:pPr>
      <w:pBdr/>
      <w:spacing/>
      <w:ind/>
    </w:pPr>
    <w:rPr>
      <w:rFonts w:eastAsiaTheme="majorEastAsia" w:cstheme="majorBidi"/>
      <w:color w:val="0f4761" w:themeColor="accent1" w:themeShade="BF"/>
      <w:sz w:val="28"/>
      <w:szCs w:val="28"/>
    </w:rPr>
  </w:style>
  <w:style w:type="character" w:styleId="996" w:customStyle="1">
    <w:name w:val="Titolo 4 Carattere"/>
    <w:basedOn w:val="978"/>
    <w:link w:val="972"/>
    <w:uiPriority w:val="9"/>
    <w:semiHidden/>
    <w:pPr>
      <w:pBdr/>
      <w:spacing/>
      <w:ind/>
    </w:pPr>
    <w:rPr>
      <w:rFonts w:eastAsiaTheme="majorEastAsia" w:cstheme="majorBidi"/>
      <w:i/>
      <w:iCs/>
      <w:color w:val="0f4761" w:themeColor="accent1" w:themeShade="BF"/>
    </w:rPr>
  </w:style>
  <w:style w:type="character" w:styleId="997" w:customStyle="1">
    <w:name w:val="Titolo 5 Carattere"/>
    <w:basedOn w:val="978"/>
    <w:link w:val="973"/>
    <w:uiPriority w:val="9"/>
    <w:semiHidden/>
    <w:pPr>
      <w:pBdr/>
      <w:spacing/>
      <w:ind/>
    </w:pPr>
    <w:rPr>
      <w:rFonts w:eastAsiaTheme="majorEastAsia" w:cstheme="majorBidi"/>
      <w:color w:val="0f4761" w:themeColor="accent1" w:themeShade="BF"/>
    </w:rPr>
  </w:style>
  <w:style w:type="character" w:styleId="998" w:customStyle="1">
    <w:name w:val="Titolo 6 Carattere"/>
    <w:basedOn w:val="978"/>
    <w:link w:val="974"/>
    <w:uiPriority w:val="9"/>
    <w:semiHidden/>
    <w:pPr>
      <w:pBdr/>
      <w:spacing/>
      <w:ind/>
    </w:pPr>
    <w:rPr>
      <w:rFonts w:eastAsiaTheme="majorEastAsia" w:cstheme="majorBidi"/>
      <w:i/>
      <w:iCs/>
      <w:color w:val="595959" w:themeColor="text1" w:themeTint="A6"/>
    </w:rPr>
  </w:style>
  <w:style w:type="character" w:styleId="999" w:customStyle="1">
    <w:name w:val="Titolo 7 Carattere"/>
    <w:basedOn w:val="978"/>
    <w:link w:val="975"/>
    <w:uiPriority w:val="9"/>
    <w:semiHidden/>
    <w:pPr>
      <w:pBdr/>
      <w:spacing/>
      <w:ind/>
    </w:pPr>
    <w:rPr>
      <w:rFonts w:eastAsiaTheme="majorEastAsia" w:cstheme="majorBidi"/>
      <w:color w:val="595959" w:themeColor="text1" w:themeTint="A6"/>
    </w:rPr>
  </w:style>
  <w:style w:type="character" w:styleId="1000" w:customStyle="1">
    <w:name w:val="Titolo 8 Carattere"/>
    <w:basedOn w:val="978"/>
    <w:link w:val="976"/>
    <w:uiPriority w:val="9"/>
    <w:semiHidden/>
    <w:pPr>
      <w:pBdr/>
      <w:spacing/>
      <w:ind/>
    </w:pPr>
    <w:rPr>
      <w:rFonts w:eastAsiaTheme="majorEastAsia" w:cstheme="majorBidi"/>
      <w:i/>
      <w:iCs/>
      <w:color w:val="272727" w:themeColor="text1" w:themeTint="D8"/>
    </w:rPr>
  </w:style>
  <w:style w:type="character" w:styleId="1001" w:customStyle="1">
    <w:name w:val="Titolo 9 Carattere"/>
    <w:basedOn w:val="978"/>
    <w:link w:val="977"/>
    <w:uiPriority w:val="9"/>
    <w:semiHidden/>
    <w:pPr>
      <w:pBdr/>
      <w:spacing/>
      <w:ind/>
    </w:pPr>
    <w:rPr>
      <w:rFonts w:eastAsiaTheme="majorEastAsia" w:cstheme="majorBidi"/>
      <w:color w:val="272727" w:themeColor="text1" w:themeTint="D8"/>
    </w:rPr>
  </w:style>
  <w:style w:type="paragraph" w:styleId="1002">
    <w:name w:val="Block Text"/>
    <w:basedOn w:val="981"/>
    <w:next w:val="981"/>
    <w:uiPriority w:val="9"/>
    <w:unhideWhenUsed/>
    <w:qFormat/>
    <w:pPr>
      <w:pBdr/>
      <w:spacing w:after="100" w:before="100"/>
      <w:ind w:right="480" w:left="480"/>
    </w:pPr>
  </w:style>
  <w:style w:type="paragraph" w:styleId="1003">
    <w:name w:val="footnote text"/>
    <w:basedOn w:val="968"/>
    <w:uiPriority w:val="9"/>
    <w:unhideWhenUsed/>
    <w:qFormat/>
    <w:pPr>
      <w:pBdr/>
      <w:spacing/>
      <w:ind/>
    </w:pPr>
  </w:style>
  <w:style w:type="paragraph" w:styleId="1004" w:customStyle="1">
    <w:name w:val="Footnote Block Text"/>
    <w:basedOn w:val="1003"/>
    <w:next w:val="1003"/>
    <w:uiPriority w:val="9"/>
    <w:unhideWhenUsed/>
    <w:qFormat/>
    <w:pPr>
      <w:pBdr/>
      <w:spacing w:after="100" w:before="100"/>
      <w:ind w:right="480" w:left="480"/>
    </w:pPr>
  </w:style>
  <w:style w:type="table" w:styleId="1005"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6" w:customStyle="1">
    <w:name w:val="Definition Term"/>
    <w:basedOn w:val="968"/>
    <w:next w:val="1007"/>
    <w:pPr>
      <w:keepNext w:val="true"/>
      <w:keepLines w:val="true"/>
      <w:pBdr/>
      <w:spacing w:after="0"/>
      <w:ind/>
    </w:pPr>
    <w:rPr>
      <w:b/>
    </w:rPr>
  </w:style>
  <w:style w:type="paragraph" w:styleId="1007" w:customStyle="1">
    <w:name w:val="Definition"/>
    <w:basedOn w:val="968"/>
    <w:pPr>
      <w:pBdr/>
      <w:spacing/>
      <w:ind/>
    </w:pPr>
  </w:style>
  <w:style w:type="paragraph" w:styleId="1008">
    <w:name w:val="Caption"/>
    <w:basedOn w:val="968"/>
    <w:link w:val="1013"/>
    <w:pPr>
      <w:pBdr/>
      <w:spacing w:after="120"/>
      <w:ind/>
    </w:pPr>
    <w:rPr>
      <w:i/>
    </w:rPr>
  </w:style>
  <w:style w:type="paragraph" w:styleId="1009" w:customStyle="1">
    <w:name w:val="Table Caption"/>
    <w:basedOn w:val="1008"/>
    <w:pPr>
      <w:keepNext w:val="true"/>
      <w:pBdr/>
      <w:spacing/>
      <w:ind/>
    </w:pPr>
  </w:style>
  <w:style w:type="paragraph" w:styleId="1010" w:customStyle="1">
    <w:name w:val="Image Caption"/>
    <w:basedOn w:val="1008"/>
    <w:pPr>
      <w:pBdr/>
      <w:spacing/>
      <w:ind/>
    </w:pPr>
  </w:style>
  <w:style w:type="paragraph" w:styleId="1011" w:customStyle="1">
    <w:name w:val="Figure"/>
    <w:basedOn w:val="968"/>
    <w:pPr>
      <w:pBdr/>
      <w:spacing/>
      <w:ind/>
    </w:pPr>
  </w:style>
  <w:style w:type="paragraph" w:styleId="1012" w:customStyle="1">
    <w:name w:val="Captioned Figure"/>
    <w:basedOn w:val="1011"/>
    <w:pPr>
      <w:keepNext w:val="true"/>
      <w:pBdr/>
      <w:spacing/>
      <w:ind/>
    </w:pPr>
  </w:style>
  <w:style w:type="character" w:styleId="1013" w:customStyle="1">
    <w:name w:val="Didascalia Carattere"/>
    <w:basedOn w:val="978"/>
    <w:link w:val="1008"/>
    <w:pPr>
      <w:pBdr/>
      <w:spacing/>
      <w:ind/>
    </w:pPr>
  </w:style>
  <w:style w:type="character" w:styleId="1014" w:customStyle="1">
    <w:name w:val="Verbatim Char"/>
    <w:basedOn w:val="1013"/>
    <w:link w:val="1019"/>
    <w:pPr>
      <w:pBdr/>
      <w:spacing/>
      <w:ind/>
    </w:pPr>
    <w:rPr>
      <w:rFonts w:ascii="Consolas" w:hAnsi="Consolas"/>
      <w:sz w:val="22"/>
    </w:rPr>
  </w:style>
  <w:style w:type="character" w:styleId="1015" w:customStyle="1">
    <w:name w:val="Section Number"/>
    <w:basedOn w:val="1013"/>
    <w:pPr>
      <w:pBdr/>
      <w:spacing/>
      <w:ind/>
    </w:pPr>
  </w:style>
  <w:style w:type="character" w:styleId="1016">
    <w:name w:val="footnote reference"/>
    <w:basedOn w:val="1013"/>
    <w:pPr>
      <w:pBdr/>
      <w:spacing/>
      <w:ind/>
    </w:pPr>
    <w:rPr>
      <w:vertAlign w:val="superscript"/>
    </w:rPr>
  </w:style>
  <w:style w:type="character" w:styleId="1017">
    <w:name w:val="Hyperlink"/>
    <w:basedOn w:val="1013"/>
    <w:uiPriority w:val="99"/>
    <w:pPr>
      <w:pBdr/>
      <w:spacing/>
      <w:ind/>
    </w:pPr>
    <w:rPr>
      <w:color w:val="156082" w:themeColor="accent1"/>
    </w:rPr>
  </w:style>
  <w:style w:type="paragraph" w:styleId="1018">
    <w:name w:val="TOC Heading"/>
    <w:basedOn w:val="969"/>
    <w:next w:val="981"/>
    <w:uiPriority w:val="39"/>
    <w:unhideWhenUsed/>
    <w:qFormat/>
    <w:pPr>
      <w:pBdr/>
      <w:spacing w:before="240" w:line="259" w:lineRule="auto"/>
      <w:ind/>
      <w:outlineLvl w:val="9"/>
    </w:pPr>
  </w:style>
  <w:style w:type="paragraph" w:styleId="1019" w:customStyle="1">
    <w:name w:val="Source Code"/>
    <w:basedOn w:val="968"/>
    <w:link w:val="1014"/>
    <w:pPr>
      <w:pBdr/>
      <w:spacing/>
      <w:ind/>
    </w:pPr>
  </w:style>
  <w:style w:type="character" w:styleId="1020" w:customStyle="1">
    <w:name w:val="KeywordTok"/>
    <w:basedOn w:val="1014"/>
    <w:pPr>
      <w:pBdr/>
      <w:spacing/>
      <w:ind/>
    </w:pPr>
    <w:rPr>
      <w:rFonts w:ascii="Consolas" w:hAnsi="Consolas"/>
      <w:b/>
      <w:color w:val="007020"/>
      <w:sz w:val="22"/>
    </w:rPr>
  </w:style>
  <w:style w:type="character" w:styleId="1021" w:customStyle="1">
    <w:name w:val="DataTypeTok"/>
    <w:basedOn w:val="1014"/>
    <w:pPr>
      <w:pBdr/>
      <w:spacing/>
      <w:ind/>
    </w:pPr>
    <w:rPr>
      <w:rFonts w:ascii="Consolas" w:hAnsi="Consolas"/>
      <w:color w:val="902000"/>
      <w:sz w:val="22"/>
    </w:rPr>
  </w:style>
  <w:style w:type="character" w:styleId="1022" w:customStyle="1">
    <w:name w:val="DecValTok"/>
    <w:basedOn w:val="1014"/>
    <w:pPr>
      <w:pBdr/>
      <w:spacing/>
      <w:ind/>
    </w:pPr>
    <w:rPr>
      <w:rFonts w:ascii="Consolas" w:hAnsi="Consolas"/>
      <w:color w:val="40a070"/>
      <w:sz w:val="22"/>
    </w:rPr>
  </w:style>
  <w:style w:type="character" w:styleId="1023" w:customStyle="1">
    <w:name w:val="BaseNTok"/>
    <w:basedOn w:val="1014"/>
    <w:pPr>
      <w:pBdr/>
      <w:spacing/>
      <w:ind/>
    </w:pPr>
    <w:rPr>
      <w:rFonts w:ascii="Consolas" w:hAnsi="Consolas"/>
      <w:color w:val="40a070"/>
      <w:sz w:val="22"/>
    </w:rPr>
  </w:style>
  <w:style w:type="character" w:styleId="1024" w:customStyle="1">
    <w:name w:val="FloatTok"/>
    <w:basedOn w:val="1014"/>
    <w:pPr>
      <w:pBdr/>
      <w:spacing/>
      <w:ind/>
    </w:pPr>
    <w:rPr>
      <w:rFonts w:ascii="Consolas" w:hAnsi="Consolas"/>
      <w:color w:val="40a070"/>
      <w:sz w:val="22"/>
    </w:rPr>
  </w:style>
  <w:style w:type="character" w:styleId="1025" w:customStyle="1">
    <w:name w:val="ConstantTok"/>
    <w:basedOn w:val="1014"/>
    <w:pPr>
      <w:pBdr/>
      <w:spacing/>
      <w:ind/>
    </w:pPr>
    <w:rPr>
      <w:rFonts w:ascii="Consolas" w:hAnsi="Consolas"/>
      <w:color w:val="880000"/>
      <w:sz w:val="22"/>
    </w:rPr>
  </w:style>
  <w:style w:type="character" w:styleId="1026" w:customStyle="1">
    <w:name w:val="CharTok"/>
    <w:basedOn w:val="1014"/>
    <w:pPr>
      <w:pBdr/>
      <w:spacing/>
      <w:ind/>
    </w:pPr>
    <w:rPr>
      <w:rFonts w:ascii="Consolas" w:hAnsi="Consolas"/>
      <w:color w:val="4070a0"/>
      <w:sz w:val="22"/>
    </w:rPr>
  </w:style>
  <w:style w:type="character" w:styleId="1027" w:customStyle="1">
    <w:name w:val="SpecialCharTok"/>
    <w:basedOn w:val="1014"/>
    <w:pPr>
      <w:pBdr/>
      <w:spacing/>
      <w:ind/>
    </w:pPr>
    <w:rPr>
      <w:rFonts w:ascii="Consolas" w:hAnsi="Consolas"/>
      <w:color w:val="4070a0"/>
      <w:sz w:val="22"/>
    </w:rPr>
  </w:style>
  <w:style w:type="character" w:styleId="1028" w:customStyle="1">
    <w:name w:val="StringTok"/>
    <w:basedOn w:val="1014"/>
    <w:pPr>
      <w:pBdr/>
      <w:spacing/>
      <w:ind/>
    </w:pPr>
    <w:rPr>
      <w:rFonts w:ascii="Consolas" w:hAnsi="Consolas"/>
      <w:color w:val="4070a0"/>
      <w:sz w:val="22"/>
    </w:rPr>
  </w:style>
  <w:style w:type="character" w:styleId="1029" w:customStyle="1">
    <w:name w:val="VerbatimStringTok"/>
    <w:basedOn w:val="1014"/>
    <w:pPr>
      <w:pBdr/>
      <w:spacing/>
      <w:ind/>
    </w:pPr>
    <w:rPr>
      <w:rFonts w:ascii="Consolas" w:hAnsi="Consolas"/>
      <w:color w:val="4070a0"/>
      <w:sz w:val="22"/>
    </w:rPr>
  </w:style>
  <w:style w:type="character" w:styleId="1030" w:customStyle="1">
    <w:name w:val="SpecialStringTok"/>
    <w:basedOn w:val="1014"/>
    <w:pPr>
      <w:pBdr/>
      <w:spacing/>
      <w:ind/>
    </w:pPr>
    <w:rPr>
      <w:rFonts w:ascii="Consolas" w:hAnsi="Consolas"/>
      <w:color w:val="bb6688"/>
      <w:sz w:val="22"/>
    </w:rPr>
  </w:style>
  <w:style w:type="character" w:styleId="1031" w:customStyle="1">
    <w:name w:val="ImportTok"/>
    <w:basedOn w:val="1014"/>
    <w:pPr>
      <w:pBdr/>
      <w:spacing/>
      <w:ind/>
    </w:pPr>
    <w:rPr>
      <w:rFonts w:ascii="Consolas" w:hAnsi="Consolas"/>
      <w:b/>
      <w:color w:val="008000"/>
      <w:sz w:val="22"/>
    </w:rPr>
  </w:style>
  <w:style w:type="character" w:styleId="1032" w:customStyle="1">
    <w:name w:val="CommentTok"/>
    <w:basedOn w:val="1014"/>
    <w:pPr>
      <w:pBdr/>
      <w:spacing/>
      <w:ind/>
    </w:pPr>
    <w:rPr>
      <w:rFonts w:ascii="Consolas" w:hAnsi="Consolas"/>
      <w:i/>
      <w:color w:val="60a0b0"/>
      <w:sz w:val="22"/>
    </w:rPr>
  </w:style>
  <w:style w:type="character" w:styleId="1033" w:customStyle="1">
    <w:name w:val="DocumentationTok"/>
    <w:basedOn w:val="1014"/>
    <w:pPr>
      <w:pBdr/>
      <w:spacing/>
      <w:ind/>
    </w:pPr>
    <w:rPr>
      <w:rFonts w:ascii="Consolas" w:hAnsi="Consolas"/>
      <w:i/>
      <w:color w:val="ba2121"/>
      <w:sz w:val="22"/>
    </w:rPr>
  </w:style>
  <w:style w:type="character" w:styleId="1034" w:customStyle="1">
    <w:name w:val="AnnotationTok"/>
    <w:basedOn w:val="1014"/>
    <w:pPr>
      <w:pBdr/>
      <w:spacing/>
      <w:ind/>
    </w:pPr>
    <w:rPr>
      <w:rFonts w:ascii="Consolas" w:hAnsi="Consolas"/>
      <w:b/>
      <w:i/>
      <w:color w:val="60a0b0"/>
      <w:sz w:val="22"/>
    </w:rPr>
  </w:style>
  <w:style w:type="character" w:styleId="1035" w:customStyle="1">
    <w:name w:val="CommentVarTok"/>
    <w:basedOn w:val="1014"/>
    <w:pPr>
      <w:pBdr/>
      <w:spacing/>
      <w:ind/>
    </w:pPr>
    <w:rPr>
      <w:rFonts w:ascii="Consolas" w:hAnsi="Consolas"/>
      <w:b/>
      <w:i/>
      <w:color w:val="60a0b0"/>
      <w:sz w:val="22"/>
    </w:rPr>
  </w:style>
  <w:style w:type="character" w:styleId="1036" w:customStyle="1">
    <w:name w:val="OtherTok"/>
    <w:basedOn w:val="1014"/>
    <w:pPr>
      <w:pBdr/>
      <w:spacing/>
      <w:ind/>
    </w:pPr>
    <w:rPr>
      <w:rFonts w:ascii="Consolas" w:hAnsi="Consolas"/>
      <w:color w:val="007020"/>
      <w:sz w:val="22"/>
    </w:rPr>
  </w:style>
  <w:style w:type="character" w:styleId="1037" w:customStyle="1">
    <w:name w:val="FunctionTok"/>
    <w:basedOn w:val="1014"/>
    <w:pPr>
      <w:pBdr/>
      <w:spacing/>
      <w:ind/>
    </w:pPr>
    <w:rPr>
      <w:rFonts w:ascii="Consolas" w:hAnsi="Consolas"/>
      <w:color w:val="06287e"/>
      <w:sz w:val="22"/>
    </w:rPr>
  </w:style>
  <w:style w:type="character" w:styleId="1038" w:customStyle="1">
    <w:name w:val="VariableTok"/>
    <w:basedOn w:val="1014"/>
    <w:pPr>
      <w:pBdr/>
      <w:spacing/>
      <w:ind/>
    </w:pPr>
    <w:rPr>
      <w:rFonts w:ascii="Consolas" w:hAnsi="Consolas"/>
      <w:color w:val="19177c"/>
      <w:sz w:val="22"/>
    </w:rPr>
  </w:style>
  <w:style w:type="character" w:styleId="1039" w:customStyle="1">
    <w:name w:val="ControlFlowTok"/>
    <w:basedOn w:val="1014"/>
    <w:pPr>
      <w:pBdr/>
      <w:spacing/>
      <w:ind/>
    </w:pPr>
    <w:rPr>
      <w:rFonts w:ascii="Consolas" w:hAnsi="Consolas"/>
      <w:b/>
      <w:color w:val="007020"/>
      <w:sz w:val="22"/>
    </w:rPr>
  </w:style>
  <w:style w:type="character" w:styleId="1040" w:customStyle="1">
    <w:name w:val="OperatorTok"/>
    <w:basedOn w:val="1014"/>
    <w:pPr>
      <w:pBdr/>
      <w:spacing/>
      <w:ind/>
    </w:pPr>
    <w:rPr>
      <w:rFonts w:ascii="Consolas" w:hAnsi="Consolas"/>
      <w:color w:val="666666"/>
      <w:sz w:val="22"/>
    </w:rPr>
  </w:style>
  <w:style w:type="character" w:styleId="1041" w:customStyle="1">
    <w:name w:val="BuiltInTok"/>
    <w:basedOn w:val="1014"/>
    <w:pPr>
      <w:pBdr/>
      <w:spacing/>
      <w:ind/>
    </w:pPr>
    <w:rPr>
      <w:rFonts w:ascii="Consolas" w:hAnsi="Consolas"/>
      <w:color w:val="008000"/>
      <w:sz w:val="22"/>
    </w:rPr>
  </w:style>
  <w:style w:type="character" w:styleId="1042" w:customStyle="1">
    <w:name w:val="ExtensionTok"/>
    <w:basedOn w:val="1014"/>
    <w:pPr>
      <w:pBdr/>
      <w:spacing/>
      <w:ind/>
    </w:pPr>
    <w:rPr>
      <w:rFonts w:ascii="Consolas" w:hAnsi="Consolas"/>
      <w:sz w:val="22"/>
    </w:rPr>
  </w:style>
  <w:style w:type="character" w:styleId="1043" w:customStyle="1">
    <w:name w:val="PreprocessorTok"/>
    <w:basedOn w:val="1014"/>
    <w:pPr>
      <w:pBdr/>
      <w:spacing/>
      <w:ind/>
    </w:pPr>
    <w:rPr>
      <w:rFonts w:ascii="Consolas" w:hAnsi="Consolas"/>
      <w:color w:val="bc7a00"/>
      <w:sz w:val="22"/>
    </w:rPr>
  </w:style>
  <w:style w:type="character" w:styleId="1044" w:customStyle="1">
    <w:name w:val="AttributeTok"/>
    <w:basedOn w:val="1014"/>
    <w:pPr>
      <w:pBdr/>
      <w:spacing/>
      <w:ind/>
    </w:pPr>
    <w:rPr>
      <w:rFonts w:ascii="Consolas" w:hAnsi="Consolas"/>
      <w:color w:val="7d9029"/>
      <w:sz w:val="22"/>
    </w:rPr>
  </w:style>
  <w:style w:type="character" w:styleId="1045" w:customStyle="1">
    <w:name w:val="RegionMarkerTok"/>
    <w:basedOn w:val="1014"/>
    <w:pPr>
      <w:pBdr/>
      <w:spacing/>
      <w:ind/>
    </w:pPr>
    <w:rPr>
      <w:rFonts w:ascii="Consolas" w:hAnsi="Consolas"/>
      <w:sz w:val="22"/>
    </w:rPr>
  </w:style>
  <w:style w:type="character" w:styleId="1046" w:customStyle="1">
    <w:name w:val="InformationTok"/>
    <w:basedOn w:val="1014"/>
    <w:pPr>
      <w:pBdr/>
      <w:spacing/>
      <w:ind/>
    </w:pPr>
    <w:rPr>
      <w:rFonts w:ascii="Consolas" w:hAnsi="Consolas"/>
      <w:b/>
      <w:i/>
      <w:color w:val="60a0b0"/>
      <w:sz w:val="22"/>
    </w:rPr>
  </w:style>
  <w:style w:type="character" w:styleId="1047" w:customStyle="1">
    <w:name w:val="WarningTok"/>
    <w:basedOn w:val="1014"/>
    <w:pPr>
      <w:pBdr/>
      <w:spacing/>
      <w:ind/>
    </w:pPr>
    <w:rPr>
      <w:rFonts w:ascii="Consolas" w:hAnsi="Consolas"/>
      <w:b/>
      <w:i/>
      <w:color w:val="60a0b0"/>
      <w:sz w:val="22"/>
    </w:rPr>
  </w:style>
  <w:style w:type="character" w:styleId="1048" w:customStyle="1">
    <w:name w:val="AlertTok"/>
    <w:basedOn w:val="1014"/>
    <w:pPr>
      <w:pBdr/>
      <w:spacing/>
      <w:ind/>
    </w:pPr>
    <w:rPr>
      <w:rFonts w:ascii="Consolas" w:hAnsi="Consolas"/>
      <w:b/>
      <w:color w:val="ff0000"/>
      <w:sz w:val="22"/>
    </w:rPr>
  </w:style>
  <w:style w:type="character" w:styleId="1049" w:customStyle="1">
    <w:name w:val="ErrorTok"/>
    <w:basedOn w:val="1014"/>
    <w:pPr>
      <w:pBdr/>
      <w:spacing/>
      <w:ind/>
    </w:pPr>
    <w:rPr>
      <w:rFonts w:ascii="Consolas" w:hAnsi="Consolas"/>
      <w:b/>
      <w:color w:val="ff0000"/>
      <w:sz w:val="22"/>
    </w:rPr>
  </w:style>
  <w:style w:type="character" w:styleId="1050" w:customStyle="1">
    <w:name w:val="NormalTok"/>
    <w:basedOn w:val="1014"/>
    <w:pPr>
      <w:pBdr/>
      <w:spacing/>
      <w:ind/>
    </w:pPr>
    <w:rPr>
      <w:rFonts w:ascii="Consolas" w:hAnsi="Consolas"/>
      <w:sz w:val="22"/>
    </w:rPr>
  </w:style>
  <w:style w:type="paragraph" w:styleId="1051">
    <w:name w:val="Header"/>
    <w:basedOn w:val="968"/>
    <w:link w:val="1052"/>
    <w:uiPriority w:val="99"/>
    <w:pPr>
      <w:pBdr/>
      <w:tabs>
        <w:tab w:val="center" w:leader="none" w:pos="4819"/>
        <w:tab w:val="right" w:leader="none" w:pos="9638"/>
      </w:tabs>
      <w:spacing w:after="0"/>
      <w:ind/>
    </w:pPr>
  </w:style>
  <w:style w:type="character" w:styleId="1052" w:customStyle="1">
    <w:name w:val="Intestazione Carattere"/>
    <w:basedOn w:val="978"/>
    <w:link w:val="1051"/>
    <w:uiPriority w:val="99"/>
    <w:pPr>
      <w:pBdr/>
      <w:spacing/>
      <w:ind/>
    </w:pPr>
  </w:style>
  <w:style w:type="paragraph" w:styleId="1053">
    <w:name w:val="Footer"/>
    <w:basedOn w:val="968"/>
    <w:link w:val="1054"/>
    <w:uiPriority w:val="99"/>
    <w:pPr>
      <w:pBdr/>
      <w:tabs>
        <w:tab w:val="center" w:leader="none" w:pos="4819"/>
        <w:tab w:val="right" w:leader="none" w:pos="9638"/>
      </w:tabs>
      <w:spacing w:after="0"/>
      <w:ind/>
    </w:pPr>
  </w:style>
  <w:style w:type="character" w:styleId="1054" w:customStyle="1">
    <w:name w:val="Piè di pagina Carattere"/>
    <w:basedOn w:val="978"/>
    <w:link w:val="1053"/>
    <w:uiPriority w:val="99"/>
    <w:pPr>
      <w:pBdr/>
      <w:spacing/>
      <w:ind/>
    </w:pPr>
  </w:style>
  <w:style w:type="table" w:styleId="1055">
    <w:name w:val="Table Grid"/>
    <w:basedOn w:val="979"/>
    <w:pPr>
      <w:pBdr/>
      <w:spacing w:after="0"/>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6">
    <w:name w:val="toc 1"/>
    <w:basedOn w:val="968"/>
    <w:next w:val="968"/>
    <w:uiPriority w:val="39"/>
    <w:pPr>
      <w:pBdr/>
      <w:spacing w:after="100"/>
      <w:ind/>
    </w:pPr>
  </w:style>
  <w:style w:type="paragraph" w:styleId="1057">
    <w:name w:val="toc 2"/>
    <w:basedOn w:val="968"/>
    <w:next w:val="968"/>
    <w:uiPriority w:val="39"/>
    <w:pPr>
      <w:pBdr/>
      <w:spacing w:after="100"/>
      <w:ind w:left="240"/>
    </w:pPr>
  </w:style>
  <w:style w:type="paragraph" w:styleId="1058">
    <w:name w:val="toc 3"/>
    <w:basedOn w:val="968"/>
    <w:next w:val="968"/>
    <w:uiPriority w:val="39"/>
    <w:pPr>
      <w:pBdr/>
      <w:spacing w:after="100"/>
      <w:ind w:left="480"/>
    </w:pPr>
  </w:style>
  <w:style w:type="table" w:styleId="1059">
    <w:name w:val="Plain Table 1"/>
    <w:basedOn w:val="979"/>
    <w:pPr>
      <w:pBdr/>
      <w:spacing w:after="0"/>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file://file-6upqkKDJM5EktxA9eBbtqY"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6FA1-072C-41C1-BB99-0BD17C336E07}">
  <ds:schemaRefs>
    <ds:schemaRef ds:uri="http://schemas.microsoft.com/office/2006/metadata/properties"/>
    <ds:schemaRef ds:uri="http://www.w3.org/2001/XMLSchema-instance"/>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dc:language>it</dc:language>
  <cp:lastModifiedBy>Francesco Scavello</cp:lastModifiedBy>
  <cp:revision>5</cp:revision>
  <dcterms:created xsi:type="dcterms:W3CDTF">2025-10-15T14:05:00Z</dcterms:created>
  <dcterms:modified xsi:type="dcterms:W3CDTF">2025-10-29T09:20:42Z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