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customXml/itemProps4.xml" ContentType="application/vnd.openxmlformats-officedocument.customXmlProperties+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1029"/>
        <w:pBdr/>
        <w:spacing/>
        <w:ind/>
        <w:jc w:val="center"/>
        <w:rPr>
          <w:rFonts w:asciiTheme="majorHAnsi" w:hAnsiTheme="majorHAnsi" w:eastAsiaTheme="majorEastAsia" w:cstheme="majorBidi"/>
          <w:spacing w:val="-10"/>
          <w:sz w:val="56"/>
          <w:szCs w:val="56"/>
        </w:rPr>
      </w:pPr>
      <w:r/>
      <w:bookmarkStart w:id="0" w:name="Xb86a0334da18bd5dcadfa5ca6143a46167e6f72"/>
      <w:r/>
      <w:bookmarkStart w:id="1" w:name="content"/>
      <w:r/>
      <w:r>
        <w:rPr>
          <w:rFonts w:asciiTheme="majorHAnsi" w:hAnsiTheme="majorHAnsi" w:eastAsiaTheme="majorEastAsia" w:cstheme="majorBidi"/>
          <w:spacing w:val="-10"/>
          <w:sz w:val="56"/>
          <w:szCs w:val="56"/>
        </w:rPr>
      </w:r>
    </w:p>
    <w:p>
      <w:pPr>
        <w:pStyle w:val="1029"/>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1029"/>
        <w:pBdr/>
        <w:spacing/>
        <w:ind/>
        <w:jc w:val="center"/>
        <w:rPr>
          <w:rFonts w:asciiTheme="majorHAnsi" w:hAnsiTheme="majorHAnsi" w:eastAsiaTheme="majorEastAsia" w:cstheme="majorBidi"/>
          <w:spacing w:val="-10"/>
          <w:sz w:val="56"/>
          <w:szCs w:val="56"/>
        </w:rPr>
      </w:pPr>
      <w:r>
        <w:rPr>
          <w:rFonts w:asciiTheme="majorHAnsi" w:hAnsiTheme="majorHAnsi" w:eastAsiaTheme="majorEastAsia" w:cstheme="majorBidi"/>
          <w:spacing w:val="-10"/>
          <w:sz w:val="56"/>
          <w:szCs w:val="56"/>
        </w:rPr>
      </w:r>
      <w:r>
        <w:rPr>
          <w:rFonts w:asciiTheme="majorHAnsi" w:hAnsiTheme="majorHAnsi" w:eastAsiaTheme="majorEastAsia" w:cstheme="majorBidi"/>
          <w:spacing w:val="-10"/>
          <w:sz w:val="56"/>
          <w:szCs w:val="56"/>
        </w:rPr>
      </w:r>
    </w:p>
    <w:p>
      <w:pPr>
        <w:pStyle w:val="1029"/>
        <w:pBdr/>
        <w:spacing/>
        <w:ind/>
        <w:jc w:val="center"/>
        <w:rPr>
          <w:lang w:val="it-IT"/>
        </w:rPr>
      </w:pPr>
      <w:r>
        <w:rPr>
          <w:rFonts w:asciiTheme="majorHAnsi" w:hAnsiTheme="majorHAnsi" w:eastAsiaTheme="majorEastAsia" w:cstheme="majorBidi"/>
          <w:spacing w:val="-10"/>
          <w:sz w:val="56"/>
          <w:szCs w:val="56"/>
        </w:rPr>
        <w:t xml:space="preserve">VR</w:t>
      </w:r>
      <w:r>
        <w:rPr>
          <w:rFonts w:ascii="Cambria Math" w:hAnsi="Cambria Math" w:cs="Cambria Math" w:eastAsiaTheme="majorEastAsia"/>
          <w:spacing w:val="-10"/>
          <w:sz w:val="56"/>
          <w:szCs w:val="56"/>
        </w:rPr>
        <w:t xml:space="preserve">‑</w:t>
      </w:r>
      <w:r>
        <w:rPr>
          <w:rFonts w:asciiTheme="majorHAnsi" w:hAnsiTheme="majorHAnsi" w:eastAsiaTheme="majorEastAsia" w:cstheme="majorBidi"/>
          <w:spacing w:val="-10"/>
          <w:sz w:val="56"/>
          <w:szCs w:val="56"/>
        </w:rPr>
        <w:t xml:space="preserve">01 </w:t>
      </w:r>
      <w:r>
        <w:rPr>
          <w:rFonts w:ascii="Aptos Display" w:hAnsi="Aptos Display" w:cs="Aptos Display" w:eastAsiaTheme="majorEastAsia"/>
          <w:spacing w:val="-10"/>
          <w:sz w:val="56"/>
          <w:szCs w:val="56"/>
        </w:rPr>
        <w:t xml:space="preserve">–</w:t>
      </w:r>
      <w:r>
        <w:rPr>
          <w:rFonts w:asciiTheme="majorHAnsi" w:hAnsiTheme="majorHAnsi" w:eastAsiaTheme="majorEastAsia" w:cstheme="majorBidi"/>
          <w:spacing w:val="-10"/>
          <w:sz w:val="56"/>
          <w:szCs w:val="56"/>
        </w:rPr>
        <w:t xml:space="preserve"> Valutazione del Rischio da Scariche Atmosferiche </w:t>
      </w:r>
      <w:r>
        <w:rPr>
          <w:lang w:val="it-IT"/>
        </w:rPr>
      </w:r>
    </w:p>
    <w:tbl>
      <w:tblPr>
        <w:tblW w:w="0" w:type="auto"/>
        <w:tblBorders/>
        <w:tblLook w:val="04A0" w:firstRow="1" w:lastRow="0" w:firstColumn="1" w:lastColumn="0" w:noHBand="0" w:noVBand="1"/>
        <w:tblStyle w:val="1102"/>
      </w:tblPr>
      <w:tblGrid>
        <w:gridCol w:w="10173"/>
      </w:tblGrid>
      <w:tr>
        <w:trPr>
          <w:trHeight w:val="1200"/>
        </w:trPr>
        <w:tc>
          <w:tcPr>
            <w:tcBorders/>
            <w:tcW w:w="10173" w:type="dxa"/>
            <w:textDirection w:val="lrTb"/>
            <w:noWrap w:val="false"/>
          </w:tcPr>
          <w:p>
            <w:pPr>
              <w:pStyle w:val="1029"/>
              <w:pBdr/>
              <w:spacing w:after="0" w:before="0"/>
              <w:ind/>
              <w:rPr>
                <w:lang w:val="it-IT"/>
              </w:rPr>
            </w:pPr>
            <w:r>
              <w:rPr>
                <w:lang w:val="it-IT"/>
              </w:rPr>
              <mc:AlternateContent>
                <mc:Choice Requires="wpg">
                  <w:drawing>
                    <wp:inline xmlns:wp="http://schemas.openxmlformats.org/drawingml/2006/wordprocessingDrawing" distT="0" distB="0" distL="0" distR="0">
                      <wp:extent cx="5114925" cy="19050"/>
                      <wp:effectExtent l="0" t="0" r="0" b="0"/>
                      <wp:docPr id="2"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pic:cNvPicPr>
                              <pic:nvPr/>
                            </pic:nvPicPr>
                            <pic:blipFill>
                              <a:blip r:embed="rId19"/>
                              <a:stretch/>
                            </pic:blipFill>
                            <pic:spPr bwMode="auto">
                              <a:xfrm>
                                <a:off x="0" y="0"/>
                                <a:ext cx="5114925" cy="190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02.75pt;height:1.50pt;mso-wrap-distance-left:0.00pt;mso-wrap-distance-top:0.00pt;mso-wrap-distance-right:0.00pt;mso-wrap-distance-bottom:0.00pt;z-index:1;" stroked="f">
                      <v:imagedata r:id="rId19" o:title=""/>
                      <o:lock v:ext="edit" rotation="t"/>
                    </v:shape>
                  </w:pict>
                </mc:Fallback>
              </mc:AlternateContent>
            </w:r>
            <w:r>
              <w:rPr>
                <w:lang w:val="it-IT"/>
              </w:rPr>
            </w:r>
          </w:p>
          <w:p>
            <w:pPr>
              <w:pStyle w:val="1029"/>
              <w:pBdr/>
              <w:spacing w:after="0" w:before="0"/>
              <w:ind/>
              <w:rPr>
                <w:lang w:val="it-IT"/>
              </w:rPr>
            </w:pPr>
            <w:r>
              <w:rPr>
                <w:lang w:val="it-IT"/>
              </w:rPr>
              <w:t xml:space="preserve">COPIA</w:t>
            </w:r>
            <w:r>
              <w:rPr>
                <w:lang w:val="it-IT"/>
              </w:rPr>
            </w:r>
          </w:p>
          <w:p>
            <w:pPr>
              <w:pStyle w:val="1029"/>
              <w:pBdr/>
              <w:spacing w:after="0" w:before="0"/>
              <w:ind/>
              <w:rPr>
                <w:lang w:val="it-IT"/>
              </w:rPr>
            </w:pPr>
            <w:r>
              <w:rPr>
                <w:lang w:val="it-IT"/>
              </w:rPr>
              <w:t xml:space="preserve"> </w:t>
            </w:r>
            <w:r>
              <w:rPr>
                <w:lang w:val="it-IT"/>
              </w:rPr>
            </w:r>
          </w:p>
          <w:p>
            <w:pPr>
              <w:pStyle w:val="1029"/>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pic:cNvPicPr>
                              <pic:nvPr/>
                            </pic:nvPicPr>
                            <pic:blipFill>
                              <a:blip r:embed="rId20"/>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12.75pt;height:12.75pt;mso-wrap-distance-left:0.00pt;mso-wrap-distance-top:0.00pt;mso-wrap-distance-right:0.00pt;mso-wrap-distance-bottom:0.00pt;z-index:1;" stroked="f">
                      <v:imagedata r:id="rId20" o:title=""/>
                      <o:lock v:ext="edit" rotation="t"/>
                    </v:shape>
                  </w:pict>
                </mc:Fallback>
              </mc:AlternateContent>
            </w:r>
            <w:r>
              <w:rPr>
                <w:lang w:val="it-IT"/>
              </w:rPr>
              <w:t xml:space="preserve">controllata         </w:t>
            </w:r>
            <w:r>
              <w:rPr>
                <w:lang w:val="it-IT"/>
              </w:rPr>
            </w:r>
          </w:p>
          <w:p>
            <w:pPr>
              <w:pStyle w:val="1029"/>
              <w:pBdr/>
              <w:spacing w:after="0" w:before="0"/>
              <w:ind/>
              <w:rPr>
                <w:lang w:val="it-IT"/>
              </w:rPr>
            </w:pPr>
            <w:r>
              <w:rPr>
                <w:lang w:val="it-IT"/>
              </w:rPr>
              <w:t xml:space="preserve"> </w:t>
            </w:r>
            <w:r>
              <w:rPr>
                <w:lang w:val="it-IT"/>
              </w:rPr>
            </w:r>
          </w:p>
          <w:p>
            <w:pPr>
              <w:pStyle w:val="1029"/>
              <w:pBdr/>
              <w:spacing w:after="0" w:before="0"/>
              <w:ind/>
              <w:rPr>
                <w:lang w:val="it-IT"/>
              </w:rPr>
            </w:pPr>
            <w:r>
              <w:rPr>
                <w:lang w:val="it-IT"/>
              </w:rPr>
              <mc:AlternateContent>
                <mc:Choice Requires="wpg">
                  <w:drawing>
                    <wp:inline xmlns:wp="http://schemas.openxmlformats.org/drawingml/2006/wordprocessingDrawing" distT="0" distB="0" distL="0" distR="0">
                      <wp:extent cx="161925" cy="161925"/>
                      <wp:effectExtent l="0" t="0" r="0" b="0"/>
                      <wp:docPr id="4"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pic:cNvPicPr>
                              <pic:nvPr/>
                            </pic:nvPicPr>
                            <pic:blipFill>
                              <a:blip r:embed="rId20"/>
                              <a:stretch/>
                            </pic:blipFill>
                            <pic:spPr bwMode="auto">
                              <a:xfrm>
                                <a:off x="0" y="0"/>
                                <a:ext cx="161925" cy="1619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12.75pt;height:12.75pt;mso-wrap-distance-left:0.00pt;mso-wrap-distance-top:0.00pt;mso-wrap-distance-right:0.00pt;mso-wrap-distance-bottom:0.00pt;z-index:1;" stroked="f">
                      <v:imagedata r:id="rId20" o:title=""/>
                      <o:lock v:ext="edit" rotation="t"/>
                    </v:shape>
                  </w:pict>
                </mc:Fallback>
              </mc:AlternateContent>
            </w:r>
            <w:r>
              <w:rPr>
                <w:lang w:val="it-IT"/>
              </w:rPr>
              <w:t xml:space="preserve">non controllata</w:t>
            </w:r>
            <w:r>
              <w:rPr>
                <w:lang w:val="it-IT"/>
              </w:rPr>
            </w:r>
          </w:p>
        </w:tc>
      </w:tr>
    </w:tbl>
    <w:p>
      <w:pPr>
        <w:pStyle w:val="1029"/>
        <w:pBdr/>
        <w:spacing/>
        <w:ind/>
        <w:rPr>
          <w:lang w:val="it-IT"/>
        </w:rPr>
      </w:pPr>
      <w:r>
        <w:rPr>
          <w:lang w:val="it-IT"/>
        </w:rPr>
        <w:t xml:space="preserve"> </w:t>
      </w:r>
      <w:r>
        <w:rPr>
          <w:lang w:val="it-IT"/>
        </w:rPr>
      </w:r>
    </w:p>
    <w:p>
      <w:pPr>
        <w:pStyle w:val="1029"/>
        <w:pBdr/>
        <w:spacing/>
        <w:ind/>
        <w:rPr>
          <w:lang w:val="it-IT"/>
        </w:rPr>
      </w:pPr>
      <w:r>
        <w:rPr>
          <w:lang w:val="it-IT"/>
        </w:rPr>
        <w:t xml:space="preserve">  </w:t>
      </w:r>
      <w:r>
        <w:rPr>
          <w:lang w:val="it-IT"/>
        </w:rPr>
      </w:r>
    </w:p>
    <w:tbl>
      <w:tblPr>
        <w:tblW w:w="0" w:type="auto"/>
        <w:tblCellMar>
          <w:left w:w="71" w:type="dxa"/>
          <w:right w:w="71"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Spacing w:w="0" w:type="dxa"/>
        <w:tblLook w:val="04A0" w:firstRow="1" w:lastRow="0" w:firstColumn="1" w:lastColumn="0" w:noHBand="0" w:noVBand="1"/>
      </w:tblPr>
      <w:tblGrid>
        <w:gridCol w:w="724"/>
        <w:gridCol w:w="4650"/>
        <w:gridCol w:w="1425"/>
        <w:gridCol w:w="1486"/>
        <w:gridCol w:w="1923"/>
      </w:tblGrid>
      <w:tr>
        <w:trPr>
          <w:tblCellSpacing w:w="0" w:type="dxa"/>
        </w:trPr>
        <w:tc>
          <w:tcPr>
            <w:gridSpan w:val="3"/>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592" w:type="dxa"/>
            <w:vAlign w:val="center"/>
            <w:textDirection w:val="lrTb"/>
            <w:noWrap w:val="false"/>
          </w:tcPr>
          <w:p>
            <w:pPr>
              <w:pStyle w:val="1029"/>
              <w:pBdr/>
              <w:spacing/>
              <w:ind/>
              <w:rPr>
                <w:lang w:val="it-IT"/>
              </w:rPr>
            </w:pPr>
            <w:r>
              <w:rPr>
                <w:b/>
                <w:bCs/>
                <w:lang w:val="it-IT"/>
              </w:rPr>
              <w:t xml:space="preserve">STATO DELLE REVISIONI</w:t>
            </w:r>
            <w:r>
              <w:rPr>
                <w:lang w:val="it-IT"/>
              </w:rPr>
            </w:r>
          </w:p>
        </w:tc>
        <w:tc>
          <w:tcPr>
            <w:gridSpan w:val="2"/>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3203" w:type="dxa"/>
            <w:vAlign w:val="center"/>
            <w:textDirection w:val="lrTb"/>
            <w:noWrap w:val="false"/>
          </w:tcPr>
          <w:p>
            <w:pPr>
              <w:pStyle w:val="1029"/>
              <w:pBdr/>
              <w:spacing/>
              <w:ind/>
              <w:rPr>
                <w:lang w:val="it-IT"/>
              </w:rPr>
            </w:pPr>
            <w:r>
              <w:rPr>
                <w:b/>
                <w:bCs/>
                <w:lang w:val="it-IT"/>
              </w:rPr>
              <w:t xml:space="preserve">ITER DI EMISSIONE</w:t>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29"/>
              <w:pBdr/>
              <w:spacing/>
              <w:ind/>
              <w:rPr>
                <w:lang w:val="it-IT"/>
              </w:rPr>
            </w:pPr>
            <w:r>
              <w:rPr>
                <w:lang w:val="it-IT"/>
              </w:rPr>
              <w:t xml:space="preserve">REV.</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29"/>
              <w:pBdr/>
              <w:spacing/>
              <w:ind/>
              <w:rPr>
                <w:lang w:val="it-IT"/>
              </w:rPr>
            </w:pPr>
            <w:r>
              <w:rPr>
                <w:lang w:val="it-IT"/>
              </w:rPr>
              <w:t xml:space="preserve">MOTIVO DELLA REVISIONE</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29"/>
              <w:pBdr/>
              <w:spacing/>
              <w:ind/>
              <w:rPr>
                <w:lang w:val="it-IT"/>
              </w:rPr>
            </w:pPr>
            <w:r>
              <w:rPr>
                <w:lang w:val="it-IT"/>
              </w:rPr>
              <w:t xml:space="preserve">DATA</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29"/>
              <w:pBdr/>
              <w:spacing/>
              <w:ind/>
              <w:rPr>
                <w:lang w:val="it-IT"/>
              </w:rPr>
            </w:pPr>
            <w:r>
              <w:rPr>
                <w:lang w:val="it-IT"/>
              </w:rPr>
              <w:t xml:space="preserve">REDAZIONE</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29"/>
              <w:pBdr/>
              <w:spacing/>
              <w:ind/>
              <w:rPr>
                <w:lang w:val="it-IT"/>
              </w:rPr>
            </w:pPr>
            <w:r>
              <w:rPr>
                <w:lang w:val="it-IT"/>
              </w:rPr>
              <w:t xml:space="preserve">APPROVAZIONE</w:t>
            </w:r>
            <w:r>
              <w:rPr>
                <w:lang w:val="it-IT"/>
              </w:rPr>
            </w:r>
          </w:p>
        </w:tc>
      </w:tr>
      <w:tr>
        <w:trPr>
          <w:tblCellSpacing w:w="0" w:type="dxa"/>
        </w:trPr>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638" w:type="dxa"/>
            <w:vAlign w:val="center"/>
            <w:textDirection w:val="lrTb"/>
            <w:noWrap w:val="false"/>
          </w:tcPr>
          <w:p>
            <w:pPr>
              <w:pStyle w:val="1029"/>
              <w:pBdr/>
              <w:spacing/>
              <w:ind/>
              <w:rPr>
                <w:lang w:val="it-IT"/>
              </w:rPr>
            </w:pPr>
            <w:r>
              <w:rPr>
                <w:lang w:val="it-IT"/>
              </w:rPr>
              <w:t xml:space="preserve">1</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4678" w:type="dxa"/>
            <w:vAlign w:val="center"/>
            <w:textDirection w:val="lrTb"/>
            <w:noWrap w:val="false"/>
          </w:tcPr>
          <w:p>
            <w:pPr>
              <w:pStyle w:val="1029"/>
              <w:pBdr/>
              <w:spacing/>
              <w:ind/>
              <w:rPr>
                <w:lang w:val="it-IT"/>
              </w:rPr>
            </w:pPr>
            <w:r>
              <w:rPr>
                <w:lang w:val="it-IT"/>
              </w:rPr>
              <w:t xml:space="preserve">Aggiornamento</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276" w:type="dxa"/>
            <w:vAlign w:val="center"/>
            <w:textDirection w:val="lrTb"/>
            <w:noWrap w:val="false"/>
          </w:tcPr>
          <w:p>
            <w:pPr>
              <w:pStyle w:val="1029"/>
              <w:pBdr/>
              <w:spacing/>
              <w:ind/>
              <w:rPr>
                <w:lang w:val="it-IT"/>
              </w:rPr>
            </w:pPr>
            <w:r>
              <w:rPr>
                <w:lang w:val="it-IT"/>
              </w:rPr>
              <w:t xml:space="preserve">1</w:t>
            </w:r>
            <w:r>
              <w:rPr>
                <w:lang w:val="it-IT"/>
              </w:rPr>
              <w:t xml:space="preserve">2</w:t>
            </w:r>
            <w:r>
              <w:rPr>
                <w:lang w:val="it-IT"/>
              </w:rPr>
              <w:t xml:space="preserve">/1</w:t>
            </w:r>
            <w:r>
              <w:rPr>
                <w:lang w:val="it-IT"/>
              </w:rPr>
              <w:t xml:space="preserve">1</w:t>
            </w:r>
            <w:r>
              <w:rPr>
                <w:lang w:val="it-IT"/>
              </w:rPr>
              <w:t xml:space="preserve">/2025</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417" w:type="dxa"/>
            <w:vAlign w:val="center"/>
            <w:textDirection w:val="lrTb"/>
            <w:noWrap w:val="false"/>
          </w:tcPr>
          <w:p>
            <w:pPr>
              <w:pStyle w:val="1029"/>
              <w:pBdr/>
              <w:spacing/>
              <w:ind/>
              <w:rPr>
                <w:lang w:val="it-IT"/>
              </w:rPr>
            </w:pPr>
            <w:r>
              <w:rPr>
                <w:lang w:val="it-IT"/>
              </w:rPr>
              <w:t xml:space="preserve"> </w:t>
            </w:r>
            <w:r>
              <w:rPr>
                <w:lang w:val="it-IT"/>
              </w:rPr>
            </w:r>
          </w:p>
        </w:tc>
        <w:tc>
          <w:tcPr>
            <w:tcBorders>
              <w:top w:val="single" w:color="000000" w:sz="4" w:space="0"/>
              <w:left w:val="single" w:color="000000" w:sz="4" w:space="0"/>
              <w:bottom w:val="single" w:color="000000" w:sz="4" w:space="0"/>
              <w:right w:val="single" w:color="000000" w:sz="4" w:space="0"/>
            </w:tcBorders>
            <w:tcMar>
              <w:left w:w="108" w:type="dxa"/>
              <w:top w:w="0" w:type="dxa"/>
              <w:right w:w="108" w:type="dxa"/>
              <w:bottom w:w="0" w:type="dxa"/>
            </w:tcMar>
            <w:tcW w:w="1786" w:type="dxa"/>
            <w:vAlign w:val="center"/>
            <w:textDirection w:val="lrTb"/>
            <w:noWrap w:val="false"/>
          </w:tcPr>
          <w:p>
            <w:pPr>
              <w:pStyle w:val="1029"/>
              <w:pBdr/>
              <w:spacing/>
              <w:ind/>
              <w:rPr>
                <w:lang w:val="it-IT"/>
              </w:rPr>
            </w:pPr>
            <w:r>
              <w:rPr>
                <w:lang w:val="it-IT"/>
              </w:rPr>
              <w:t xml:space="preserve"> </w:t>
            </w:r>
            <w:r>
              <w:rPr>
                <w:lang w:val="it-IT"/>
              </w:rPr>
            </w:r>
          </w:p>
        </w:tc>
      </w:tr>
    </w:tbl>
    <w:p>
      <w:pPr>
        <w:pStyle w:val="1029"/>
        <w:pBdr/>
        <w:spacing/>
        <w:ind/>
        <w:rPr>
          <w:lang w:val="it-IT"/>
        </w:rPr>
      </w:pPr>
      <w:r>
        <w:rPr>
          <w:lang w:val="it-IT"/>
        </w:rPr>
        <w:t xml:space="preserve"> </w:t>
      </w:r>
      <w:r>
        <w:rPr>
          <w:lang w:val="it-IT"/>
        </w:rPr>
      </w:r>
    </w:p>
    <w:p>
      <w:pPr>
        <w:pBdr/>
        <w:spacing/>
        <w:ind/>
        <w:rPr/>
      </w:pPr>
      <w:r>
        <w:br w:type="page" w:clear="all"/>
      </w:r>
      <w:r/>
    </w:p>
    <w:sdt>
      <w:sdtPr>
        <w15:appearance w15:val="boundingBox"/>
        <w:id w:val="-781731850"/>
        <w:docPartObj>
          <w:docPartGallery w:val="Table of Contents"/>
          <w:docPartUnique w:val="true"/>
        </w:docPartObj>
        <w:rPr>
          <w:rFonts w:asciiTheme="minorHAnsi" w:hAnsiTheme="minorHAnsi" w:eastAsiaTheme="minorHAnsi" w:cstheme="minorBidi"/>
          <w:color w:val="auto"/>
          <w:sz w:val="24"/>
          <w:szCs w:val="24"/>
          <w:lang w:val="it-IT"/>
        </w:rPr>
      </w:sdtPr>
      <w:sdtContent>
        <w:p>
          <w:pPr>
            <w:pStyle w:val="854"/>
            <w:numPr>
              <w:ilvl w:val="0"/>
              <w:numId w:val="0"/>
            </w:numPr>
            <w:pBdr/>
            <w:spacing/>
            <w:ind w:hanging="360" w:left="360"/>
            <w:rPr/>
          </w:pPr>
          <w:r/>
          <w:bookmarkStart w:id="2" w:name="_Toc211437500"/>
          <w:r>
            <w:rPr>
              <w:lang w:val="it-IT"/>
            </w:rPr>
            <w:t xml:space="preserve">Sommario</w:t>
          </w:r>
          <w:bookmarkEnd w:id="2"/>
          <w:r/>
          <w:r/>
        </w:p>
        <w:p>
          <w:pPr>
            <w:pStyle w:val="1103"/>
            <w:pBdr/>
            <w:tabs>
              <w:tab w:val="right" w:leader="dot" w:pos="9962"/>
            </w:tabs>
            <w:spacing/>
            <w:ind/>
            <w:rPr>
              <w:rFonts w:eastAsiaTheme="minorEastAsia"/>
              <w:lang w:val="it-IT" w:eastAsia="it-IT"/>
              <w14:ligatures w14:val="standardContextual"/>
            </w:rPr>
          </w:pPr>
          <w:r>
            <w:fldChar w:fldCharType="begin"/>
          </w:r>
          <w:r>
            <w:instrText xml:space="preserve"> TOC \o "1-3" \h \z \u </w:instrText>
          </w:r>
          <w:r>
            <w:fldChar w:fldCharType="separate"/>
          </w:r>
          <w:hyperlink w:tooltip="#_Toc211437500" w:anchor="_Toc211437500" w:history="1">
            <w:r>
              <w:rPr>
                <w:rStyle w:val="1064"/>
                <w:lang w:val="it-IT"/>
              </w:rPr>
              <w:t xml:space="preserve">Sommario</w:t>
            </w:r>
            <w:r>
              <w:tab/>
            </w:r>
            <w:r>
              <w:fldChar w:fldCharType="begin"/>
            </w:r>
            <w:r>
              <w:instrText xml:space="preserve"> PAGEREF _Toc211437500 \h </w:instrText>
            </w:r>
            <w:r>
              <w:fldChar w:fldCharType="separate"/>
            </w:r>
            <w:r>
              <w:t xml:space="preserve">2</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1" w:anchor="_Toc211437501" w:history="1">
            <w:r>
              <w:rPr>
                <w:rStyle w:val="1064"/>
              </w:rPr>
              <w:t xml:space="preserve">1.</w:t>
            </w:r>
            <w:r>
              <w:rPr>
                <w:rFonts w:eastAsiaTheme="minorEastAsia"/>
                <w:lang w:val="it-IT" w:eastAsia="it-IT"/>
                <w14:ligatures w14:val="standardContextual"/>
              </w:rPr>
              <w:tab/>
            </w:r>
            <w:r>
              <w:rPr>
                <w:rStyle w:val="1064"/>
              </w:rPr>
              <w:t xml:space="preserve">Scopo</w:t>
            </w:r>
            <w:r>
              <w:tab/>
            </w:r>
            <w:r>
              <w:fldChar w:fldCharType="begin"/>
            </w:r>
            <w:r>
              <w:instrText xml:space="preserve"> PAGEREF _Toc211437501 \h </w:instrText>
            </w:r>
            <w:r>
              <w:fldChar w:fldCharType="separate"/>
            </w:r>
            <w:r>
              <w:t xml:space="preserve">3</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2" w:anchor="_Toc211437502" w:history="1">
            <w:r>
              <w:rPr>
                <w:rStyle w:val="1064"/>
              </w:rPr>
              <w:t xml:space="preserve">2.</w:t>
            </w:r>
            <w:r>
              <w:rPr>
                <w:rFonts w:eastAsiaTheme="minorEastAsia"/>
                <w:lang w:val="it-IT" w:eastAsia="it-IT"/>
                <w14:ligatures w14:val="standardContextual"/>
              </w:rPr>
              <w:tab/>
            </w:r>
            <w:r>
              <w:rPr>
                <w:rStyle w:val="1064"/>
              </w:rPr>
              <w:t xml:space="preserve">Campo di Applicazione</w:t>
            </w:r>
            <w:r>
              <w:tab/>
            </w:r>
            <w:r>
              <w:fldChar w:fldCharType="begin"/>
            </w:r>
            <w:r>
              <w:instrText xml:space="preserve"> PAGEREF _Toc211437502 \h </w:instrText>
            </w:r>
            <w:r>
              <w:fldChar w:fldCharType="separate"/>
            </w:r>
            <w:r>
              <w:t xml:space="preserve">3</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3" w:anchor="_Toc211437503" w:history="1">
            <w:r>
              <w:rPr>
                <w:rStyle w:val="1064"/>
              </w:rPr>
              <w:t xml:space="preserve">3.</w:t>
            </w:r>
            <w:r>
              <w:rPr>
                <w:rFonts w:eastAsiaTheme="minorEastAsia"/>
                <w:lang w:val="it-IT" w:eastAsia="it-IT"/>
                <w14:ligatures w14:val="standardContextual"/>
              </w:rPr>
              <w:tab/>
            </w:r>
            <w:r>
              <w:rPr>
                <w:rStyle w:val="1064"/>
              </w:rPr>
              <w:t xml:space="preserve">Riferimenti</w:t>
            </w:r>
            <w:r>
              <w:tab/>
            </w:r>
            <w:r>
              <w:fldChar w:fldCharType="begin"/>
            </w:r>
            <w:r>
              <w:instrText xml:space="preserve"> PAGEREF _Toc211437503 \h </w:instrText>
            </w:r>
            <w:r>
              <w:fldChar w:fldCharType="separate"/>
            </w:r>
            <w:r>
              <w:t xml:space="preserve">3</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4" w:anchor="_Toc211437504" w:history="1">
            <w:r>
              <w:rPr>
                <w:rStyle w:val="1064"/>
              </w:rPr>
              <w:t xml:space="preserve">4.</w:t>
            </w:r>
            <w:r>
              <w:rPr>
                <w:rFonts w:eastAsiaTheme="minorEastAsia"/>
                <w:lang w:val="it-IT" w:eastAsia="it-IT"/>
                <w14:ligatures w14:val="standardContextual"/>
              </w:rPr>
              <w:tab/>
            </w:r>
            <w:r>
              <w:rPr>
                <w:rStyle w:val="1064"/>
              </w:rPr>
              <w:t xml:space="preserve">Definizioni e Modalità Operative</w:t>
            </w:r>
            <w:r>
              <w:tab/>
            </w:r>
            <w:r>
              <w:fldChar w:fldCharType="begin"/>
            </w:r>
            <w:r>
              <w:instrText xml:space="preserve"> PAGEREF _Toc211437504 \h </w:instrText>
            </w:r>
            <w:r>
              <w:fldChar w:fldCharType="separate"/>
            </w:r>
            <w:r>
              <w:t xml:space="preserve">3</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5" w:anchor="_Toc211437505" w:history="1">
            <w:r>
              <w:rPr>
                <w:rStyle w:val="1064"/>
              </w:rPr>
              <w:t xml:space="preserve">5.</w:t>
            </w:r>
            <w:r>
              <w:rPr>
                <w:rFonts w:eastAsiaTheme="minorEastAsia"/>
                <w:lang w:val="it-IT" w:eastAsia="it-IT"/>
                <w14:ligatures w14:val="standardContextual"/>
              </w:rPr>
              <w:tab/>
            </w:r>
            <w:r>
              <w:rPr>
                <w:rStyle w:val="1064"/>
              </w:rPr>
              <w:t xml:space="preserve">Matrice RACI</w:t>
            </w:r>
            <w:r>
              <w:tab/>
            </w:r>
            <w:r>
              <w:fldChar w:fldCharType="begin"/>
            </w:r>
            <w:r>
              <w:instrText xml:space="preserve"> PAGEREF _Toc211437505 \h </w:instrText>
            </w:r>
            <w:r>
              <w:fldChar w:fldCharType="separate"/>
            </w:r>
            <w:r>
              <w:t xml:space="preserve">6</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6" w:anchor="_Toc211437506" w:history="1">
            <w:r>
              <w:rPr>
                <w:rStyle w:val="1064"/>
              </w:rPr>
              <w:t xml:space="preserve">6.</w:t>
            </w:r>
            <w:r>
              <w:rPr>
                <w:rFonts w:eastAsiaTheme="minorEastAsia"/>
                <w:lang w:val="it-IT" w:eastAsia="it-IT"/>
                <w14:ligatures w14:val="standardContextual"/>
              </w:rPr>
              <w:tab/>
            </w:r>
            <w:r>
              <w:rPr>
                <w:rStyle w:val="1064"/>
              </w:rPr>
              <w:t xml:space="preserve">KPI</w:t>
            </w:r>
            <w:r>
              <w:tab/>
            </w:r>
            <w:r>
              <w:fldChar w:fldCharType="begin"/>
            </w:r>
            <w:r>
              <w:instrText xml:space="preserve"> PAGEREF _Toc211437506 \h </w:instrText>
            </w:r>
            <w:r>
              <w:fldChar w:fldCharType="separate"/>
            </w:r>
            <w:r>
              <w:t xml:space="preserve">6</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7" w:anchor="_Toc211437507" w:history="1">
            <w:r>
              <w:rPr>
                <w:rStyle w:val="1064"/>
              </w:rPr>
              <w:t xml:space="preserve">7.</w:t>
            </w:r>
            <w:r>
              <w:rPr>
                <w:rFonts w:eastAsiaTheme="minorEastAsia"/>
                <w:lang w:val="it-IT" w:eastAsia="it-IT"/>
                <w14:ligatures w14:val="standardContextual"/>
              </w:rPr>
              <w:tab/>
            </w:r>
            <w:r>
              <w:rPr>
                <w:rStyle w:val="1064"/>
              </w:rPr>
              <w:t xml:space="preserve">Modulistica</w:t>
            </w:r>
            <w:r>
              <w:tab/>
            </w:r>
            <w:r>
              <w:fldChar w:fldCharType="begin"/>
            </w:r>
            <w:r>
              <w:instrText xml:space="preserve"> PAGEREF _Toc211437507 \h </w:instrText>
            </w:r>
            <w:r>
              <w:fldChar w:fldCharType="separate"/>
            </w:r>
            <w:r>
              <w:t xml:space="preserve">7</w:t>
            </w:r>
            <w:r>
              <w:fldChar w:fldCharType="end"/>
            </w:r>
          </w:hyperlink>
          <w:r/>
          <w:r>
            <w:rPr>
              <w:rFonts w:eastAsiaTheme="minorEastAsia"/>
              <w:lang w:val="it-IT" w:eastAsia="it-IT"/>
              <w14:ligatures w14:val="standardContextual"/>
            </w:rPr>
          </w:r>
        </w:p>
        <w:p>
          <w:pPr>
            <w:pStyle w:val="1103"/>
            <w:pBdr/>
            <w:tabs>
              <w:tab w:val="left" w:leader="none" w:pos="480"/>
              <w:tab w:val="right" w:leader="dot" w:pos="9962"/>
            </w:tabs>
            <w:spacing/>
            <w:ind/>
            <w:rPr>
              <w:rFonts w:eastAsiaTheme="minorEastAsia"/>
              <w:lang w:val="it-IT" w:eastAsia="it-IT"/>
              <w14:ligatures w14:val="standardContextual"/>
            </w:rPr>
          </w:pPr>
          <w:r/>
          <w:hyperlink w:tooltip="#_Toc211437508" w:anchor="_Toc211437508" w:history="1">
            <w:r>
              <w:rPr>
                <w:rStyle w:val="1064"/>
              </w:rPr>
              <w:t xml:space="preserve">8.</w:t>
            </w:r>
            <w:r>
              <w:rPr>
                <w:rFonts w:eastAsiaTheme="minorEastAsia"/>
                <w:lang w:val="it-IT" w:eastAsia="it-IT"/>
                <w14:ligatures w14:val="standardContextual"/>
              </w:rPr>
              <w:tab/>
            </w:r>
            <w:r>
              <w:rPr>
                <w:rStyle w:val="1064"/>
              </w:rPr>
              <w:t xml:space="preserve">Controlli Previsti</w:t>
            </w:r>
            <w:r>
              <w:tab/>
            </w:r>
            <w:r>
              <w:fldChar w:fldCharType="begin"/>
            </w:r>
            <w:r>
              <w:instrText xml:space="preserve"> PAGEREF _Toc211437508 \h </w:instrText>
            </w:r>
            <w:r>
              <w:fldChar w:fldCharType="separate"/>
            </w:r>
            <w:r>
              <w:t xml:space="preserve">7</w:t>
            </w:r>
            <w:r>
              <w:fldChar w:fldCharType="end"/>
            </w:r>
          </w:hyperlink>
          <w:r/>
          <w:r>
            <w:rPr>
              <w:rFonts w:eastAsiaTheme="minorEastAsia"/>
              <w:lang w:val="it-IT" w:eastAsia="it-IT"/>
              <w14:ligatures w14:val="standardContextual"/>
            </w:rPr>
          </w:r>
        </w:p>
        <w:p>
          <w:pPr>
            <w:pBdr/>
            <w:spacing/>
            <w:ind/>
            <w:rPr/>
          </w:pPr>
          <w:r>
            <w:rPr>
              <w:b/>
              <w:bCs/>
            </w:rPr>
            <w:fldChar w:fldCharType="end"/>
          </w:r>
          <w:r/>
        </w:p>
      </w:sdtContent>
    </w:sdt>
    <w:p>
      <w:pPr>
        <w:pBdr/>
        <w:spacing/>
        <w:ind/>
        <w:rPr/>
      </w:pPr>
      <w:r/>
      <w:bookmarkStart w:id="3" w:name="citations"/>
      <w:r/>
      <w:bookmarkEnd w:id="0"/>
      <w:r/>
      <w:bookmarkEnd w:id="1"/>
      <w:r>
        <w:br w:type="page" w:clear="all"/>
      </w:r>
      <w:r/>
    </w:p>
    <w:p>
      <w:pPr>
        <w:pStyle w:val="854"/>
        <w:pBdr/>
        <w:spacing/>
        <w:ind/>
        <w:rPr/>
      </w:pPr>
      <w:r>
        <w:t xml:space="preserve">Scopo</w:t>
      </w:r>
      <w:r/>
    </w:p>
    <w:p>
      <w:pPr>
        <w:pStyle w:val="1029"/>
        <w:pBdr/>
        <w:spacing/>
        <w:ind/>
        <w:rPr/>
      </w:pPr>
      <w:r>
        <w:t xml:space="preserve">La presente valutazione del rischio da scariche atmosferiche è redatta per lo stabilimento </w:t>
      </w:r>
      <w:r>
        <w:rPr>
          <w:b/>
          <w:bCs/>
        </w:rPr>
        <w:t xml:space="preserve">Agrumigel</w:t>
      </w:r>
      <w:r>
        <w:rPr>
          <w:b/>
          <w:bCs/>
        </w:rPr>
        <w:t xml:space="preserve"> s.r.l.</w:t>
      </w:r>
      <w:r>
        <w:t xml:space="preserve"> e ha lo scopo di determinare se sia necessario dotare il sito di un sistema di protezione contro i fulmini (LPS, Lightning </w:t>
      </w:r>
      <w:r>
        <w:t xml:space="preserve">Protection</w:t>
      </w:r>
      <w:r>
        <w:t xml:space="preserve"> System) oppure se la struttura possa considerarsi </w:t>
      </w:r>
      <w:r>
        <w:rPr>
          <w:b/>
          <w:bCs/>
        </w:rPr>
        <w:t xml:space="preserve">autoprotetta</w:t>
      </w:r>
      <w:r>
        <w:t xml:space="preserve"> con il solo impianto di messa a terra ed </w:t>
      </w:r>
      <w:r>
        <w:t xml:space="preserve">equipotenzialità</w:t>
      </w:r>
      <w:r>
        <w:t xml:space="preserve"> esistente. L’</w:t>
      </w:r>
      <w:r>
        <w:t xml:space="preserve">obiettivo è garantire la conformità alle normative vigenti – in particolare l’obbligo per il Datore di Lavoro di proteggere edifici e impianti dagli effetti dei fulmini secondo le norme di buona tecnica – e alle norme tecniche di settore (CEI EN 62305-2). </w:t>
      </w:r>
      <w:r/>
    </w:p>
    <w:p>
      <w:pPr>
        <w:pStyle w:val="854"/>
        <w:pBdr/>
        <w:spacing/>
        <w:ind/>
        <w:rPr/>
      </w:pPr>
      <w:r/>
      <w:bookmarkStart w:id="4" w:name="campo-di-applicazione"/>
      <w:r>
        <w:t xml:space="preserve">Campo di applicazione</w:t>
      </w:r>
      <w:r/>
    </w:p>
    <w:p>
      <w:pPr>
        <w:pStyle w:val="1029"/>
        <w:pBdr/>
        <w:spacing/>
        <w:ind/>
        <w:rPr/>
      </w:pPr>
      <w:r>
        <w:t xml:space="preserve">La valutazione copre </w:t>
      </w:r>
      <w:r>
        <w:rPr>
          <w:b/>
          <w:bCs/>
        </w:rPr>
        <w:t xml:space="preserve">tutti i fabbricati e le aree</w:t>
      </w:r>
      <w:r>
        <w:t xml:space="preserve"> del sito produttivo </w:t>
      </w:r>
      <w:r>
        <w:t xml:space="preserve">Agrumigel</w:t>
      </w:r>
      <w:r>
        <w:t xml:space="preserve">, situato in </w:t>
      </w:r>
      <w:r>
        <w:t xml:space="preserve">C.da</w:t>
      </w:r>
      <w:r>
        <w:t xml:space="preserve"> Girotta, 98051 Barcellona Pozzo di Gotto (ME), coordinate 38.134315 N, 15.198736 E. Si applica</w:t>
      </w:r>
      <w:r>
        <w:t xml:space="preserve"> all’intero complesso aziendale, includendo edifici industriali, locali tecnologici, depositi, impianti e aree esterne pertinenti allo stabilimento. Eventuali strutture o installazioni future nello stesso sito dovranno essere valutate con criteri analoghi.</w:t>
      </w:r>
      <w:r/>
    </w:p>
    <w:p>
      <w:pPr>
        <w:pStyle w:val="854"/>
        <w:pBdr/>
        <w:spacing/>
        <w:ind/>
        <w:rPr/>
      </w:pPr>
      <w:r/>
      <w:bookmarkStart w:id="5" w:name="riferimenti-normativi"/>
      <w:r/>
      <w:bookmarkEnd w:id="4"/>
      <w:r>
        <w:t xml:space="preserve">Riferimenti normativi</w:t>
      </w:r>
      <w:r/>
    </w:p>
    <w:p>
      <w:pPr>
        <w:pStyle w:val="1030"/>
        <w:numPr>
          <w:ilvl w:val="0"/>
          <w:numId w:val="13"/>
        </w:numPr>
        <w:pBdr/>
        <w:spacing/>
        <w:ind/>
        <w:rPr/>
      </w:pPr>
      <w:r>
        <w:rPr>
          <w:b/>
          <w:bCs/>
        </w:rPr>
        <w:t xml:space="preserve">CEI EN 62305 (CEI 81-10)</w:t>
      </w:r>
      <w:r>
        <w:t xml:space="preserve"> – Protezione contro i fulmini (in particolare Parte 2: Gestione del rischio).</w:t>
      </w:r>
      <w:r/>
    </w:p>
    <w:p>
      <w:pPr>
        <w:pStyle w:val="1030"/>
        <w:numPr>
          <w:ilvl w:val="0"/>
          <w:numId w:val="13"/>
        </w:numPr>
        <w:pBdr/>
        <w:spacing/>
        <w:ind/>
        <w:rPr/>
      </w:pPr>
      <w:r>
        <w:rPr>
          <w:b/>
          <w:bCs/>
        </w:rPr>
        <w:t xml:space="preserve">D.Lgs.</w:t>
      </w:r>
      <w:r>
        <w:rPr>
          <w:b/>
          <w:bCs/>
        </w:rPr>
        <w:t xml:space="preserve"> 81/2008</w:t>
      </w:r>
      <w:r>
        <w:t xml:space="preserve">, art. 80 e 84 – Obbligo di valutazione del rischio elettrico e protezione dai fulmini nei luoghi di lavoro</w:t>
      </w:r>
      <w:hyperlink r:id="rId21" w:tooltip="https://www.gazzettaufficiale.it/atto/serie_generale/caricaArticolo?art.progressivo=0&amp;art.idArticolo=84&amp;art.versione=1&amp;art.codiceRedazionale=008G0104&amp;art.dataPubblicazioneGazzetta=2008-04-30&amp;art.idGruppo=17&amp;art.idSottoArticolo1=10&amp;art.idSottoArticolo=1&amp;art.flagTipoArticolo=0#:~:text=1,le%20norme%20di%20buona%20tecnica" w:anchor=":~:text=1,le%20norme%20di%20buona%20tecnica" w:history="1">
        <w:r>
          <w:rPr>
            <w:rStyle w:val="1064"/>
          </w:rPr>
          <w:t xml:space="preserve">[1]</w:t>
        </w:r>
      </w:hyperlink>
      <w:r>
        <w:t xml:space="preserve">.</w:t>
      </w:r>
      <w:r/>
    </w:p>
    <w:p>
      <w:pPr>
        <w:pStyle w:val="1030"/>
        <w:numPr>
          <w:ilvl w:val="0"/>
          <w:numId w:val="13"/>
        </w:numPr>
        <w:pBdr/>
        <w:spacing/>
        <w:ind/>
        <w:rPr/>
      </w:pPr>
      <w:r>
        <w:rPr>
          <w:b/>
          <w:bCs/>
        </w:rPr>
        <w:t xml:space="preserve">ISO 45001:2018</w:t>
      </w:r>
      <w:r>
        <w:t xml:space="preserve">, §6.1.3 – Valutazione di rischi ed opportunità per la salute e sicurezza sul lavoro.</w:t>
      </w:r>
      <w:r/>
    </w:p>
    <w:p>
      <w:pPr>
        <w:pStyle w:val="1029"/>
        <w:pBdr/>
        <w:spacing/>
        <w:ind/>
        <w:rPr/>
      </w:pPr>
      <w:r>
        <w:rPr>
          <w:i/>
          <w:iCs/>
        </w:rPr>
        <w:t xml:space="preserve">(Nota: La valutazione fa inoltre riferimento a dati tecnici di fulminazione tratti da linee guida CEI – es. CEI 81-3/81-30 – per la stima della densità di fulmini a terra locale.)</w:t>
      </w:r>
      <w:r/>
    </w:p>
    <w:p>
      <w:pPr>
        <w:pStyle w:val="854"/>
        <w:pBdr/>
        <w:spacing/>
        <w:ind/>
        <w:rPr/>
      </w:pPr>
      <w:r/>
      <w:bookmarkStart w:id="6" w:name="dati-del-sito-e-presupposti"/>
      <w:r/>
      <w:bookmarkEnd w:id="5"/>
      <w:r>
        <w:t xml:space="preserve">Dati del sito e presupposti</w:t>
      </w:r>
      <w:r/>
    </w:p>
    <w:p>
      <w:pPr>
        <w:pStyle w:val="1030"/>
        <w:numPr>
          <w:ilvl w:val="0"/>
          <w:numId w:val="13"/>
        </w:numPr>
        <w:pBdr/>
        <w:spacing/>
        <w:ind/>
        <w:rPr/>
      </w:pPr>
      <w:r>
        <w:rPr>
          <w:b/>
          <w:bCs/>
        </w:rPr>
        <w:t xml:space="preserve">Indirizzo e coordinate:</w:t>
      </w:r>
      <w:r>
        <w:t xml:space="preserve"> Contrada Girotta, 98051 Barcellona Pozzo di Gotto (ME) – </w:t>
      </w:r>
      <w:r>
        <w:t xml:space="preserve">Lat</w:t>
      </w:r>
      <w:r>
        <w:t xml:space="preserve">. 38.134315, Long. 15.198736.</w:t>
      </w:r>
      <w:r/>
    </w:p>
    <w:p>
      <w:pPr>
        <w:pStyle w:val="1030"/>
        <w:numPr>
          <w:ilvl w:val="0"/>
          <w:numId w:val="13"/>
        </w:numPr>
        <w:pBdr/>
        <w:spacing/>
        <w:ind/>
        <w:rPr/>
      </w:pPr>
      <w:r>
        <w:rPr>
          <w:b/>
          <w:bCs/>
        </w:rPr>
        <w:t xml:space="preserve">Morfologia e contesto:</w:t>
      </w:r>
      <w:r>
        <w:t xml:space="preserve"> Area collinare a media altitudine. Il complesso </w:t>
      </w:r>
      <w:r>
        <w:rPr>
          <w:b/>
          <w:bCs/>
        </w:rPr>
        <w:t xml:space="preserve">non è la struttura più elevata nelle vicinanze</w:t>
      </w:r>
      <w:r>
        <w:t xml:space="preserve">: intorno al sito sono presenti rilievi naturali e alcune strutture di altezza maggiore. Questa configurazione garantisce un parziale effetto di schermo rispetto ai fulmini (fattore di posizione </w:t>
      </w:r>
      <w:r>
        <w:rPr>
          <w:i/>
          <w:iCs/>
        </w:rPr>
        <w:t xml:space="preserve">C&lt;sub&gt;d&lt;/sub&gt;</w:t>
      </w:r>
      <w:r>
        <w:t xml:space="preserve"> significativamente &lt; 1, ad es. ~0,5 in presenza di edifici/alberi di altezza simile o superiore).</w:t>
      </w:r>
      <w:r/>
    </w:p>
    <w:p>
      <w:pPr>
        <w:pStyle w:val="1030"/>
        <w:numPr>
          <w:ilvl w:val="0"/>
          <w:numId w:val="13"/>
        </w:numPr>
        <w:pBdr/>
        <w:spacing/>
        <w:ind/>
        <w:rPr/>
      </w:pPr>
      <w:r>
        <w:rPr>
          <w:b/>
          <w:bCs/>
        </w:rPr>
        <w:t xml:space="preserve">Fabbricati:</w:t>
      </w:r>
      <w:r>
        <w:t xml:space="preserve"> Sono presenti più edifici industriali con struttura portante mista (cemento armato e acciaio); le altezze sono moderate (</w:t>
      </w:r>
      <w:r>
        <w:rPr>
          <w:highlight w:val="yellow"/>
        </w:rPr>
        <w:t xml:space="preserve">indicativamente 6–12 m</w:t>
      </w:r>
      <w:r>
        <w:t xml:space="preserve">). Le coperture sono </w:t>
      </w:r>
      <w:r>
        <w:t xml:space="preserve">in materiale non combustibile. Le dimensioni planimetriche degli edifici principali sono dell’ordine di qualche migliaio di m² ciascuno.</w:t>
      </w:r>
      <w:r/>
    </w:p>
    <w:p>
      <w:pPr>
        <w:pStyle w:val="1030"/>
        <w:numPr>
          <w:ilvl w:val="0"/>
          <w:numId w:val="13"/>
        </w:numPr>
        <w:pBdr/>
        <w:spacing/>
        <w:ind/>
        <w:rPr/>
      </w:pPr>
      <w:r>
        <w:rPr>
          <w:b/>
          <w:bCs/>
        </w:rPr>
        <w:t xml:space="preserve">Impianto di terra:</w:t>
      </w:r>
      <w:r>
        <w:t xml:space="preserve"> Esistente e certificato a norma (ultima verifica DPR 462/01 disponibile in allegato). Tutte le masse me</w:t>
      </w:r>
      <w:r>
        <w:t xml:space="preserve">talliche e le strutture sono collegate a un sistema di messa a terra equipotenziale. La resistenza di terra misurata è conforme ai requisiti normativi (ordine di pochi ohm). Sono presenti cordoli e conduttori di terra in ogni edificio, collegati in maglia.</w:t>
      </w:r>
      <w:r/>
    </w:p>
    <w:p>
      <w:pPr>
        <w:pStyle w:val="1030"/>
        <w:numPr>
          <w:ilvl w:val="0"/>
          <w:numId w:val="13"/>
        </w:numPr>
        <w:pBdr/>
        <w:spacing/>
        <w:ind/>
        <w:rPr/>
      </w:pPr>
      <w:r>
        <w:rPr>
          <w:b/>
          <w:bCs/>
        </w:rPr>
        <w:t xml:space="preserve">Destinazione d’uso:</w:t>
      </w:r>
      <w:r>
        <w:t xml:space="preserve"> Stabilimento </w:t>
      </w:r>
      <w:r>
        <w:rPr>
          <w:b/>
          <w:bCs/>
        </w:rPr>
        <w:t xml:space="preserve">industriale alimentare</w:t>
      </w:r>
      <w:r>
        <w:t xml:space="preserve"> (produzione di succhi e derivati agrumari). </w:t>
      </w:r>
      <w:r>
        <w:rPr>
          <w:highlight w:val="red"/>
        </w:rPr>
        <w:t xml:space="preserve">Non vi sono aree con atmosfere esplosive </w:t>
      </w:r>
      <w:r>
        <w:rPr>
          <w:highlight w:val="red"/>
        </w:rPr>
        <w:t xml:space="preserve">(assenza di zone ATEX) né attività che prevedano affollamento di </w:t>
      </w:r>
      <w:r>
        <w:rPr>
          <w:highlight w:val="red"/>
        </w:rPr>
        <w:t xml:space="preserve">pubblico o servizi essenziali alla popolazione. </w:t>
      </w:r>
      <w:r>
        <w:t xml:space="preserve">Il carico d’incendio complessivo è moderato, data la presenza prevalente di materiali non altamente infiammabili; sono comunque attivi sistemi di rilevazione e protezione antincendio secondo il DVR aziendale.</w:t>
      </w:r>
      <w:r/>
    </w:p>
    <w:p>
      <w:pPr>
        <w:pStyle w:val="1030"/>
        <w:numPr>
          <w:ilvl w:val="0"/>
          <w:numId w:val="13"/>
        </w:numPr>
        <w:pBdr/>
        <w:spacing/>
        <w:ind/>
        <w:rPr/>
      </w:pPr>
      <w:r>
        <w:rPr>
          <w:b/>
          <w:bCs/>
        </w:rPr>
        <w:t xml:space="preserve">Densità di fulminazione locale:</w:t>
      </w:r>
      <w:r>
        <w:t xml:space="preserve"> L’area geografica rientra in una zona di moderata attività temporalesca per la fascia tirrenica della Sicilia. Il valore di </w:t>
      </w:r>
      <w:r>
        <w:rPr>
          <w:b/>
          <w:bCs/>
        </w:rPr>
        <w:t xml:space="preserve">Ng</w:t>
      </w:r>
      <w:r>
        <w:t xml:space="preserve"> (numero di fulmini a terra per km² per anno) storico di riferimento è circa </w:t>
      </w:r>
      <w:r>
        <w:rPr>
          <w:b/>
          <w:bCs/>
        </w:rPr>
        <w:t xml:space="preserve">2,5 fulmini/km²/anno</w:t>
      </w:r>
      <w:r>
        <w:t xml:space="preserve"> per il comune di Barcellona P. G., coerente con serie climatiche di riferimento regionali. Tale dato è stato utilizzato per il calcolo del rischio secondo CEI EN 62305-2.</w:t>
      </w:r>
      <w:r/>
    </w:p>
    <w:p>
      <w:pPr>
        <w:pStyle w:val="1030"/>
        <w:numPr>
          <w:ilvl w:val="0"/>
          <w:numId w:val="13"/>
        </w:numPr>
        <w:pBdr/>
        <w:spacing/>
        <w:ind/>
        <w:rPr/>
      </w:pPr>
      <w:r>
        <w:rPr>
          <w:b/>
          <w:bCs/>
        </w:rPr>
        <w:t xml:space="preserve">Misure esistenti (scenario considerato):</w:t>
      </w:r>
      <w:r>
        <w:t xml:space="preserve"> Ai fini del calcolo del rischio sono state considerate le </w:t>
      </w:r>
      <w:r>
        <w:rPr>
          <w:b/>
          <w:bCs/>
        </w:rPr>
        <w:t xml:space="preserve">protezioni attualmente in essere</w:t>
      </w:r>
      <w:r>
        <w:t xml:space="preserve">: un impianto di terra efficiente con ampie connessioni equipotenziali. </w:t>
      </w:r>
      <w:r>
        <w:rPr>
          <w:b/>
          <w:bCs/>
        </w:rPr>
        <w:t xml:space="preserve">Non</w:t>
      </w:r>
      <w:r>
        <w:t xml:space="preserve"> è invece presente un sistema di protezione esterno contro i fulmini (LPS) né dispositivi specifici di protezione da sovratensioni (SPD) installati sui quadri: lo scenario iniziale valutato è quindi </w:t>
      </w:r>
      <w:r>
        <w:rPr>
          <w:b/>
          <w:bCs/>
        </w:rPr>
        <w:t xml:space="preserve">cautelativo</w:t>
      </w:r>
      <w:r>
        <w:t xml:space="preserve">, assumendo la situazione allo stato di fatto senza ulteriori mitigazioni. In altre parole, si valuta il rischio </w:t>
      </w:r>
      <w:r>
        <w:rPr>
          <w:b/>
          <w:bCs/>
        </w:rPr>
        <w:t xml:space="preserve">residuo</w:t>
      </w:r>
      <w:r>
        <w:t xml:space="preserve"> con le sole protezioni passive esistenti (messa a terra, schermatura offerta dalla struttura stessa), per verificare se queste siano sufficienti a mantenere il rischio sotto i livelli tollerabili.</w:t>
      </w:r>
      <w:r/>
    </w:p>
    <w:p>
      <w:pPr>
        <w:pStyle w:val="854"/>
        <w:pBdr/>
        <w:spacing/>
        <w:ind/>
        <w:rPr/>
      </w:pPr>
      <w:r/>
      <w:bookmarkStart w:id="7" w:name="X6e21270155d37e0e8adc659b59cfd42053a987d"/>
      <w:r/>
      <w:bookmarkEnd w:id="6"/>
      <w:r>
        <w:t xml:space="preserve">Metodologia di valutazione (CEI EN 62305-2)</w:t>
      </w:r>
      <w:r/>
    </w:p>
    <w:p>
      <w:pPr>
        <w:pStyle w:val="1029"/>
        <w:pBdr/>
        <w:spacing/>
        <w:ind/>
        <w:rPr/>
      </w:pPr>
      <w:r>
        <w:t xml:space="preserve">La valutazione è stata condotta secondo la metodologia prevista dalla norma CEI EN 62305-2 (Gestione del rischio fulmini), che quantifica il rischio annuale associato ai fulmini considerando diversi scenari di evento e tipi di danno. In sintesi, i </w:t>
      </w:r>
      <w:r>
        <w:rPr>
          <w:b/>
          <w:bCs/>
        </w:rPr>
        <w:t xml:space="preserve">passi metodologici</w:t>
      </w:r>
      <w:r>
        <w:t xml:space="preserve"> seguiti sono stati:</w:t>
      </w:r>
      <w:r/>
    </w:p>
    <w:p>
      <w:pPr>
        <w:numPr>
          <w:ilvl w:val="0"/>
          <w:numId w:val="13"/>
        </w:numPr>
        <w:pBdr/>
        <w:spacing/>
        <w:ind/>
        <w:rPr/>
      </w:pPr>
      <w:r>
        <w:rPr>
          <w:b/>
          <w:bCs/>
        </w:rPr>
        <w:t xml:space="preserve">Identificazione delle tipologie di perdita:</w:t>
      </w:r>
      <w:r>
        <w:t xml:space="preserve"> in accordo con la norma, sono state esaminate le possibili perdite conseguenti ai fulmini: </w:t>
      </w:r>
      <w:r>
        <w:rPr>
          <w:b/>
          <w:bCs/>
        </w:rPr>
        <w:t xml:space="preserve">L1 – perdita di vita umana</w:t>
      </w:r>
      <w:r>
        <w:t xml:space="preserve"> (infortuni o decessi di persone), </w:t>
      </w:r>
      <w:r>
        <w:rPr>
          <w:b/>
          <w:bCs/>
        </w:rPr>
        <w:t xml:space="preserve">L2 – perdita di servizio al pubblico</w:t>
      </w:r>
      <w:r>
        <w:t xml:space="preserve"> (non applicabile al caso in esame, dato che l’impianto non eroga un pubblico servizio essenziale), </w:t>
      </w:r>
      <w:r>
        <w:rPr>
          <w:b/>
          <w:bCs/>
        </w:rPr>
        <w:t xml:space="preserve">L3 – perdita di patrimonio culturale</w:t>
      </w:r>
      <w:r>
        <w:t xml:space="preserve"> (non applicabile, non essendovi beni culturali), </w:t>
      </w:r>
      <w:r>
        <w:rPr>
          <w:b/>
          <w:bCs/>
        </w:rPr>
        <w:t xml:space="preserve">L4 – perdita di beni materiali ed economici</w:t>
      </w:r>
      <w:r>
        <w:t xml:space="preserve"> (danni a strutture, impianti, apparecchiature, perdite produttive). Si è quindi concentrata l’analisi su </w:t>
      </w:r>
      <w:r>
        <w:rPr>
          <w:b/>
          <w:bCs/>
        </w:rPr>
        <w:t xml:space="preserve">L1</w:t>
      </w:r>
      <w:r>
        <w:t xml:space="preserve"> e </w:t>
      </w:r>
      <w:r>
        <w:rPr>
          <w:b/>
          <w:bCs/>
        </w:rPr>
        <w:t xml:space="preserve">L4</w:t>
      </w:r>
      <w:r>
        <w:t xml:space="preserve">, uniche rilevanti per il sito </w:t>
      </w:r>
      <w:r>
        <w:t xml:space="preserve">Agrumigel</w:t>
      </w:r>
      <w:r>
        <w:t xml:space="preserve">.</w:t>
      </w:r>
      <w:r/>
    </w:p>
    <w:p>
      <w:pPr>
        <w:numPr>
          <w:ilvl w:val="0"/>
          <w:numId w:val="13"/>
        </w:numPr>
        <w:pBdr/>
        <w:spacing/>
        <w:ind/>
        <w:rPr/>
      </w:pPr>
      <w:r>
        <w:rPr>
          <w:b/>
          <w:bCs/>
        </w:rPr>
        <w:t xml:space="preserve">Individuazione delle sorgenti di danno da fulmine:</w:t>
      </w:r>
      <w:r>
        <w:t xml:space="preserve"> sono stati considerati i possibili eventi di fulminazione che possono coinvolgere il sito, ovvero sia </w:t>
      </w:r>
      <w:r>
        <w:rPr>
          <w:b/>
          <w:bCs/>
        </w:rPr>
        <w:t xml:space="preserve">colpi diretti</w:t>
      </w:r>
      <w:r>
        <w:t xml:space="preserve"> sia </w:t>
      </w:r>
      <w:r>
        <w:rPr>
          <w:b/>
          <w:bCs/>
        </w:rPr>
        <w:t xml:space="preserve">colpi indiretti</w:t>
      </w:r>
      <w:r>
        <w:t xml:space="preserve">. In particolare: </w:t>
      </w:r>
      <w:r>
        <w:rPr>
          <w:b/>
          <w:bCs/>
        </w:rPr>
        <w:t xml:space="preserve">S1</w:t>
      </w:r>
      <w:r>
        <w:t xml:space="preserve"> – fulmine che colpisce direttamente una struttura dell’impianto; </w:t>
      </w:r>
      <w:r>
        <w:rPr>
          <w:b/>
          <w:bCs/>
        </w:rPr>
        <w:t xml:space="preserve">S2</w:t>
      </w:r>
      <w:r>
        <w:t xml:space="preserve"> – fulmine che cade al suolo nelle vicinanze della struttura (entro la distanza di pericolo), causando effetti indiretti; </w:t>
      </w:r>
      <w:r>
        <w:rPr>
          <w:b/>
          <w:bCs/>
        </w:rPr>
        <w:t xml:space="preserve">S3</w:t>
      </w:r>
      <w:r>
        <w:t xml:space="preserve"> – fulmine che colpisce direttamente una linea di servizio connessa allo stabilimento (es. linea elettrica di alimentazione, linea telefonica/dati); </w:t>
      </w:r>
      <w:r>
        <w:rPr>
          <w:b/>
          <w:bCs/>
        </w:rPr>
        <w:t xml:space="preserve">S4</w:t>
      </w:r>
      <w:r>
        <w:t xml:space="preserve"> – fulmine che cade vicino a una linea di servizio, inducendo sovratensioni sulla stessa. Tali eventi possono generare diversi </w:t>
      </w:r>
      <w:r>
        <w:rPr>
          <w:b/>
          <w:bCs/>
        </w:rPr>
        <w:t xml:space="preserve">tipi di danno</w:t>
      </w:r>
      <w:r>
        <w:t xml:space="preserve">: </w:t>
      </w:r>
      <w:r>
        <w:rPr>
          <w:b/>
          <w:bCs/>
        </w:rPr>
        <w:t xml:space="preserve">D1</w:t>
      </w:r>
      <w:r>
        <w:t xml:space="preserve"> – tensioni di contatto e passo con conseguenti shock elettrici a persone o animali; </w:t>
      </w:r>
      <w:r>
        <w:rPr>
          <w:b/>
          <w:bCs/>
        </w:rPr>
        <w:t xml:space="preserve">D2</w:t>
      </w:r>
      <w:r>
        <w:t xml:space="preserve"> – danni materiali (incendi, esplosioni, sollecitazioni meccaniche) causati dagli effetti fisici della fulminazione; </w:t>
      </w:r>
      <w:r>
        <w:rPr>
          <w:b/>
          <w:bCs/>
        </w:rPr>
        <w:t xml:space="preserve">D3</w:t>
      </w:r>
      <w:r>
        <w:t xml:space="preserve"> – guasti e malfunzionamenti di impianti elettrici/elettronici dovuti a sovratensioni indotte.</w:t>
      </w:r>
      <w:r/>
    </w:p>
    <w:p>
      <w:pPr>
        <w:numPr>
          <w:ilvl w:val="0"/>
          <w:numId w:val="13"/>
        </w:numPr>
        <w:pBdr/>
        <w:spacing/>
        <w:ind/>
        <w:rPr/>
      </w:pPr>
      <w:r>
        <w:rPr>
          <w:b/>
          <w:bCs/>
        </w:rPr>
        <w:t xml:space="preserve">Valutazione quantitativa del rischio:</w:t>
      </w:r>
      <w:r>
        <w:t xml:space="preserve"> per ciascuna combinazione rilevante di sorgente di danno e tipo di perdita, è stato calcolato il relativo </w:t>
      </w:r>
      <w:r>
        <w:rPr>
          <w:b/>
          <w:bCs/>
        </w:rPr>
        <w:t xml:space="preserve">rischio parziale</w:t>
      </w:r>
      <w:r>
        <w:t xml:space="preserve"> secondo la formula fondamentale </w:t>
      </w:r>
      <w:r>
        <w:rPr>
          <w:b/>
          <w:bCs/>
        </w:rPr>
        <w:t xml:space="preserve">R&lt;sub&gt;x&lt;/sub&gt; = N&lt;sub&gt;x&lt;/sub&gt; · P&lt;sub&gt;x&lt;/sub&gt; · L&lt;sub&gt;x&lt;/sub&gt;</w:t>
      </w:r>
      <w:r>
        <w:t xml:space="preserve">. In tale formula: </w:t>
      </w:r>
      <w:r>
        <w:rPr>
          <w:b/>
          <w:bCs/>
        </w:rPr>
        <w:t xml:space="preserve">N&lt;sub&gt;x&lt;/sub&gt;</w:t>
      </w:r>
      <w:r>
        <w:t xml:space="preserve"> è il numero medio annuo di eventi pericolosi (fulmini) che interessano la struttura o impianto considerato, </w:t>
      </w:r>
      <w:r>
        <w:rPr>
          <w:b/>
          <w:bCs/>
        </w:rPr>
        <w:t xml:space="preserve">P&lt;sub&gt;x&lt;/sub&gt;</w:t>
      </w:r>
      <w:r>
        <w:t xml:space="preserve"> è la probabilità che l’evento causi un determinato danno, e </w:t>
      </w:r>
      <w:r>
        <w:rPr>
          <w:b/>
          <w:bCs/>
        </w:rPr>
        <w:t xml:space="preserve">L&lt;sub&gt;x&lt;/sub&gt;</w:t>
      </w:r>
      <w:r>
        <w:t xml:space="preserve"> è la percentuale (o frazione) di perdita conseguente a quel danno (espressa in termini di perdite di vite, perdite economiche, etc.). Si sono stimati i contributi di rischio per:</w:t>
      </w:r>
      <w:r/>
    </w:p>
    <w:p>
      <w:pPr>
        <w:pStyle w:val="1030"/>
        <w:numPr>
          <w:ilvl w:val="0"/>
          <w:numId w:val="13"/>
        </w:numPr>
        <w:pBdr/>
        <w:spacing/>
        <w:ind/>
        <w:rPr/>
      </w:pPr>
      <w:r>
        <w:rPr>
          <w:b/>
          <w:bCs/>
        </w:rPr>
        <w:t xml:space="preserve">Fulminazione diretta delle strutture (S1):</w:t>
      </w:r>
      <w:r>
        <w:t xml:space="preserve"> è stato calcolato il numero annuo di fulmini che possono colpire gli edifici del sito, in base alla geometria (superficie di raccolta) e alla densità di fulmini Ng. Si è tenuto conto del </w:t>
      </w:r>
      <w:r>
        <w:rPr>
          <w:b/>
          <w:bCs/>
        </w:rPr>
        <w:t xml:space="preserve">coefficiente di posizione C&lt;sub&gt;d&lt;/sub&gt; &lt; 1</w:t>
      </w:r>
      <w:r>
        <w:t xml:space="preserve"> dovuto alla presenza di strutture più alte circostanti, che riduce la probabilità di impatto diretto.</w:t>
      </w:r>
      <w:r/>
    </w:p>
    <w:p>
      <w:pPr>
        <w:pStyle w:val="1030"/>
        <w:numPr>
          <w:ilvl w:val="0"/>
          <w:numId w:val="13"/>
        </w:numPr>
        <w:pBdr/>
        <w:spacing/>
        <w:ind/>
        <w:rPr/>
      </w:pPr>
      <w:r>
        <w:rPr>
          <w:b/>
          <w:bCs/>
        </w:rPr>
        <w:t xml:space="preserve">Fulminazione indiretta nelle vicinanze (S2):</w:t>
      </w:r>
      <w:r>
        <w:t xml:space="preserve"> si è considerata la possibilità di fulmini a terra nei pressi degli edifici che possano generare </w:t>
      </w:r>
      <w:r>
        <w:rPr>
          <w:b/>
          <w:bCs/>
        </w:rPr>
        <w:t xml:space="preserve">tensioni di passo</w:t>
      </w:r>
      <w:r>
        <w:t xml:space="preserve"> o accoppiamenti induttivi sugli impianti. L’impianto di terra e l’</w:t>
      </w:r>
      <w:r>
        <w:t xml:space="preserve">equipotenzialità</w:t>
      </w:r>
      <w:r>
        <w:t xml:space="preserve"> </w:t>
      </w:r>
      <w:r>
        <w:t xml:space="preserve">forniscono</w:t>
      </w:r>
      <w:r>
        <w:t xml:space="preserve"> un’importante mitigazione, riducendo P&lt;sub&gt;x&lt;/sub&gt; (probabilità di danno D1/D2 alle persone) per questi eventi.</w:t>
      </w:r>
      <w:r/>
    </w:p>
    <w:p>
      <w:pPr>
        <w:pStyle w:val="1030"/>
        <w:numPr>
          <w:ilvl w:val="0"/>
          <w:numId w:val="13"/>
        </w:numPr>
        <w:pBdr/>
        <w:spacing/>
        <w:ind/>
        <w:rPr/>
      </w:pPr>
      <w:r>
        <w:rPr>
          <w:b/>
          <w:bCs/>
        </w:rPr>
        <w:t xml:space="preserve">Fulminazione diretta su linee connesse (S3):</w:t>
      </w:r>
      <w:r>
        <w:t xml:space="preserve"> è stata valutata l’eventualità che un fulmine colpisca direttamente le linee di servizio dell’impianto (ad es. linea elettrica ENEL di adduzione). In assenza di protezioni specifiche, tale evento può condurre l’impulso di corrente fin dentro gli </w:t>
      </w:r>
      <w:r>
        <w:t xml:space="preserve">impianti dello stabilimento, causando sovratensioni distruttive (danno D3) e potenzialmente incendi/localizzati guasti gravi (danno D2). Si è stimato N&lt;sub&gt;x&lt;/sub&gt; in base alla lunghezza e tipologia delle linee (es. tratte aeree esterne) e alla densità Ng.</w:t>
      </w:r>
      <w:r/>
    </w:p>
    <w:p>
      <w:pPr>
        <w:pStyle w:val="1030"/>
        <w:numPr>
          <w:ilvl w:val="0"/>
          <w:numId w:val="13"/>
        </w:numPr>
        <w:pBdr/>
        <w:spacing/>
        <w:ind/>
        <w:rPr/>
      </w:pPr>
      <w:r>
        <w:rPr>
          <w:b/>
          <w:bCs/>
        </w:rPr>
        <w:t xml:space="preserve">Fulminazioni nelle vicinanze delle linee (S4):</w:t>
      </w:r>
      <w:r>
        <w:t xml:space="preserve"> analogamente, sono state considerate cadute di fulmine nei dintorni di linee di servizio, che possono indurre sovratensioni per </w:t>
      </w:r>
      <w:r>
        <w:t xml:space="preserve">accoppiamento elettromagnetico. Pur avendo energia inferiore a S3, questi eventi possono causare guasti a dispositivi elettronici collegati.</w:t>
      </w:r>
      <w:r/>
    </w:p>
    <w:p>
      <w:pPr>
        <w:pStyle w:val="1030"/>
        <w:numPr>
          <w:ilvl w:val="0"/>
          <w:numId w:val="13"/>
        </w:numPr>
        <w:pBdr/>
        <w:spacing/>
        <w:ind/>
        <w:rPr/>
      </w:pPr>
      <w:r>
        <w:rPr>
          <w:b/>
          <w:bCs/>
        </w:rPr>
        <w:t xml:space="preserve">Probabilità di danno P&lt;sub&gt;x&lt;/sub&gt; e fattori di mitigazione:</w:t>
      </w:r>
      <w:r>
        <w:t xml:space="preserve"> per ogni scenario si sono applicati i coeff</w:t>
      </w:r>
      <w:r>
        <w:t xml:space="preserve">icienti di riduzione appropriati previsti dalla norma (es. fattore di costruzione, fattore ambientale, coefficiente di protezione se presenti SPD o LPS, ecc.). Nel caso in esame: l’assenza di LPS implica coefficiente di protezione = 1 per i colpi diretti (</w:t>
      </w:r>
      <w:r>
        <w:t xml:space="preserve">nessuna captazione dedicata), mentre la presenza di una struttura metallica continua (cemento armato) e di messa a terra riduce la probabilità di danni catastrofici (difficoltà di innesco incendio, percorso preferenziale a terra della corrente). A</w:t>
      </w:r>
      <w:r>
        <w:rPr>
          <w:highlight w:val="yellow"/>
        </w:rPr>
        <w:t xml:space="preserve">d esempio</w:t>
      </w:r>
      <w:r>
        <w:rPr>
          <w:highlight w:val="yellow"/>
        </w:rPr>
        <w:t xml:space="preserve">, la probabilità che un fulmine diretto sull’edificio causi incendi incontrollati o esplosioni è bassa, data l’assenza di materiali esplodibili</w:t>
      </w:r>
      <w:r>
        <w:t xml:space="preserve"> e la struttura incombustibile. La probabilità di shock elettrici a persone all’interno è anch’essa ridotta dall’</w:t>
      </w:r>
      <w:r>
        <w:t xml:space="preserve">equipotenzialità</w:t>
      </w:r>
      <w:r>
        <w:t xml:space="preserve"> (assenza di elevate differenz</w:t>
      </w:r>
      <w:r>
        <w:t xml:space="preserve">e di potenziale). Per i fulmini indiretti su linee, si assume una probabilità elevata di guasto agli apparati elettronici se non protetti (P vicino a 1 per D3 su dispositivi sensibili), mentre è bassa la probabilità che tali sovratensioni inducano incendi.</w:t>
      </w:r>
      <w:r/>
    </w:p>
    <w:p>
      <w:pPr>
        <w:numPr>
          <w:ilvl w:val="0"/>
          <w:numId w:val="13"/>
        </w:numPr>
        <w:pBdr/>
        <w:spacing/>
        <w:ind/>
        <w:rPr/>
      </w:pPr>
      <w:r>
        <w:rPr>
          <w:b/>
          <w:bCs/>
        </w:rPr>
        <w:t xml:space="preserve">Entità delle perdite L&lt;sub&gt;x&lt;/sub&gt;:</w:t>
      </w:r>
      <w:r>
        <w:t xml:space="preserve"> è stata valutata la proporzione di perdita potenziale associata ad ogni evento. Per </w:t>
      </w:r>
      <w:r>
        <w:rPr>
          <w:b/>
          <w:bCs/>
        </w:rPr>
        <w:t xml:space="preserve">L1 (vita umana)</w:t>
      </w:r>
      <w:r>
        <w:t xml:space="preserve"> si considera la frazione di persone esposte e la probabilità che un singolo evento fulminoso prov</w:t>
      </w:r>
      <w:r>
        <w:t xml:space="preserve">ochi vittime. Nel nostro caso, la presenza continua di alcune decine di lavoratori negli edifici (orario giornaliero) è bilanciata dalla protezione offerta dagli edifici stessi – statisticamente, la quasi totalità degli incidenti letali da fulmine avviene </w:t>
      </w:r>
      <w:r>
        <w:rPr>
          <w:b/>
          <w:bCs/>
        </w:rPr>
        <w:t xml:space="preserve">all’aperto</w:t>
      </w:r>
      <w:r>
        <w:t xml:space="preserve">, mentre </w:t>
      </w:r>
      <w:r>
        <w:rPr>
          <w:b/>
          <w:bCs/>
        </w:rPr>
        <w:t xml:space="preserve">all’interno di edifici chiusi gli eventi mortali sono praticamente nulli</w:t>
      </w:r>
      <w:r>
        <w:t xml:space="preserve">, evidenziando un effetto “naturale” di autoprotezione delle strutture. Si è dunque stimato che L&lt;sub&gt;x&lt;/sub&gt; per fulminazione diretta sulle persone in edificio sia estremamente piccola. Per </w:t>
      </w:r>
      <w:r>
        <w:rPr>
          <w:b/>
          <w:bCs/>
        </w:rPr>
        <w:t xml:space="preserve">L4 (beni materiali)</w:t>
      </w:r>
      <w:r>
        <w:t xml:space="preserve">, la perdita è quantif</w:t>
      </w:r>
      <w:r>
        <w:t xml:space="preserve">icata come quota del valore economico che andrebbe distrutto o dei costi di ripristino e fermo impianto conseguenti. Nel nostro scenario, potenziali incendi causati da fulmini potrebbero danneggiare parzialmente macchinari o prodotti finiti in magazzino; l</w:t>
      </w:r>
      <w:r>
        <w:t xml:space="preserve">e sovratensioni potrebbero guastare apparecchiature elettriche/elettroniche (quadri, sistemi di controllo) con costi di sostituzione e fermo produttivo. Tuttavia, data la moderata esposizione, tali perdite attese su base annua risultano limitate (vedi §6).</w:t>
      </w:r>
      <w:r/>
    </w:p>
    <w:p>
      <w:pPr>
        <w:numPr>
          <w:ilvl w:val="0"/>
          <w:numId w:val="13"/>
        </w:numPr>
        <w:pBdr/>
        <w:spacing/>
        <w:ind/>
        <w:rPr/>
      </w:pPr>
      <w:r>
        <w:rPr>
          <w:b/>
          <w:bCs/>
        </w:rPr>
        <w:t xml:space="preserve">Calcolo del rischio totale e confronto con i valori tollerabili:</w:t>
      </w:r>
      <w:r>
        <w:t xml:space="preserve"> sommando i contributi di rischio parziali, si è ottenuto il </w:t>
      </w:r>
      <w:r>
        <w:rPr>
          <w:b/>
          <w:bCs/>
        </w:rPr>
        <w:t xml:space="preserve">rischio annuo complessivo R</w:t>
      </w:r>
      <w:r>
        <w:t xml:space="preserve"> per ciascun tipo di perdita (R1, R2, R3, R4). Quindi si è confrontato ogni R con il corrispondente </w:t>
      </w:r>
      <w:r>
        <w:rPr>
          <w:b/>
          <w:bCs/>
        </w:rPr>
        <w:t xml:space="preserve">rischio tollerabile R&lt;sub&gt;T&lt;/sub&gt;</w:t>
      </w:r>
      <w:r>
        <w:t xml:space="preserve"> definito dagli standard e/o dalle linee guida. In particolare, per la </w:t>
      </w:r>
      <w:r>
        <w:rPr>
          <w:b/>
          <w:bCs/>
        </w:rPr>
        <w:t xml:space="preserve">perdita di vite umane (R1)</w:t>
      </w:r>
      <w:r>
        <w:t xml:space="preserve"> la norma stabilisce un valore di riferimento estremamente severo di </w:t>
      </w:r>
      <w:r>
        <w:rPr>
          <w:b/>
          <w:bCs/>
        </w:rPr>
        <w:t xml:space="preserve">R&lt;sub&gt;T1&lt;/sub&gt; = 1×10⁻⁵ per anno</w:t>
      </w:r>
      <w:r>
        <w:t xml:space="preserve"> (1 probabilità su 100.000 all’anno). Per le altre perdite non umane, la norma suggerisce criteri meno stringenti: ad esempio per i beni economici (R4) spesso si adotta </w:t>
      </w:r>
      <w:r>
        <w:rPr>
          <w:b/>
          <w:bCs/>
        </w:rPr>
        <w:t xml:space="preserve">R&lt;sub&gt;T4&lt;/sub&gt; ≈ 1×10⁻³/anno</w:t>
      </w:r>
      <w:r>
        <w:t xml:space="preserve"> (1 su 1.000) come ordine di grandezza indicativo di tollerabilità, salvo diversa decisione basata su analisi costi-benefici. Nel caso dei servizi al pubblico (R2) o beni culturali (R3), se rilevanti, si </w:t>
      </w:r>
      <w:r>
        <w:t xml:space="preserve">potrebbero considerare limiti di tollerabilità intermedi (tipicamente 10⁻⁴/anno), </w:t>
      </w:r>
      <w:r>
        <w:t xml:space="preserve">ma come detto</w:t>
      </w:r>
      <w:r>
        <w:t xml:space="preserve"> qui R2 e R</w:t>
      </w:r>
      <w:r>
        <w:t xml:space="preserve">3 non ricorrono. In assenza di valori normativi stringenti per R4, si è valutato se il rischio economico risultante fosse accettabile per l’azienda, tenuto conto della probabilità di danno e delle possibili perdite annue attese rispetto al valore in gioco.</w:t>
      </w:r>
      <w:r/>
    </w:p>
    <w:p>
      <w:pPr>
        <w:pStyle w:val="854"/>
        <w:pBdr/>
        <w:spacing/>
        <w:ind/>
        <w:rPr/>
      </w:pPr>
      <w:r/>
      <w:bookmarkStart w:id="8" w:name="valutazione-dei-rischi-e-risultati"/>
      <w:r/>
      <w:bookmarkEnd w:id="7"/>
      <w:r>
        <w:t xml:space="preserve">Valutazione dei rischi e risultati</w:t>
      </w:r>
      <w:r/>
    </w:p>
    <w:p>
      <w:pPr>
        <w:pStyle w:val="1029"/>
        <w:pBdr/>
        <w:spacing/>
        <w:ind/>
        <w:rPr/>
      </w:pPr>
      <w:r>
        <w:t xml:space="preserve">Dall’analisi condotta secondo i criteri sopra esposti, si riportano i risultati per ciascun rischio considerato, con il confronto ai rispettivi valori tollerabili di riferimento:</w:t>
      </w:r>
      <w:r/>
    </w:p>
    <w:p>
      <w:pPr>
        <w:numPr>
          <w:ilvl w:val="0"/>
          <w:numId w:val="13"/>
        </w:numPr>
        <w:pBdr/>
        <w:spacing/>
        <w:ind/>
        <w:rPr/>
      </w:pPr>
      <w:r>
        <w:rPr>
          <w:b/>
          <w:bCs/>
        </w:rPr>
        <w:t xml:space="preserve">R1 – Perdita di vita umana:</w:t>
      </w:r>
      <w:r>
        <w:t xml:space="preserve"> il </w:t>
      </w:r>
      <w:r>
        <w:rPr>
          <w:b/>
          <w:bCs/>
        </w:rPr>
        <w:t xml:space="preserve">rischio di fulminazione per le persone</w:t>
      </w:r>
      <w:r>
        <w:t xml:space="preserve"> nello stabilimento è risultato </w:t>
      </w:r>
      <w:r>
        <w:rPr>
          <w:b/>
          <w:bCs/>
        </w:rPr>
        <w:t xml:space="preserve">molto basso</w:t>
      </w:r>
      <w:r>
        <w:t xml:space="preserve">. Numericamente, </w:t>
      </w:r>
      <w:r>
        <w:rPr>
          <w:b/>
          <w:bCs/>
        </w:rPr>
        <w:t xml:space="preserve">R1 è dell’ordine di 10⁻⁶/anno</w:t>
      </w:r>
      <w:r>
        <w:t xml:space="preserve"> (ovvero significativamente inferiore a 1×10⁻⁵), quindi ampiamente </w:t>
      </w:r>
      <w:r>
        <w:rPr>
          <w:b/>
          <w:bCs/>
        </w:rPr>
        <w:t xml:space="preserve">al di sotto</w:t>
      </w:r>
      <w:r>
        <w:t xml:space="preserve"> del valore di rischio tollerabile </w:t>
      </w:r>
      <w:r>
        <w:rPr>
          <w:b/>
          <w:bCs/>
        </w:rPr>
        <w:t xml:space="preserve">R&lt;sub&gt;T1&lt;/sub&gt; = 1×10⁻⁵/anno</w:t>
      </w:r>
      <w:r>
        <w:t xml:space="preserve">. In altri termini, si stima meno di un caso su un milione per anno di evento fulminante che possa causare una vittima in questo contesto. Ciò grazie a diversi fattori di protezione i</w:t>
      </w:r>
      <w:r>
        <w:t xml:space="preserve">nsiti nella situazione: la posizione non isolata e la presenza di strutture circostanti riducono la probabilità di impatto diretto (C&lt;sub&gt;d&lt;/sub&gt; minore di 1); la densità di fulmini locale non è elevata (Ng moderato ~2,5); l’impianto di terra efficace e l’</w:t>
      </w:r>
      <w:r>
        <w:t xml:space="preserve">equipotenzialità</w:t>
      </w:r>
      <w:r>
        <w:t xml:space="preserve"> delle masse metalliche fanno sì che anche in caso di fulmine sulla struttura le </w:t>
      </w:r>
      <w:r>
        <w:rPr>
          <w:b/>
          <w:bCs/>
        </w:rPr>
        <w:t xml:space="preserve">tensioni di contatto</w:t>
      </w:r>
      <w:r>
        <w:t xml:space="preserve"> siano contenute e non letali; infine l’assenza di atmosfere esplosive o di attività con grande compresenza di pubblico elimina possibili cause aggravanti. In conclusione, </w:t>
      </w:r>
      <w:r>
        <w:rPr>
          <w:b/>
          <w:bCs/>
        </w:rPr>
        <w:t xml:space="preserve">il rischio per i lavoratori e persone presenti è risultato entro livelli trascurabili e accettabili</w:t>
      </w:r>
      <w:r>
        <w:t xml:space="preserve">. Questo significa che, allo stato attuale, </w:t>
      </w:r>
      <w:r>
        <w:rPr>
          <w:b/>
          <w:bCs/>
        </w:rPr>
        <w:t xml:space="preserve">non sono necessarie ulteriori misure</w:t>
      </w:r>
      <w:r>
        <w:t xml:space="preserve"> specifiche ai fini della salvaguardia della vita umana dal fulmine, oltre a quelle già in essere.</w:t>
      </w:r>
      <w:r/>
    </w:p>
    <w:p>
      <w:pPr>
        <w:numPr>
          <w:ilvl w:val="0"/>
          <w:numId w:val="13"/>
        </w:numPr>
        <w:pBdr/>
        <w:spacing/>
        <w:ind/>
        <w:rPr/>
      </w:pPr>
      <w:r>
        <w:rPr>
          <w:b/>
          <w:bCs/>
        </w:rPr>
        <w:t xml:space="preserve">R2 – Perdita di servizio al pubblico:</w:t>
      </w:r>
      <w:r>
        <w:t xml:space="preserve"> </w:t>
      </w:r>
      <w:r>
        <w:rPr>
          <w:b/>
          <w:bCs/>
        </w:rPr>
        <w:t xml:space="preserve">Non pertinente.</w:t>
      </w:r>
      <w:r>
        <w:t xml:space="preserve"> Lo stabilimento non eroga un servizio pubblico essenziale che debba essere garantito continuativamente (es. non è un’infras</w:t>
      </w:r>
      <w:r>
        <w:t xml:space="preserve">truttura pubblica, ospedale, centrale, etc.). Eventuali interruzioni dell’attività per guasti o incidenti da fulmine riguardano unicamente la produttività aziendale interna, ricadendo quindi nel rischio economico (R4) più che in un “servizio al pubblico”. </w:t>
      </w:r>
      <w:r>
        <w:t xml:space="preserve">Pertanto</w:t>
      </w:r>
      <w:r>
        <w:t xml:space="preserve"> R2 non si applica al caso in esame.</w:t>
      </w:r>
      <w:r/>
    </w:p>
    <w:p>
      <w:pPr>
        <w:numPr>
          <w:ilvl w:val="0"/>
          <w:numId w:val="13"/>
        </w:numPr>
        <w:pBdr/>
        <w:spacing/>
        <w:ind/>
        <w:rPr/>
      </w:pPr>
      <w:r>
        <w:rPr>
          <w:b/>
          <w:bCs/>
        </w:rPr>
        <w:t xml:space="preserve">R3 – Perdita di patrimonio culturale:</w:t>
      </w:r>
      <w:r>
        <w:t xml:space="preserve"> </w:t>
      </w:r>
      <w:r>
        <w:rPr>
          <w:b/>
          <w:bCs/>
        </w:rPr>
        <w:t xml:space="preserve">Non pertinente.</w:t>
      </w:r>
      <w:r>
        <w:t xml:space="preserve"> Nell’impianto non sono presenti beni dal valore storico-artistico o culturale la cui perdita o danneggiamento possa essere considerata specificamente; di conseguenza R3 non è oggetto di valutazione.</w:t>
      </w:r>
      <w:r/>
    </w:p>
    <w:p>
      <w:pPr>
        <w:numPr>
          <w:ilvl w:val="0"/>
          <w:numId w:val="13"/>
        </w:numPr>
        <w:pBdr/>
        <w:spacing/>
        <w:ind/>
        <w:rPr/>
      </w:pPr>
      <w:r>
        <w:rPr>
          <w:b/>
          <w:bCs/>
        </w:rPr>
        <w:t xml:space="preserve">R4 – Perdita di beni materiali (danni economici):</w:t>
      </w:r>
      <w:r>
        <w:t xml:space="preserve"> il </w:t>
      </w:r>
      <w:r>
        <w:rPr>
          <w:b/>
          <w:bCs/>
        </w:rPr>
        <w:t xml:space="preserve">rischio di danni materiali ed economici</w:t>
      </w:r>
      <w:r>
        <w:t xml:space="preserve"> causati da fulmini, pur non nullo, </w:t>
      </w:r>
      <w:r>
        <w:rPr>
          <w:b/>
          <w:bCs/>
        </w:rPr>
        <w:t xml:space="preserve">risulta relativamente basso</w:t>
      </w:r>
      <w:r>
        <w:t xml:space="preserve"> e </w:t>
      </w:r>
      <w:r>
        <w:rPr>
          <w:b/>
          <w:bCs/>
        </w:rPr>
        <w:t xml:space="preserve">considerato accettabile</w:t>
      </w:r>
      <w:r>
        <w:t xml:space="preserve"> per l’azienda. In assenza di protezioni attive (scenario peggiore), R4 è stato stimato in ordine di grandezza </w:t>
      </w:r>
      <w:r>
        <w:rPr>
          <w:b/>
          <w:bCs/>
        </w:rPr>
        <w:t xml:space="preserve">10⁻³/anno o inferiore</w:t>
      </w:r>
      <w:r>
        <w:t xml:space="preserve">, dunque in linea con la soglia tipica di tollerabilità per rischi economici (circa 1 su 1000 per anno). I contributi a R4 provengono principalmente da:</w:t>
      </w:r>
      <w:r/>
    </w:p>
    <w:p>
      <w:pPr>
        <w:pStyle w:val="1030"/>
        <w:numPr>
          <w:ilvl w:val="0"/>
          <w:numId w:val="13"/>
        </w:numPr>
        <w:pBdr/>
        <w:spacing/>
        <w:ind/>
        <w:rPr/>
      </w:pPr>
      <w:r>
        <w:rPr>
          <w:b/>
          <w:bCs/>
        </w:rPr>
        <w:t xml:space="preserve">Danni da sovratensioni (D3) indotti su impianti elettrici/elettronici</w:t>
      </w:r>
      <w:r>
        <w:t xml:space="preserve"> a seguito di fulmini nelle vicinanze o sul</w:t>
      </w:r>
      <w:r>
        <w:t xml:space="preserve">le linee di servizio (scenari S3 e S4). Senza SPD, c’è probabilità che scariche indirette causino guasti a quadri elettrici, sistemi di controllo, computer o altri dispositivi elettronici. Tali guasti possono comportare costi di riparazione/sostituzione e </w:t>
      </w:r>
      <w:r>
        <w:rPr>
          <w:b/>
          <w:bCs/>
        </w:rPr>
        <w:t xml:space="preserve">fermo impianti</w:t>
      </w:r>
      <w:r>
        <w:t xml:space="preserve"> temporaneo.</w:t>
      </w:r>
      <w:r/>
    </w:p>
    <w:p>
      <w:pPr>
        <w:pStyle w:val="1030"/>
        <w:numPr>
          <w:ilvl w:val="0"/>
          <w:numId w:val="13"/>
        </w:numPr>
        <w:pBdr/>
        <w:spacing/>
        <w:ind/>
        <w:rPr/>
      </w:pPr>
      <w:r>
        <w:rPr>
          <w:b/>
          <w:bCs/>
        </w:rPr>
        <w:t xml:space="preserve">Danni materiali diretti (D2)</w:t>
      </w:r>
      <w:r>
        <w:t xml:space="preserve"> in caso di fulmine che colpisca direttamente uno degli edifici: la struttura in cemento armato rende </w:t>
      </w:r>
      <w:r>
        <w:rPr>
          <w:b/>
          <w:bCs/>
        </w:rPr>
        <w:t xml:space="preserve">poco probabile un incendio generalizzato</w:t>
      </w:r>
      <w:r>
        <w:t xml:space="preserve">, ma non si può escludere il danneggiamento localizzato di apparecchiature o impianti (ad es. per effetto termico o meccanico vicino al punto d’impatto). Anche questi eventi potrebbero causare costi e interruzioni dell’attività.</w:t>
      </w:r>
      <w:r/>
    </w:p>
    <w:p>
      <w:pPr>
        <w:pStyle w:val="1030"/>
        <w:numPr>
          <w:ilvl w:val="0"/>
          <w:numId w:val="13"/>
        </w:numPr>
        <w:pBdr/>
        <w:spacing/>
        <w:ind/>
        <w:rPr/>
      </w:pPr>
      <w:r>
        <w:rPr>
          <w:b/>
          <w:bCs/>
        </w:rPr>
        <w:t xml:space="preserve">Valutazione complessiva:</w:t>
      </w:r>
      <w:r>
        <w:t xml:space="preserve"> considerato il valore dell’impianto e l’assenza di effetti domino catastrofici, il livello di rischio economico è </w:t>
      </w:r>
      <w:r>
        <w:rPr>
          <w:b/>
          <w:bCs/>
        </w:rPr>
        <w:t xml:space="preserve">tollerabile per l’organizzazione</w:t>
      </w:r>
      <w:r>
        <w:t xml:space="preserve">. Eventuali perdite annue stimate (</w:t>
      </w:r>
      <w:r>
        <w:t xml:space="preserve">calcolate come costo atteso di fulminazione) risultano limitate e comunque gestibili attraverso normali misure di resilienza aziendale (assicurazioni, fondi di emergenza, piani di backup produttivo). Si sottolinea che la maggior parte dei danni da fulmine </w:t>
      </w:r>
      <w:r>
        <w:rPr>
          <w:b/>
          <w:bCs/>
        </w:rPr>
        <w:t xml:space="preserve">riguarda le sovratensioni su impianti elettrici</w:t>
      </w:r>
      <w:r>
        <w:t xml:space="preserve"> più che la distruzione fisica di strutture. Nel nostro caso, questo rischio </w:t>
      </w:r>
      <w:r>
        <w:rPr>
          <w:b/>
          <w:bCs/>
        </w:rPr>
        <w:t xml:space="preserve">può essere ulteriormente ridotto</w:t>
      </w:r>
      <w:r>
        <w:t xml:space="preserve"> con alcuni interventi migliorativi (vedi §7), pur non essendo strettamente necessario per la sicurezza.</w:t>
      </w:r>
      <w:r/>
    </w:p>
    <w:p>
      <w:pPr>
        <w:pStyle w:val="1029"/>
        <w:pBdr/>
        <w:spacing/>
        <w:ind/>
        <w:rPr/>
      </w:pPr>
      <w:r>
        <w:rPr>
          <w:b/>
          <w:bCs/>
        </w:rPr>
        <w:t xml:space="preserve">Conclusione generale:</w:t>
      </w:r>
      <w:r>
        <w:t xml:space="preserve"> in base ai risultati sopra esposti, </w:t>
      </w:r>
      <w:r>
        <w:rPr>
          <w:b/>
          <w:bCs/>
        </w:rPr>
        <w:t xml:space="preserve">lo stabilimento può considerarsi “AUTOPROTETTO” rispetto al rischio di fulminazione</w:t>
      </w:r>
      <w:r>
        <w:t xml:space="preserve">. Il rischio residuo con le misure esistenti (messa a terra ed </w:t>
      </w:r>
      <w:r>
        <w:t xml:space="preserve">equipotenzialità</w:t>
      </w:r>
      <w:r>
        <w:t xml:space="preserve">) è infatti entro i limiti accettabili sia per la tutela delle persone (R1 &lt; R&lt;sub&gt;T1&lt;/sub&gt;) sia per la protezione dei beni (R4 contenuto). </w:t>
      </w:r>
      <w:r>
        <w:rPr>
          <w:b/>
          <w:bCs/>
        </w:rPr>
        <w:t xml:space="preserve">Non è pertanto obbligatoria l’installazione di un sistema di protezione esterno contro i fulmini (LPS)</w:t>
      </w:r>
      <w:r>
        <w:t xml:space="preserve"> sullo stabilimento ai fini della sicurezza. L’attuale configurazione impiantistica e strutturale è ritenuta </w:t>
      </w:r>
      <w:r>
        <w:rPr>
          <w:b/>
          <w:bCs/>
        </w:rPr>
        <w:t xml:space="preserve">adeguata a garantire un livello di protezione</w:t>
      </w:r>
      <w:r>
        <w:t xml:space="preserve"> conforme alla norma CEI EN 62305-2 e ai requisiti di legge. Naturalmente, l’adozione di </w:t>
      </w:r>
      <w:r>
        <w:rPr>
          <w:b/>
          <w:bCs/>
        </w:rPr>
        <w:t xml:space="preserve">ulteriori misure</w:t>
      </w:r>
      <w:r>
        <w:t xml:space="preserve"> potrà migliorare ulteriormente la resilienza dell’impianto (vedi raccomandazioni), ma la loro implementazione rientra nel campo della </w:t>
      </w:r>
      <w:r>
        <w:rPr>
          <w:b/>
          <w:bCs/>
        </w:rPr>
        <w:t xml:space="preserve">prevenzione migliorativa</w:t>
      </w:r>
      <w:r>
        <w:t xml:space="preserve"> e non in obblighi stringenti per la tutela della vita umana.</w:t>
      </w:r>
      <w:r/>
    </w:p>
    <w:p>
      <w:pPr>
        <w:pStyle w:val="854"/>
        <w:pBdr/>
        <w:spacing/>
        <w:ind/>
        <w:rPr/>
      </w:pPr>
      <w:r/>
      <w:bookmarkStart w:id="9" w:name="raccomandazioni-e-piano-di-miglioramento"/>
      <w:r/>
      <w:bookmarkEnd w:id="8"/>
      <w:r>
        <w:t xml:space="preserve">Raccomandazioni e piano di miglioramento</w:t>
      </w:r>
      <w:r/>
    </w:p>
    <w:p>
      <w:pPr>
        <w:pStyle w:val="1029"/>
        <w:pBdr/>
        <w:spacing/>
        <w:ind/>
        <w:rPr/>
      </w:pPr>
      <w:r>
        <w:t xml:space="preserve">Pur in presenza di un rischio valutato come accettabile, si forniscono di seguito alcune </w:t>
      </w:r>
      <w:r>
        <w:rPr>
          <w:b/>
          <w:bCs/>
        </w:rPr>
        <w:t xml:space="preserve">raccomandazioni</w:t>
      </w:r>
      <w:r>
        <w:t xml:space="preserve"> per mantenere nel tempo il livello di sicurezza e ridurre ulteriormente i rischi di danno da fulmine, incrementando la protezione dell’impianto:</w:t>
      </w:r>
      <w:r/>
    </w:p>
    <w:p>
      <w:pPr>
        <w:numPr>
          <w:ilvl w:val="0"/>
          <w:numId w:val="13"/>
        </w:numPr>
        <w:pBdr/>
        <w:spacing/>
        <w:ind/>
        <w:rPr/>
      </w:pPr>
      <w:r>
        <w:rPr>
          <w:b/>
          <w:bCs/>
        </w:rPr>
        <w:t xml:space="preserve">Manutenzione del sistema di terra:</w:t>
      </w:r>
      <w:r>
        <w:t xml:space="preserve"> Mantenere nel tempo l’efficienza e la continuità dell’impianto di messa a terra. È fondamentale effettuare </w:t>
      </w:r>
      <w:r>
        <w:rPr>
          <w:b/>
          <w:bCs/>
        </w:rPr>
        <w:t xml:space="preserve">verifiche periodiche</w:t>
      </w:r>
      <w:r>
        <w:t xml:space="preserve"> secondo il DPR 462/01 (controlli periodici ogni 5 anni, o 2 anni in caso di ambienti a maggior rischio, da parte di organismo abilitato) nonché </w:t>
      </w:r>
      <w:r>
        <w:rPr>
          <w:b/>
          <w:bCs/>
        </w:rPr>
        <w:t xml:space="preserve">ispezioni visive interne</w:t>
      </w:r>
      <w:r>
        <w:t xml:space="preserve"> annuali delle connessioni e dei dispersori. Eventuali corrosioni, scollegamenti o degrado dei conduttori </w:t>
      </w:r>
      <w:r>
        <w:t xml:space="preserve">di te</w:t>
      </w:r>
      <w:r>
        <w:t xml:space="preserve">rra devono essere immediatamente ripristinati. Un impianto di terra efficiente costituisce la pietra angolare della protezione contro i fulmini, garantendo che le correnti di fulmine vengano disperse in sicurezza nel suolo senza creare tensioni pericolose.</w:t>
      </w:r>
      <w:r/>
    </w:p>
    <w:p>
      <w:pPr>
        <w:numPr>
          <w:ilvl w:val="0"/>
          <w:numId w:val="13"/>
        </w:numPr>
        <w:pBdr/>
        <w:spacing/>
        <w:ind/>
        <w:rPr/>
      </w:pPr>
      <w:r>
        <w:rPr>
          <w:b/>
          <w:bCs/>
        </w:rPr>
        <w:t xml:space="preserve">Installazione di dispositivi SPD:</w:t>
      </w:r>
      <w:r>
        <w:t xml:space="preserve"> Valutare l’installazione di </w:t>
      </w:r>
      <w:r>
        <w:rPr>
          <w:b/>
          <w:bCs/>
        </w:rPr>
        <w:t xml:space="preserve">Surge </w:t>
      </w:r>
      <w:r>
        <w:rPr>
          <w:b/>
          <w:bCs/>
        </w:rPr>
        <w:t xml:space="preserve">Protective</w:t>
      </w:r>
      <w:r>
        <w:rPr>
          <w:b/>
          <w:bCs/>
        </w:rPr>
        <w:t xml:space="preserve"> Devices (SPD)</w:t>
      </w:r>
      <w:r>
        <w:t xml:space="preserve"> appropriati nei quadri elettrici principali e sui circuiti di ingresso (linea di alimentazione elettrica, eventuali linee dati esterne). Gli </w:t>
      </w:r>
      <w:r>
        <w:rPr>
          <w:b/>
          <w:bCs/>
        </w:rPr>
        <w:t xml:space="preserve">SPD di tipo 1/2</w:t>
      </w:r>
      <w:r>
        <w:t xml:space="preserve"> (scaricatori di sovratensione) servono a deviare verso terra gli impulsi di sovratensione causati da fulmini, proteggendo le app</w:t>
      </w:r>
      <w:r>
        <w:t xml:space="preserve">arecchiature collegate. Si raccomanda un’analisi dettagliata per individuare i punti di installazione prioritari (p.e. quadro generale BT, quadri di reparto con apparecchiature sensibili, linee di segnale lunghe). L’adozione di SPD, unitamente a una buona </w:t>
      </w:r>
      <w:r>
        <w:rPr>
          <w:b/>
          <w:bCs/>
        </w:rPr>
        <w:t xml:space="preserve">equipotenzialità</w:t>
      </w:r>
      <w:r>
        <w:t xml:space="preserve"> e schermatura dei cavi, </w:t>
      </w:r>
      <w:r>
        <w:rPr>
          <w:b/>
          <w:bCs/>
        </w:rPr>
        <w:t xml:space="preserve">mitigherà drasticamente il rischio di danni elettronici</w:t>
      </w:r>
      <w:r>
        <w:t xml:space="preserve"> da fulmini indiretti. Questa misura è consigliata in ottica di </w:t>
      </w:r>
      <w:r>
        <w:rPr>
          <w:b/>
          <w:bCs/>
        </w:rPr>
        <w:t xml:space="preserve">miglioramento impiantistico</w:t>
      </w:r>
      <w:r>
        <w:t xml:space="preserve"> (protezione dei beni e continuità operativa) ed è coerente con le norme CEI EN 62305-3/4 e CEI 61643. </w:t>
      </w:r>
      <w:r>
        <w:rPr>
          <w:i/>
          <w:iCs/>
        </w:rPr>
        <w:t xml:space="preserve">(Si noti che, secondo le best practice, l’uso di SPD è parte integrante di un sistema completo di protezione e va considerato sia in presenza di LPS esterno sia in sua assenza, quando il rischio calcolato di sovratensioni eccede la soglia accettabile.)</w:t>
      </w:r>
      <w:r/>
    </w:p>
    <w:p>
      <w:pPr>
        <w:numPr>
          <w:ilvl w:val="0"/>
          <w:numId w:val="13"/>
        </w:numPr>
        <w:pBdr/>
        <w:spacing/>
        <w:ind/>
        <w:rPr/>
      </w:pPr>
      <w:r>
        <w:rPr>
          <w:b/>
          <w:bCs/>
        </w:rPr>
        <w:t xml:space="preserve">Procedure di sicurezza operative:</w:t>
      </w:r>
      <w:r>
        <w:t xml:space="preserve"> Assicurarsi che in caso di temporali con fulmini nelle vicinanze, il personale adotti comportamenti sicuri. In particolare, evitare il lavoro all’aperto non indispensabile durante i temporali intensi e, se del caso, in</w:t>
      </w:r>
      <w:r>
        <w:t xml:space="preserve">terrompere temporaneamente attività su strutture metalliche esposte. Sebbene il rischio per le persone all’interno sia risultato trascurabile, queste pratiche riducono ulteriormente la già bassa probabilità di incidente (es. nel caso improbabile di fulmina</w:t>
      </w:r>
      <w:r>
        <w:t xml:space="preserve">zione diretta di una persona all’esterno). Inoltre, sensibilizzare i lavoratori a non utilizzare dispositivi collegati alla rete elettrica durante forti temporali (telefoni fissi, etc., in mancanza di SPD), per evitare effetti di sovratensione transitoria.</w:t>
      </w:r>
      <w:r/>
    </w:p>
    <w:p>
      <w:pPr>
        <w:numPr>
          <w:ilvl w:val="0"/>
          <w:numId w:val="13"/>
        </w:numPr>
        <w:pBdr/>
        <w:spacing/>
        <w:ind/>
        <w:rPr/>
      </w:pPr>
      <w:r>
        <w:rPr>
          <w:b/>
          <w:bCs/>
        </w:rPr>
        <w:t xml:space="preserve">Aggiornamento periodico della valutazione:</w:t>
      </w:r>
      <w:r>
        <w:t xml:space="preserve"> Riesaminare e aggiornare la presente valutazione del rischio da fulmini in occasione di </w:t>
      </w:r>
      <w:r>
        <w:rPr>
          <w:b/>
          <w:bCs/>
        </w:rPr>
        <w:t xml:space="preserve">modifiche sostanziali</w:t>
      </w:r>
      <w:r>
        <w:t xml:space="preserve"> o comunque con cadenza regolare. In particolare, una rielaborazione sarà necessaria se:</w:t>
      </w:r>
      <w:r/>
    </w:p>
    <w:p>
      <w:pPr>
        <w:pStyle w:val="1030"/>
        <w:numPr>
          <w:ilvl w:val="0"/>
          <w:numId w:val="13"/>
        </w:numPr>
        <w:pBdr/>
        <w:spacing/>
        <w:ind/>
        <w:rPr/>
      </w:pPr>
      <w:r>
        <w:t xml:space="preserve">Vengono </w:t>
      </w:r>
      <w:r>
        <w:rPr>
          <w:b/>
          <w:bCs/>
        </w:rPr>
        <w:t xml:space="preserve">realizzate nuove strutture</w:t>
      </w:r>
      <w:r>
        <w:t xml:space="preserve"> sul sito (es. edifici più alti, sili, ciminiere, torri, antenne) che possano modificare l’esposizione ai fulmini o il fattore di posizione.</w:t>
      </w:r>
      <w:r/>
    </w:p>
    <w:p>
      <w:pPr>
        <w:pStyle w:val="1030"/>
        <w:numPr>
          <w:ilvl w:val="0"/>
          <w:numId w:val="13"/>
        </w:numPr>
        <w:pBdr/>
        <w:spacing/>
        <w:ind/>
        <w:rPr/>
      </w:pPr>
      <w:r>
        <w:t xml:space="preserve">Si introducono </w:t>
      </w:r>
      <w:r>
        <w:rPr>
          <w:b/>
          <w:bCs/>
        </w:rPr>
        <w:t xml:space="preserve">nuove linee di servizio aeree</w:t>
      </w:r>
      <w:r>
        <w:t xml:space="preserve"> o esterne (es. collegamenti elettrici aggiuntivi non interrati, nuovi collegamenti telefonici/dati) che aumentino la vulnerabilità a sovratensioni.</w:t>
      </w:r>
      <w:r/>
    </w:p>
    <w:p>
      <w:pPr>
        <w:pStyle w:val="1030"/>
        <w:numPr>
          <w:ilvl w:val="0"/>
          <w:numId w:val="13"/>
        </w:numPr>
        <w:pBdr/>
        <w:spacing/>
        <w:ind/>
        <w:rPr/>
      </w:pPr>
      <w:r>
        <w:rPr>
          <w:b/>
          <w:bCs/>
        </w:rPr>
        <w:t xml:space="preserve">Cambia il contesto circostante</w:t>
      </w:r>
      <w:r>
        <w:t xml:space="preserve"> (es. vengono rimossi alberi o costruzioni adiacenti che fungevano da parafulmine naturale, o ne sorgono di nuove).</w:t>
      </w:r>
      <w:r/>
    </w:p>
    <w:p>
      <w:pPr>
        <w:pStyle w:val="1030"/>
        <w:numPr>
          <w:ilvl w:val="0"/>
          <w:numId w:val="13"/>
        </w:numPr>
        <w:pBdr/>
        <w:spacing/>
        <w:ind/>
        <w:rPr>
          <w:highlight w:val="yellow"/>
        </w:rPr>
      </w:pPr>
      <w:r>
        <w:rPr>
          <w:b/>
          <w:bCs/>
          <w:highlight w:val="yellow"/>
        </w:rPr>
        <w:t xml:space="preserve">Mutano i processi interni</w:t>
      </w:r>
      <w:r>
        <w:rPr>
          <w:highlight w:val="yellow"/>
        </w:rPr>
        <w:t xml:space="preserve"> con introduzione di materiali pericolosi (es. installazione di impianti con rischio ATEX, incremento significativo del carico d’incendio) o infrastrutture critiche che richiedano maggiore protezione.</w:t>
      </w:r>
      <w:r>
        <w:rPr>
          <w:highlight w:val="yellow"/>
        </w:rPr>
      </w:r>
    </w:p>
    <w:p>
      <w:pPr>
        <w:pStyle w:val="1030"/>
        <w:numPr>
          <w:ilvl w:val="0"/>
          <w:numId w:val="13"/>
        </w:numPr>
        <w:pBdr/>
        <w:spacing/>
        <w:ind/>
        <w:rPr/>
      </w:pPr>
      <w:r>
        <w:t xml:space="preserve">Intervengono </w:t>
      </w:r>
      <w:r>
        <w:rPr>
          <w:b/>
          <w:bCs/>
        </w:rPr>
        <w:t xml:space="preserve">evoluzioni normative/tecniche</w:t>
      </w:r>
      <w:r>
        <w:t xml:space="preserve"> rilevanti: ad esempio, l’uscita di nuove edizioni delle norme CEI EN 62305 o linee guida nazionali. </w:t>
      </w:r>
      <w:r>
        <w:rPr>
          <w:i/>
          <w:iCs/>
        </w:rPr>
        <w:t xml:space="preserve">(Si ricorda che la norma CEI EN 62305 potrebbe essere aggiornata nel tempo; è buona prassi riesaminare le valutazioni alla luce delle nuove conoscenze tecnologiche e normative.)</w:t>
      </w:r>
      <w:r/>
    </w:p>
    <w:p>
      <w:pPr>
        <w:pStyle w:val="1029"/>
        <w:pBdr/>
        <w:spacing/>
        <w:ind/>
        <w:rPr/>
      </w:pPr>
      <w:r>
        <w:t xml:space="preserve">In assenza di modifiche sostanziali, si consiglia comunque di revisionare questo documento </w:t>
      </w:r>
      <w:r>
        <w:rPr>
          <w:b/>
          <w:bCs/>
        </w:rPr>
        <w:t xml:space="preserve">ogni </w:t>
      </w:r>
      <w:r>
        <w:rPr>
          <w:b/>
          <w:bCs/>
        </w:rPr>
        <w:t xml:space="preserve">3</w:t>
      </w:r>
      <w:r>
        <w:rPr>
          <w:b/>
          <w:bCs/>
        </w:rPr>
        <w:t xml:space="preserve"> anni</w:t>
      </w:r>
      <w:r>
        <w:t xml:space="preserve"> circa, in coerenza con le politiche di miglioramento continuo e con eventuali scadenze di rinnovo del Documento di Valutazione dei Rischi aziendale.</w:t>
      </w:r>
      <w:r/>
    </w:p>
    <w:p>
      <w:pPr>
        <w:pStyle w:val="854"/>
        <w:pBdr/>
        <w:spacing/>
        <w:ind/>
        <w:rPr/>
      </w:pPr>
      <w:r/>
      <w:bookmarkStart w:id="10" w:name="allegati"/>
      <w:r/>
      <w:bookmarkEnd w:id="9"/>
      <w:r>
        <w:t xml:space="preserve">Allegati</w:t>
      </w:r>
      <w:r/>
    </w:p>
    <w:p>
      <w:pPr>
        <w:pStyle w:val="1030"/>
        <w:numPr>
          <w:ilvl w:val="0"/>
          <w:numId w:val="13"/>
        </w:numPr>
        <w:pBdr/>
        <w:spacing/>
        <w:ind/>
        <w:rPr/>
      </w:pPr>
      <w:r>
        <w:rPr>
          <w:b/>
          <w:bCs/>
        </w:rPr>
        <w:t xml:space="preserve">A.</w:t>
      </w:r>
      <w:r>
        <w:t xml:space="preserve"> Planimetria del sito con l’indicazione dei fabbricati, dei parafulmini naturali circostanti (se presenti) e dei punti di terra/dispersori dell’impianto.</w:t>
      </w:r>
      <w:r/>
    </w:p>
    <w:p>
      <w:pPr>
        <w:pStyle w:val="1030"/>
        <w:numPr>
          <w:ilvl w:val="0"/>
          <w:numId w:val="13"/>
        </w:numPr>
        <w:pBdr/>
        <w:spacing/>
        <w:ind/>
        <w:rPr/>
      </w:pPr>
      <w:r>
        <w:rPr>
          <w:b/>
          <w:bCs/>
        </w:rPr>
        <w:t xml:space="preserve">B.</w:t>
      </w:r>
      <w:r>
        <w:t xml:space="preserve"> Copia dell’ultimo </w:t>
      </w:r>
      <w:r>
        <w:rPr>
          <w:i/>
          <w:iCs/>
        </w:rPr>
        <w:t xml:space="preserve">Verbale di verifica DPR 462/01</w:t>
      </w:r>
      <w:r>
        <w:t xml:space="preserve"> dell’impianto di terra (rapporto di ispezione periodica).</w:t>
      </w:r>
      <w:r/>
    </w:p>
    <w:p>
      <w:pPr>
        <w:pStyle w:val="1030"/>
        <w:numPr>
          <w:ilvl w:val="0"/>
          <w:numId w:val="13"/>
        </w:numPr>
        <w:pBdr/>
        <w:spacing/>
        <w:ind/>
        <w:rPr/>
      </w:pPr>
      <w:r>
        <w:rPr>
          <w:b/>
          <w:bCs/>
        </w:rPr>
        <w:t xml:space="preserve">C.</w:t>
      </w:r>
      <w:r>
        <w:t xml:space="preserve"> Elenco dei quadri elettrici e delle linee critiche dove si propone l’installazione di SPD, con priorità suggerite d’intervento (aree sensibili per continuità produttiva o valore dei componenti elettronici).</w:t>
      </w:r>
      <w:bookmarkEnd w:id="3"/>
      <w:bookmarkEnd w:id="10"/>
      <w:r/>
    </w:p>
    <w:p>
      <w:pPr>
        <w:pBdr/>
        <w:spacing/>
        <w:ind/>
        <w:rPr/>
      </w:pPr>
      <w:r/>
      <w:r/>
    </w:p>
    <w:sectPr>
      <w:headerReference w:type="default" r:id="rId9"/>
      <w:headerReference w:type="even" r:id="rId10"/>
      <w:headerReference w:type="first" r:id="rId11"/>
      <w:footerReference w:type="default" r:id="rId12"/>
      <w:footerReference w:type="even" r:id="rId13"/>
      <w:footerReference w:type="first" r:id="rId14"/>
      <w:footnotePr>
        <w:numRestart w:val="eachSect"/>
      </w:footnotePr>
      <w:endnotePr/>
      <w:type w:val="nextPage"/>
      <w:pgSz w:h="15840" w:orient="portrait" w:w="12240"/>
      <w:pgMar w:top="1417" w:right="1134" w:bottom="1134" w:left="1134"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ind/>
        <w:rPr/>
      </w:pPr>
      <w:r>
        <w:separator/>
      </w:r>
      <w:r/>
    </w:p>
  </w:endnote>
  <w:endnote w:type="continuationSeparator" w:id="0">
    <w:p>
      <w:pPr>
        <w:pBdr/>
        <w:spacing w:after="0"/>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Display">
    <w:panose1 w:val="020B0603030804020204"/>
  </w:font>
  <w:font w:name="Cambria Math">
    <w:panose1 w:val="02000603000000000000"/>
  </w:font>
  <w:font w:name="Wingdings">
    <w:panose1 w:val="05010000000000000000"/>
  </w:font>
  <w:font w:name="Courier New">
    <w:panose1 w:val="02070309020205020404"/>
  </w:font>
  <w:font w:name="Symbol">
    <w:panose1 w:val="05010000000000000000"/>
  </w:font>
  <w:font w:name="Consolas">
    <w:panose1 w:val="020B0606020202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417711698"/>
      <w:docPartObj>
        <w:docPartGallery w:val="Page Numbers (Bottom of Page)"/>
        <w:docPartUnique w:val="true"/>
      </w:docPartObj>
      <w:rPr/>
    </w:sdtPr>
    <w:sdtContent>
      <w:p>
        <w:pPr>
          <w:pStyle w:val="1100"/>
          <w:pBdr/>
          <w:spacing/>
          <w:ind/>
          <w:jc w:val="right"/>
          <w:rPr/>
        </w:pPr>
        <w:r>
          <w:fldChar w:fldCharType="begin"/>
        </w:r>
        <w:r>
          <w:instrText xml:space="preserve">PAGE   \* MERGEFORMAT</w:instrText>
        </w:r>
        <w:r>
          <w:fldChar w:fldCharType="separate"/>
        </w:r>
        <w:r>
          <w:rPr>
            <w:lang w:val="it-IT"/>
          </w:rPr>
          <w:t xml:space="preserve">2</w:t>
        </w:r>
        <w:r>
          <w:fldChar w:fldCharType="end"/>
        </w:r>
        <w:r/>
      </w:p>
    </w:sdtContent>
  </w:sdt>
  <w:p>
    <w:pPr>
      <w:pStyle w:val="1100"/>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0"/>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100"/>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ind/>
        <w:rPr/>
      </w:pPr>
      <w:r>
        <w:separator/>
      </w:r>
      <w:r/>
    </w:p>
  </w:footnote>
  <w:footnote w:type="continuationSeparator" w:id="0">
    <w:p>
      <w:pPr>
        <w:pBdr/>
        <w:spacing w:after="0"/>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jc w:val="center"/>
      <w:tblW w:w="0" w:type="auto"/>
      <w:tblBorders/>
      <w:tblLook w:val="04A0" w:firstRow="1" w:lastRow="0" w:firstColumn="1" w:lastColumn="0" w:noHBand="0" w:noVBand="1"/>
      <w:tblStyle w:val="1102"/>
    </w:tblPr>
    <w:tblGrid>
      <w:gridCol w:w="2921"/>
      <w:gridCol w:w="4615"/>
      <w:gridCol w:w="2652"/>
    </w:tblGrid>
    <w:tr>
      <w:trPr>
        <w:jc w:val="center"/>
        <w:trHeight w:val="977"/>
      </w:trPr>
      <w:tc>
        <w:tcPr>
          <w:tcBorders/>
          <w:tcW w:w="2943" w:type="dxa"/>
          <w:vAlign w:val="center"/>
          <w:textDirection w:val="lrTb"/>
          <w:noWrap w:val="false"/>
        </w:tcPr>
        <w:p>
          <w:pPr>
            <w:pStyle w:val="1098"/>
            <w:pBdr/>
            <w:spacing/>
            <w:ind/>
            <w:rPr>
              <w:lang w:val="it-IT"/>
            </w:rPr>
          </w:pPr>
          <w:r>
            <w:rPr>
              <w:lang w:val="it-IT"/>
            </w:rPr>
            <mc:AlternateContent>
              <mc:Choice Requires="wpg">
                <w:drawing>
                  <wp:inline xmlns:wp="http://schemas.openxmlformats.org/drawingml/2006/wordprocessingDrawing" distT="0" distB="0" distL="0" distR="0">
                    <wp:extent cx="1085850" cy="514350"/>
                    <wp:effectExtent l="0" t="0" r="0" b="0"/>
                    <wp:docPr id="1" name="Immagine 2" descr="Immagine che contiene pesce, clipart, illustrazion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56367" name="Immagine 2" descr="Immagine che contiene pesce, clipart, illustrazione&#10;&#10;Il contenuto generato dall'IA potrebbe non essere corretto."/>
                            <pic:cNvPicPr>
                              <a:picLocks noChangeAspect="1"/>
                            </pic:cNvPicPr>
                            <pic:nvPr/>
                          </pic:nvPicPr>
                          <pic:blipFill>
                            <a:blip r:embed="rId1"/>
                            <a:stretch/>
                          </pic:blipFill>
                          <pic:spPr bwMode="auto">
                            <a:xfrm>
                              <a:off x="0" y="0"/>
                              <a:ext cx="1085850" cy="514350"/>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85.50pt;height:40.50pt;mso-wrap-distance-left:0.00pt;mso-wrap-distance-top:0.00pt;mso-wrap-distance-right:0.00pt;mso-wrap-distance-bottom:0.00pt;z-index:1;" stroked="f">
                    <v:imagedata r:id="rId1" o:title=""/>
                    <o:lock v:ext="edit" rotation="t"/>
                  </v:shape>
                </w:pict>
              </mc:Fallback>
            </mc:AlternateContent>
          </w:r>
          <w:r>
            <w:rPr>
              <w:lang w:val="it-IT"/>
            </w:rPr>
          </w:r>
        </w:p>
      </w:tc>
      <w:tc>
        <w:tcPr>
          <w:tcBorders/>
          <w:tcW w:w="4678" w:type="dxa"/>
          <w:vAlign w:val="center"/>
          <w:textDirection w:val="lrTb"/>
          <w:noWrap w:val="false"/>
        </w:tcPr>
        <w:p>
          <w:pPr>
            <w:pStyle w:val="1098"/>
            <w:pBdr/>
            <w:spacing/>
            <w:ind/>
            <w:rPr>
              <w:lang w:val="it-IT"/>
            </w:rPr>
          </w:pPr>
          <w:r>
            <w:rPr>
              <w:b/>
              <w:bCs/>
            </w:rPr>
            <w:t xml:space="preserve">Valutazione del Rischio da Scariche Atmosferiche</w:t>
          </w:r>
          <w:r>
            <w:rPr>
              <w:lang w:val="it-IT"/>
            </w:rPr>
          </w:r>
        </w:p>
      </w:tc>
      <w:tc>
        <w:tcPr>
          <w:tcBorders/>
          <w:tcW w:w="2693" w:type="dxa"/>
          <w:vAlign w:val="center"/>
          <w:textDirection w:val="lrTb"/>
          <w:noWrap w:val="false"/>
        </w:tcPr>
        <w:p>
          <w:pPr>
            <w:pStyle w:val="1098"/>
            <w:pBdr/>
            <w:spacing/>
            <w:ind/>
            <w:rPr>
              <w:lang w:val="it-IT"/>
            </w:rPr>
          </w:pPr>
          <w:r>
            <w:rPr>
              <w:lang w:val="it-IT"/>
            </w:rPr>
            <w:t xml:space="preserve">VR-01</w:t>
          </w:r>
          <w:r>
            <w:rPr>
              <w:lang w:val="it-IT"/>
            </w:rPr>
          </w:r>
        </w:p>
        <w:p>
          <w:pPr>
            <w:pStyle w:val="1098"/>
            <w:pBdr/>
            <w:spacing/>
            <w:ind/>
            <w:rPr>
              <w:lang w:val="it-IT"/>
            </w:rPr>
          </w:pPr>
          <w:r>
            <w:rPr>
              <w:lang w:val="it-IT"/>
            </w:rPr>
            <w:t xml:space="preserve">REV. 0</w:t>
          </w:r>
          <w:r>
            <w:rPr>
              <w:lang w:val="it-IT"/>
            </w:rPr>
            <w:t xml:space="preserve">1</w:t>
          </w:r>
          <w:r>
            <w:rPr>
              <w:lang w:val="it-IT"/>
            </w:rPr>
            <w:t xml:space="preserve"> del 1</w:t>
          </w:r>
          <w:r>
            <w:rPr>
              <w:lang w:val="it-IT"/>
            </w:rPr>
            <w:t xml:space="preserve">2</w:t>
          </w:r>
          <w:r>
            <w:rPr>
              <w:lang w:val="it-IT"/>
            </w:rPr>
            <w:t xml:space="preserve">-1</w:t>
          </w:r>
          <w:r>
            <w:rPr>
              <w:lang w:val="it-IT"/>
            </w:rPr>
            <w:t xml:space="preserve">1</w:t>
          </w:r>
          <w:r>
            <w:rPr>
              <w:lang w:val="it-IT"/>
            </w:rPr>
            <w:t xml:space="preserve">-2025</w:t>
          </w:r>
          <w:r>
            <w:rPr>
              <w:lang w:val="it-IT"/>
            </w:rPr>
          </w:r>
        </w:p>
      </w:tc>
    </w:tr>
  </w:tbl>
  <w:p>
    <w:pPr>
      <w:pStyle w:val="109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9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rFonts w:hint="default" w:ascii="Symbol" w:hAnsi="Symbol" w:cs="Symbol"/>
      </w:rPr>
      <w:start w:val="0"/>
      <w:suff w:val="tab"/>
    </w:lvl>
    <w:lvl w:ilvl="1">
      <w:isLgl w:val="false"/>
      <w:lvlJc w:val="left"/>
      <w:lvlText w:val="o"/>
      <w:numFmt w:val="bullet"/>
      <w:pPr>
        <w:pBdr/>
        <w:spacing/>
        <w:ind w:hanging="360" w:left="1440"/>
      </w:pPr>
      <w:rPr>
        <w:rFonts w:hint="default" w:ascii="Courier New" w:hAnsi="Courier New" w:cs="Courier New"/>
      </w:rPr>
      <w:start w:val="0"/>
      <w:suff w:val="tab"/>
    </w:lvl>
    <w:lvl w:ilvl="2">
      <w:isLgl w:val="false"/>
      <w:lvlJc w:val="left"/>
      <w:lvlText w:val=""/>
      <w:numFmt w:val="bullet"/>
      <w:pPr>
        <w:pBdr/>
        <w:spacing/>
        <w:ind w:hanging="360" w:left="2160"/>
      </w:pPr>
      <w:rPr>
        <w:rFonts w:hint="default" w:ascii="Wingdings" w:hAnsi="Wingdings" w:cs="Wingdings"/>
      </w:rPr>
      <w:start w:val="0"/>
      <w:suff w:val="tab"/>
    </w:lvl>
    <w:lvl w:ilvl="3">
      <w:isLgl w:val="false"/>
      <w:lvlJc w:val="left"/>
      <w:lvlText w:val=""/>
      <w:numFmt w:val="bullet"/>
      <w:pPr>
        <w:pBdr/>
        <w:spacing/>
        <w:ind w:hanging="360" w:left="2880"/>
      </w:pPr>
      <w:rPr>
        <w:rFonts w:hint="default" w:ascii="Symbol" w:hAnsi="Symbol" w:cs="Symbol"/>
      </w:rPr>
      <w:start w:val="0"/>
      <w:suff w:val="tab"/>
    </w:lvl>
    <w:lvl w:ilvl="4">
      <w:isLgl w:val="false"/>
      <w:lvlJc w:val="left"/>
      <w:lvlText w:val="o"/>
      <w:numFmt w:val="bullet"/>
      <w:pPr>
        <w:pBdr/>
        <w:spacing/>
        <w:ind w:hanging="360" w:left="3600"/>
      </w:pPr>
      <w:rPr>
        <w:rFonts w:hint="default" w:ascii="Courier New" w:hAnsi="Courier New" w:cs="Courier New"/>
      </w:rPr>
      <w:start w:val="0"/>
      <w:suff w:val="tab"/>
    </w:lvl>
    <w:lvl w:ilvl="5">
      <w:isLgl w:val="false"/>
      <w:lvlJc w:val="left"/>
      <w:lvlText w:val=""/>
      <w:numFmt w:val="bullet"/>
      <w:pPr>
        <w:pBdr/>
        <w:spacing/>
        <w:ind w:hanging="360" w:left="4320"/>
      </w:pPr>
      <w:rPr>
        <w:rFonts w:hint="default" w:ascii="Wingdings" w:hAnsi="Wingdings" w:cs="Wingdings"/>
      </w:rPr>
      <w:start w:val="0"/>
      <w:suff w:val="tab"/>
    </w:lvl>
    <w:lvl w:ilvl="6">
      <w:isLgl w:val="false"/>
      <w:lvlJc w:val="left"/>
      <w:lvlText w:val=""/>
      <w:numFmt w:val="bullet"/>
      <w:pPr>
        <w:pBdr/>
        <w:spacing/>
        <w:ind w:hanging="360" w:left="5040"/>
      </w:pPr>
      <w:rPr>
        <w:rFonts w:hint="default" w:ascii="Symbol" w:hAnsi="Symbol" w:cs="Symbol"/>
      </w:rPr>
      <w:start w:val="0"/>
      <w:suff w:val="tab"/>
    </w:lvl>
    <w:lvl w:ilvl="7">
      <w:isLgl w:val="false"/>
      <w:lvlJc w:val="left"/>
      <w:lvlText w:val="o"/>
      <w:numFmt w:val="bullet"/>
      <w:pPr>
        <w:pBdr/>
        <w:spacing/>
        <w:ind w:hanging="360" w:left="5760"/>
      </w:pPr>
      <w:rPr>
        <w:rFonts w:hint="default" w:ascii="Courier New" w:hAnsi="Courier New" w:cs="Courier New"/>
      </w:rPr>
      <w:start w:val="0"/>
      <w:suff w:val="tab"/>
    </w:lvl>
    <w:lvl w:ilvl="8">
      <w:isLgl w:val="false"/>
      <w:lvlJc w:val="left"/>
      <w:lvlText w:val=""/>
      <w:numFmt w:val="bullet"/>
      <w:pPr>
        <w:pBdr/>
        <w:spacing/>
        <w:ind w:hanging="360" w:left="6480"/>
      </w:pPr>
      <w:rPr>
        <w:rFonts w:hint="default" w:ascii="Wingdings" w:hAnsi="Wingdings" w:cs="Wingdings"/>
      </w:rPr>
      <w:start w:val="0"/>
      <w:suff w:val="tab"/>
    </w:lvl>
  </w:abstractNum>
  <w:abstractNum w:abstractNumId="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4">
    <w:lvl w:ilvl="0">
      <w:isLgl w:val="false"/>
      <w:lvlJc w:val="left"/>
      <w:lvlText w:val="%1."/>
      <w:numFmt w:val="decimal"/>
      <w:pPr>
        <w:pBdr/>
        <w:spacing/>
        <w:ind w:hanging="360" w:left="360"/>
      </w:pPr>
      <w:pStyle w:val="854"/>
      <w:rPr/>
      <w:start w:val="1"/>
      <w:suff w:val="tab"/>
    </w:lvl>
    <w:lvl w:ilvl="1">
      <w:isLgl w:val="false"/>
      <w:lvlJc w:val="left"/>
      <w:lvlText w:val="%1.%2"/>
      <w:numFmt w:val="decimal"/>
      <w:pPr>
        <w:pBdr/>
        <w:spacing/>
        <w:ind w:hanging="576" w:left="576"/>
      </w:pPr>
      <w:pStyle w:val="855"/>
      <w:rPr>
        <w:rFonts w:hint="default"/>
      </w:rPr>
      <w:start w:val="1"/>
      <w:suff w:val="tab"/>
    </w:lvl>
    <w:lvl w:ilvl="2">
      <w:isLgl w:val="false"/>
      <w:lvlJc w:val="left"/>
      <w:lvlText w:val="%1.%2.%3"/>
      <w:numFmt w:val="decimal"/>
      <w:pPr>
        <w:pBdr/>
        <w:spacing/>
        <w:ind w:hanging="720" w:left="720"/>
      </w:pPr>
      <w:pStyle w:val="856"/>
      <w:rPr>
        <w:rFonts w:hint="default"/>
      </w:rPr>
      <w:start w:val="1"/>
      <w:suff w:val="tab"/>
    </w:lvl>
    <w:lvl w:ilvl="3">
      <w:isLgl w:val="false"/>
      <w:lvlJc w:val="left"/>
      <w:lvlText w:val="%1.%2.%3.%4"/>
      <w:numFmt w:val="decimal"/>
      <w:pPr>
        <w:pBdr/>
        <w:spacing/>
        <w:ind w:hanging="864" w:left="864"/>
      </w:pPr>
      <w:pStyle w:val="857"/>
      <w:rPr>
        <w:rFonts w:hint="default"/>
      </w:rPr>
      <w:start w:val="1"/>
      <w:suff w:val="tab"/>
    </w:lvl>
    <w:lvl w:ilvl="4">
      <w:isLgl w:val="false"/>
      <w:lvlJc w:val="left"/>
      <w:lvlText w:val="%1.%2.%3.%4.%5"/>
      <w:numFmt w:val="decimal"/>
      <w:pPr>
        <w:pBdr/>
        <w:spacing/>
        <w:ind w:hanging="1008" w:left="1008"/>
      </w:pPr>
      <w:pStyle w:val="858"/>
      <w:rPr>
        <w:rFonts w:hint="default"/>
      </w:rPr>
      <w:start w:val="1"/>
      <w:suff w:val="tab"/>
    </w:lvl>
    <w:lvl w:ilvl="5">
      <w:isLgl w:val="false"/>
      <w:lvlJc w:val="left"/>
      <w:lvlText w:val="%1.%2.%3.%4.%5.%6"/>
      <w:numFmt w:val="decimal"/>
      <w:pPr>
        <w:pBdr/>
        <w:spacing/>
        <w:ind w:hanging="1152" w:left="1152"/>
      </w:pPr>
      <w:pStyle w:val="859"/>
      <w:rPr>
        <w:rFonts w:hint="default"/>
      </w:rPr>
      <w:start w:val="1"/>
      <w:suff w:val="tab"/>
    </w:lvl>
    <w:lvl w:ilvl="6">
      <w:isLgl w:val="false"/>
      <w:lvlJc w:val="left"/>
      <w:lvlText w:val="%1.%2.%3.%4.%5.%6.%7"/>
      <w:numFmt w:val="decimal"/>
      <w:pPr>
        <w:pBdr/>
        <w:spacing/>
        <w:ind w:hanging="1296" w:left="1296"/>
      </w:pPr>
      <w:pStyle w:val="860"/>
      <w:rPr>
        <w:rFonts w:hint="default"/>
      </w:rPr>
      <w:start w:val="1"/>
      <w:suff w:val="tab"/>
    </w:lvl>
    <w:lvl w:ilvl="7">
      <w:isLgl w:val="false"/>
      <w:lvlJc w:val="left"/>
      <w:lvlText w:val="%1.%2.%3.%4.%5.%6.%7.%8"/>
      <w:numFmt w:val="decimal"/>
      <w:pPr>
        <w:pBdr/>
        <w:spacing/>
        <w:ind w:hanging="1440" w:left="1440"/>
      </w:pPr>
      <w:pStyle w:val="861"/>
      <w:rPr>
        <w:rFonts w:hint="default"/>
      </w:rPr>
      <w:start w:val="1"/>
      <w:suff w:val="tab"/>
    </w:lvl>
    <w:lvl w:ilvl="8">
      <w:isLgl w:val="false"/>
      <w:lvlJc w:val="left"/>
      <w:lvlText w:val="%1.%2.%3.%4.%5.%6.%7.%8.%9"/>
      <w:numFmt w:val="decimal"/>
      <w:pPr>
        <w:pBdr/>
        <w:spacing/>
        <w:ind w:hanging="1584" w:left="1584"/>
      </w:pPr>
      <w:pStyle w:val="862"/>
      <w:rPr>
        <w:rFonts w:hint="default"/>
      </w:rPr>
      <w:start w:val="1"/>
      <w:suff w:val="tab"/>
    </w:lvl>
  </w:abstractNum>
  <w:abstractNum w:abstractNumId="5">
    <w:lvl w:ilvl="0">
      <w:isLgl w:val="false"/>
      <w:lvlJc w:val="left"/>
      <w:lvlText w:val="%1."/>
      <w:numFmt w:val="decimal"/>
      <w:pPr>
        <w:pBdr/>
        <w:spacing/>
        <w:ind w:hanging="360" w:left="360"/>
      </w:pPr>
      <w:pStyle w:val="854"/>
      <w:rPr/>
      <w:start w:val="1"/>
      <w:suff w:val="tab"/>
    </w:lvl>
    <w:lvl w:ilvl="1">
      <w:isLgl w:val="false"/>
      <w:lvlJc w:val="left"/>
      <w:lvlText w:val="%1.%2"/>
      <w:numFmt w:val="decimal"/>
      <w:pPr>
        <w:pBdr/>
        <w:spacing/>
        <w:ind w:hanging="576" w:left="576"/>
      </w:pPr>
      <w:pStyle w:val="855"/>
      <w:rPr>
        <w:rFonts w:hint="default"/>
      </w:rPr>
      <w:start w:val="1"/>
      <w:suff w:val="tab"/>
    </w:lvl>
    <w:lvl w:ilvl="2">
      <w:isLgl w:val="false"/>
      <w:lvlJc w:val="left"/>
      <w:lvlText w:val="%1.%2.%3"/>
      <w:numFmt w:val="decimal"/>
      <w:pPr>
        <w:pBdr/>
        <w:spacing/>
        <w:ind w:hanging="720" w:left="720"/>
      </w:pPr>
      <w:pStyle w:val="856"/>
      <w:rPr>
        <w:rFonts w:hint="default"/>
      </w:rPr>
      <w:start w:val="1"/>
      <w:suff w:val="tab"/>
    </w:lvl>
    <w:lvl w:ilvl="3">
      <w:isLgl w:val="false"/>
      <w:lvlJc w:val="left"/>
      <w:lvlText w:val="%1.%2.%3.%4"/>
      <w:numFmt w:val="decimal"/>
      <w:pPr>
        <w:pBdr/>
        <w:spacing/>
        <w:ind w:hanging="864" w:left="864"/>
      </w:pPr>
      <w:pStyle w:val="857"/>
      <w:rPr>
        <w:rFonts w:hint="default"/>
      </w:rPr>
      <w:start w:val="1"/>
      <w:suff w:val="tab"/>
    </w:lvl>
    <w:lvl w:ilvl="4">
      <w:isLgl w:val="false"/>
      <w:lvlJc w:val="left"/>
      <w:lvlText w:val="%1.%2.%3.%4.%5"/>
      <w:numFmt w:val="decimal"/>
      <w:pPr>
        <w:pBdr/>
        <w:spacing/>
        <w:ind w:hanging="1008" w:left="1008"/>
      </w:pPr>
      <w:pStyle w:val="858"/>
      <w:rPr>
        <w:rFonts w:hint="default"/>
      </w:rPr>
      <w:start w:val="1"/>
      <w:suff w:val="tab"/>
    </w:lvl>
    <w:lvl w:ilvl="5">
      <w:isLgl w:val="false"/>
      <w:lvlJc w:val="left"/>
      <w:lvlText w:val="%1.%2.%3.%4.%5.%6"/>
      <w:numFmt w:val="decimal"/>
      <w:pPr>
        <w:pBdr/>
        <w:spacing/>
        <w:ind w:hanging="1152" w:left="1152"/>
      </w:pPr>
      <w:pStyle w:val="859"/>
      <w:rPr>
        <w:rFonts w:hint="default"/>
      </w:rPr>
      <w:start w:val="1"/>
      <w:suff w:val="tab"/>
    </w:lvl>
    <w:lvl w:ilvl="6">
      <w:isLgl w:val="false"/>
      <w:lvlJc w:val="left"/>
      <w:lvlText w:val="%1.%2.%3.%4.%5.%6.%7"/>
      <w:numFmt w:val="decimal"/>
      <w:pPr>
        <w:pBdr/>
        <w:spacing/>
        <w:ind w:hanging="1296" w:left="1296"/>
      </w:pPr>
      <w:pStyle w:val="860"/>
      <w:rPr>
        <w:rFonts w:hint="default"/>
      </w:rPr>
      <w:start w:val="1"/>
      <w:suff w:val="tab"/>
    </w:lvl>
    <w:lvl w:ilvl="7">
      <w:isLgl w:val="false"/>
      <w:lvlJc w:val="left"/>
      <w:lvlText w:val="%1.%2.%3.%4.%5.%6.%7.%8"/>
      <w:numFmt w:val="decimal"/>
      <w:pPr>
        <w:pBdr/>
        <w:spacing/>
        <w:ind w:hanging="1440" w:left="1440"/>
      </w:pPr>
      <w:pStyle w:val="861"/>
      <w:rPr>
        <w:rFonts w:hint="default"/>
      </w:rPr>
      <w:start w:val="1"/>
      <w:suff w:val="tab"/>
    </w:lvl>
    <w:lvl w:ilvl="8">
      <w:isLgl w:val="false"/>
      <w:lvlJc w:val="left"/>
      <w:lvlText w:val="%1.%2.%3.%4.%5.%6.%7.%8.%9"/>
      <w:numFmt w:val="decimal"/>
      <w:pPr>
        <w:pBdr/>
        <w:spacing/>
        <w:ind w:hanging="1584" w:left="1584"/>
      </w:pPr>
      <w:pStyle w:val="862"/>
      <w:rPr>
        <w:rFonts w:hint="default"/>
      </w:rPr>
      <w:start w:val="1"/>
      <w:suff w:val="tab"/>
    </w:lvl>
  </w:abstractNum>
  <w:abstractNum w:abstractNumId="6">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9">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num w:numId="1">
    <w:abstractNumId w:val="4"/>
  </w:num>
  <w:num w:numId="2">
    <w:abstractNumId w:val="12"/>
  </w:num>
  <w:num w:numId="3">
    <w:abstractNumId w:val="9"/>
  </w:num>
  <w:num w:numId="4">
    <w:abstractNumId w:val="3"/>
  </w:num>
  <w:num w:numId="5">
    <w:abstractNumId w:val="2"/>
  </w:num>
  <w:num w:numId="6">
    <w:abstractNumId w:val="1"/>
  </w:num>
  <w:num w:numId="7">
    <w:abstractNumId w:val="5"/>
  </w:num>
  <w:num w:numId="8">
    <w:abstractNumId w:val="7"/>
  </w:num>
  <w:num w:numId="9">
    <w:abstractNumId w:val="6"/>
  </w:num>
  <w:num w:numId="10">
    <w:abstractNumId w:val="8"/>
  </w:num>
  <w:num w:numId="11">
    <w:abstractNumId w:val="11"/>
  </w:num>
  <w:num w:numId="12">
    <w:abstractNumId w:val="10"/>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hyphenationZone w:val="283"/>
  <w:characterSpacingControl w:val="doNotCompress"/>
  <w:footnotePr>
    <w:pos w:val="pageBottom"/>
    <w:numFmt w:val="decimal"/>
    <w:numStart w:val="1"/>
    <w:numRestart w:val="eachSect"/>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it"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character" w:styleId="163">
    <w:name w:val="Quote Char"/>
    <w:basedOn w:val="863"/>
    <w:link w:val="1001"/>
    <w:uiPriority w:val="29"/>
    <w:pPr>
      <w:pBdr/>
      <w:spacing/>
      <w:ind/>
    </w:pPr>
    <w:rPr>
      <w:i/>
      <w:iCs/>
      <w:color w:val="404040" w:themeColor="text1" w:themeTint="BF"/>
    </w:rPr>
  </w:style>
  <w:style w:type="character" w:styleId="167">
    <w:name w:val="Intense Quote Char"/>
    <w:basedOn w:val="863"/>
    <w:link w:val="1004"/>
    <w:uiPriority w:val="30"/>
    <w:pPr>
      <w:pBdr/>
      <w:spacing/>
      <w:ind/>
    </w:pPr>
    <w:rPr>
      <w:i/>
      <w:iCs/>
      <w:color w:val="0f4761" w:themeColor="accent1" w:themeShade="BF"/>
    </w:rPr>
  </w:style>
  <w:style w:type="character" w:styleId="181">
    <w:name w:val="Footnote Text Char"/>
    <w:basedOn w:val="863"/>
    <w:link w:val="1050"/>
    <w:uiPriority w:val="99"/>
    <w:semiHidden/>
    <w:pPr>
      <w:pBdr/>
      <w:spacing/>
      <w:ind/>
    </w:pPr>
    <w:rPr>
      <w:sz w:val="20"/>
      <w:szCs w:val="20"/>
    </w:rPr>
  </w:style>
  <w:style w:type="character" w:styleId="184">
    <w:name w:val="Endnote Text Char"/>
    <w:basedOn w:val="863"/>
    <w:link w:val="1016"/>
    <w:uiPriority w:val="99"/>
    <w:semiHidden/>
    <w:pPr>
      <w:pBdr/>
      <w:spacing/>
      <w:ind/>
    </w:pPr>
    <w:rPr>
      <w:sz w:val="20"/>
      <w:szCs w:val="20"/>
    </w:rPr>
  </w:style>
  <w:style w:type="paragraph" w:styleId="853" w:default="1">
    <w:name w:val="Normal"/>
    <w:qFormat/>
    <w:pPr>
      <w:pBdr/>
      <w:spacing/>
      <w:ind/>
    </w:pPr>
  </w:style>
  <w:style w:type="paragraph" w:styleId="854">
    <w:name w:val="Heading 1"/>
    <w:basedOn w:val="853"/>
    <w:next w:val="1028"/>
    <w:link w:val="1040"/>
    <w:uiPriority w:val="9"/>
    <w:qFormat/>
    <w:pPr>
      <w:keepNext w:val="true"/>
      <w:keepLines w:val="true"/>
      <w:numPr>
        <w:numId w:val="7"/>
      </w:numPr>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855">
    <w:name w:val="Heading 2"/>
    <w:basedOn w:val="853"/>
    <w:next w:val="1028"/>
    <w:link w:val="1041"/>
    <w:uiPriority w:val="9"/>
    <w:unhideWhenUsed/>
    <w:qFormat/>
    <w:pPr>
      <w:keepNext w:val="true"/>
      <w:keepLines w:val="true"/>
      <w:numPr>
        <w:ilvl w:val="1"/>
        <w:numId w:val="7"/>
      </w:numPr>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856">
    <w:name w:val="Heading 3"/>
    <w:basedOn w:val="853"/>
    <w:next w:val="1028"/>
    <w:link w:val="1042"/>
    <w:uiPriority w:val="9"/>
    <w:unhideWhenUsed/>
    <w:qFormat/>
    <w:pPr>
      <w:keepNext w:val="true"/>
      <w:keepLines w:val="true"/>
      <w:numPr>
        <w:ilvl w:val="2"/>
        <w:numId w:val="7"/>
      </w:numPr>
      <w:pBdr/>
      <w:spacing w:after="80" w:before="160"/>
      <w:ind/>
      <w:outlineLvl w:val="2"/>
    </w:pPr>
    <w:rPr>
      <w:rFonts w:eastAsiaTheme="majorEastAsia" w:cstheme="majorBidi"/>
      <w:color w:val="0f4761" w:themeColor="accent1" w:themeShade="BF"/>
      <w:sz w:val="28"/>
      <w:szCs w:val="28"/>
    </w:rPr>
  </w:style>
  <w:style w:type="paragraph" w:styleId="857">
    <w:name w:val="Heading 4"/>
    <w:basedOn w:val="853"/>
    <w:next w:val="1028"/>
    <w:link w:val="1043"/>
    <w:uiPriority w:val="9"/>
    <w:semiHidden/>
    <w:unhideWhenUsed/>
    <w:qFormat/>
    <w:pPr>
      <w:keepNext w:val="true"/>
      <w:keepLines w:val="true"/>
      <w:numPr>
        <w:ilvl w:val="3"/>
        <w:numId w:val="7"/>
      </w:numPr>
      <w:pBdr/>
      <w:spacing w:after="40" w:before="80"/>
      <w:ind/>
      <w:outlineLvl w:val="3"/>
    </w:pPr>
    <w:rPr>
      <w:rFonts w:eastAsiaTheme="majorEastAsia" w:cstheme="majorBidi"/>
      <w:i/>
      <w:iCs/>
      <w:color w:val="0f4761" w:themeColor="accent1" w:themeShade="BF"/>
    </w:rPr>
  </w:style>
  <w:style w:type="paragraph" w:styleId="858">
    <w:name w:val="Heading 5"/>
    <w:basedOn w:val="853"/>
    <w:next w:val="1028"/>
    <w:link w:val="1044"/>
    <w:uiPriority w:val="9"/>
    <w:semiHidden/>
    <w:unhideWhenUsed/>
    <w:qFormat/>
    <w:pPr>
      <w:keepNext w:val="true"/>
      <w:keepLines w:val="true"/>
      <w:numPr>
        <w:ilvl w:val="4"/>
        <w:numId w:val="7"/>
      </w:numPr>
      <w:pBdr/>
      <w:spacing w:after="40" w:before="80"/>
      <w:ind/>
      <w:outlineLvl w:val="4"/>
    </w:pPr>
    <w:rPr>
      <w:rFonts w:eastAsiaTheme="majorEastAsia" w:cstheme="majorBidi"/>
      <w:color w:val="0f4761" w:themeColor="accent1" w:themeShade="BF"/>
    </w:rPr>
  </w:style>
  <w:style w:type="paragraph" w:styleId="859">
    <w:name w:val="Heading 6"/>
    <w:basedOn w:val="853"/>
    <w:next w:val="1028"/>
    <w:link w:val="1045"/>
    <w:uiPriority w:val="9"/>
    <w:semiHidden/>
    <w:unhideWhenUsed/>
    <w:qFormat/>
    <w:pPr>
      <w:keepNext w:val="true"/>
      <w:keepLines w:val="true"/>
      <w:numPr>
        <w:ilvl w:val="5"/>
        <w:numId w:val="7"/>
      </w:numPr>
      <w:pBdr/>
      <w:spacing w:after="0" w:before="40"/>
      <w:ind/>
      <w:outlineLvl w:val="5"/>
    </w:pPr>
    <w:rPr>
      <w:rFonts w:eastAsiaTheme="majorEastAsia" w:cstheme="majorBidi"/>
      <w:i/>
      <w:iCs/>
      <w:color w:val="595959" w:themeColor="text1" w:themeTint="A6"/>
    </w:rPr>
  </w:style>
  <w:style w:type="paragraph" w:styleId="860">
    <w:name w:val="Heading 7"/>
    <w:basedOn w:val="853"/>
    <w:next w:val="1028"/>
    <w:link w:val="1046"/>
    <w:uiPriority w:val="9"/>
    <w:semiHidden/>
    <w:unhideWhenUsed/>
    <w:qFormat/>
    <w:pPr>
      <w:keepNext w:val="true"/>
      <w:keepLines w:val="true"/>
      <w:numPr>
        <w:ilvl w:val="6"/>
        <w:numId w:val="7"/>
      </w:numPr>
      <w:pBdr/>
      <w:spacing w:after="0" w:before="40"/>
      <w:ind/>
      <w:outlineLvl w:val="6"/>
    </w:pPr>
    <w:rPr>
      <w:rFonts w:eastAsiaTheme="majorEastAsia" w:cstheme="majorBidi"/>
      <w:color w:val="595959" w:themeColor="text1" w:themeTint="A6"/>
    </w:rPr>
  </w:style>
  <w:style w:type="paragraph" w:styleId="861">
    <w:name w:val="Heading 8"/>
    <w:basedOn w:val="853"/>
    <w:next w:val="1028"/>
    <w:link w:val="1047"/>
    <w:uiPriority w:val="9"/>
    <w:semiHidden/>
    <w:unhideWhenUsed/>
    <w:qFormat/>
    <w:pPr>
      <w:keepNext w:val="true"/>
      <w:keepLines w:val="true"/>
      <w:numPr>
        <w:ilvl w:val="7"/>
        <w:numId w:val="7"/>
      </w:numPr>
      <w:pBdr/>
      <w:spacing w:after="0"/>
      <w:ind/>
      <w:outlineLvl w:val="7"/>
    </w:pPr>
    <w:rPr>
      <w:rFonts w:eastAsiaTheme="majorEastAsia" w:cstheme="majorBidi"/>
      <w:i/>
      <w:iCs/>
      <w:color w:val="272727" w:themeColor="text1" w:themeTint="D8"/>
    </w:rPr>
  </w:style>
  <w:style w:type="paragraph" w:styleId="862">
    <w:name w:val="Heading 9"/>
    <w:basedOn w:val="853"/>
    <w:next w:val="1028"/>
    <w:link w:val="1048"/>
    <w:uiPriority w:val="9"/>
    <w:semiHidden/>
    <w:unhideWhenUsed/>
    <w:qFormat/>
    <w:pPr>
      <w:keepNext w:val="true"/>
      <w:keepLines w:val="true"/>
      <w:numPr>
        <w:ilvl w:val="8"/>
        <w:numId w:val="7"/>
      </w:numPr>
      <w:pBdr/>
      <w:spacing w:after="0"/>
      <w:ind/>
      <w:outlineLvl w:val="8"/>
    </w:pPr>
    <w:rPr>
      <w:rFonts w:eastAsiaTheme="majorEastAsia" w:cstheme="majorBidi"/>
      <w:color w:val="272727" w:themeColor="text1" w:themeTint="D8"/>
    </w:rPr>
  </w:style>
  <w:style w:type="character" w:styleId="863" w:default="1">
    <w:name w:val="Default Paragraph Font"/>
    <w:uiPriority w:val="1"/>
    <w:semiHidden/>
    <w:unhideWhenUsed/>
    <w:pPr>
      <w:pBdr/>
      <w:spacing/>
      <w:ind/>
    </w:pPr>
  </w:style>
  <w:style w:type="table" w:styleId="86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65" w:default="1">
    <w:name w:val="No List"/>
    <w:uiPriority w:val="99"/>
    <w:semiHidden/>
    <w:unhideWhenUsed/>
    <w:pPr>
      <w:pBdr/>
      <w:spacing/>
      <w:ind/>
    </w:pPr>
  </w:style>
  <w:style w:type="table" w:styleId="866" w:customStyle="1">
    <w:name w:val="Table Grid Light"/>
    <w:basedOn w:val="864"/>
    <w:uiPriority w:val="59"/>
    <w:pPr>
      <w:pBdr/>
      <w:spacing w:after="0"/>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Plain Table 2"/>
    <w:basedOn w:val="864"/>
    <w:uiPriority w:val="59"/>
    <w:pPr>
      <w:pBdr/>
      <w:spacing w:after="0"/>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Plain Table 3"/>
    <w:basedOn w:val="864"/>
    <w:uiPriority w:val="99"/>
    <w:pPr>
      <w:pBdr/>
      <w:spacing w:after="0"/>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Plain Table 4"/>
    <w:basedOn w:val="864"/>
    <w:uiPriority w:val="99"/>
    <w:pPr>
      <w:pBdr/>
      <w:spacing w:after="0"/>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Plain Table 5"/>
    <w:basedOn w:val="864"/>
    <w:uiPriority w:val="99"/>
    <w:pPr>
      <w:pBdr/>
      <w:spacing w:after="0"/>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Grid Table 1 Light"/>
    <w:basedOn w:val="864"/>
    <w:uiPriority w:val="99"/>
    <w:pPr>
      <w:pBdr/>
      <w:spacing w:after="0"/>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customStyle="1">
    <w:name w:val="Grid Table 1 Light - Accent 1"/>
    <w:basedOn w:val="864"/>
    <w:uiPriority w:val="99"/>
    <w:pPr>
      <w:pBdr/>
      <w:spacing w:after="0"/>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customStyle="1">
    <w:name w:val="Grid Table 1 Light - Accent 2"/>
    <w:basedOn w:val="864"/>
    <w:uiPriority w:val="99"/>
    <w:pPr>
      <w:pBdr/>
      <w:spacing w:after="0"/>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customStyle="1">
    <w:name w:val="Grid Table 1 Light - Accent 3"/>
    <w:basedOn w:val="864"/>
    <w:uiPriority w:val="99"/>
    <w:pPr>
      <w:pBdr/>
      <w:spacing w:after="0"/>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customStyle="1">
    <w:name w:val="Grid Table 1 Light - Accent 4"/>
    <w:basedOn w:val="864"/>
    <w:uiPriority w:val="99"/>
    <w:pPr>
      <w:pBdr/>
      <w:spacing w:after="0"/>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customStyle="1">
    <w:name w:val="Grid Table 1 Light - Accent 5"/>
    <w:basedOn w:val="864"/>
    <w:uiPriority w:val="99"/>
    <w:pPr>
      <w:pBdr/>
      <w:spacing w:after="0"/>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customStyle="1">
    <w:name w:val="Grid Table 1 Light - Accent 6"/>
    <w:basedOn w:val="864"/>
    <w:uiPriority w:val="99"/>
    <w:pPr>
      <w:pBdr/>
      <w:spacing w:after="0"/>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Grid Table 2"/>
    <w:basedOn w:val="864"/>
    <w:uiPriority w:val="99"/>
    <w:pPr>
      <w:pBdr/>
      <w:spacing w:after="0"/>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customStyle="1">
    <w:name w:val="Grid Table 2 - Accent 1"/>
    <w:basedOn w:val="864"/>
    <w:uiPriority w:val="99"/>
    <w:pPr>
      <w:pBdr/>
      <w:spacing w:after="0"/>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customStyle="1">
    <w:name w:val="Grid Table 2 - Accent 2"/>
    <w:basedOn w:val="864"/>
    <w:uiPriority w:val="99"/>
    <w:pPr>
      <w:pBdr/>
      <w:spacing w:after="0"/>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customStyle="1">
    <w:name w:val="Grid Table 2 - Accent 3"/>
    <w:basedOn w:val="864"/>
    <w:uiPriority w:val="99"/>
    <w:pPr>
      <w:pBdr/>
      <w:spacing w:after="0"/>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customStyle="1">
    <w:name w:val="Grid Table 2 - Accent 4"/>
    <w:basedOn w:val="864"/>
    <w:uiPriority w:val="99"/>
    <w:pPr>
      <w:pBdr/>
      <w:spacing w:after="0"/>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customStyle="1">
    <w:name w:val="Grid Table 2 - Accent 5"/>
    <w:basedOn w:val="864"/>
    <w:uiPriority w:val="99"/>
    <w:pPr>
      <w:pBdr/>
      <w:spacing w:after="0"/>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customStyle="1">
    <w:name w:val="Grid Table 2 - Accent 6"/>
    <w:basedOn w:val="864"/>
    <w:uiPriority w:val="99"/>
    <w:pPr>
      <w:pBdr/>
      <w:spacing w:after="0"/>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Grid Table 3"/>
    <w:basedOn w:val="864"/>
    <w:uiPriority w:val="99"/>
    <w:pPr>
      <w:pBdr/>
      <w:spacing w:after="0"/>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customStyle="1">
    <w:name w:val="Grid Table 3 - Accent 1"/>
    <w:basedOn w:val="864"/>
    <w:uiPriority w:val="99"/>
    <w:pPr>
      <w:pBdr/>
      <w:spacing w:after="0"/>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customStyle="1">
    <w:name w:val="Grid Table 3 - Accent 2"/>
    <w:basedOn w:val="864"/>
    <w:uiPriority w:val="99"/>
    <w:pPr>
      <w:pBdr/>
      <w:spacing w:after="0"/>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customStyle="1">
    <w:name w:val="Grid Table 3 - Accent 3"/>
    <w:basedOn w:val="864"/>
    <w:uiPriority w:val="99"/>
    <w:pPr>
      <w:pBdr/>
      <w:spacing w:after="0"/>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customStyle="1">
    <w:name w:val="Grid Table 3 - Accent 4"/>
    <w:basedOn w:val="864"/>
    <w:uiPriority w:val="99"/>
    <w:pPr>
      <w:pBdr/>
      <w:spacing w:after="0"/>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customStyle="1">
    <w:name w:val="Grid Table 3 - Accent 5"/>
    <w:basedOn w:val="864"/>
    <w:uiPriority w:val="99"/>
    <w:pPr>
      <w:pBdr/>
      <w:spacing w:after="0"/>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customStyle="1">
    <w:name w:val="Grid Table 3 - Accent 6"/>
    <w:basedOn w:val="864"/>
    <w:uiPriority w:val="99"/>
    <w:pPr>
      <w:pBdr/>
      <w:spacing w:after="0"/>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Grid Table 4"/>
    <w:basedOn w:val="864"/>
    <w:uiPriority w:val="59"/>
    <w:pPr>
      <w:pBdr/>
      <w:spacing w:after="0"/>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customStyle="1">
    <w:name w:val="Grid Table 4 - Accent 1"/>
    <w:basedOn w:val="864"/>
    <w:uiPriority w:val="59"/>
    <w:pPr>
      <w:pBdr/>
      <w:spacing w:after="0"/>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customStyle="1">
    <w:name w:val="Grid Table 4 - Accent 2"/>
    <w:basedOn w:val="864"/>
    <w:uiPriority w:val="59"/>
    <w:pPr>
      <w:pBdr/>
      <w:spacing w:after="0"/>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customStyle="1">
    <w:name w:val="Grid Table 4 - Accent 3"/>
    <w:basedOn w:val="864"/>
    <w:uiPriority w:val="59"/>
    <w:pPr>
      <w:pBdr/>
      <w:spacing w:after="0"/>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customStyle="1">
    <w:name w:val="Grid Table 4 - Accent 4"/>
    <w:basedOn w:val="864"/>
    <w:uiPriority w:val="59"/>
    <w:pPr>
      <w:pBdr/>
      <w:spacing w:after="0"/>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customStyle="1">
    <w:name w:val="Grid Table 4 - Accent 5"/>
    <w:basedOn w:val="864"/>
    <w:uiPriority w:val="59"/>
    <w:pPr>
      <w:pBdr/>
      <w:spacing w:after="0"/>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customStyle="1">
    <w:name w:val="Grid Table 4 - Accent 6"/>
    <w:basedOn w:val="864"/>
    <w:uiPriority w:val="59"/>
    <w:pPr>
      <w:pBdr/>
      <w:spacing w:after="0"/>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Grid Table 5 Dark"/>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customStyle="1">
    <w:name w:val="Grid Table 5 Dark- Accent 1"/>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customStyle="1">
    <w:name w:val="Grid Table 5 Dark - Accent 2"/>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customStyle="1">
    <w:name w:val="Grid Table 5 Dark - Accent 3"/>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customStyle="1">
    <w:name w:val="Grid Table 5 Dark- Accent 4"/>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customStyle="1">
    <w:name w:val="Grid Table 5 Dark - Accent 5"/>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customStyle="1">
    <w:name w:val="Grid Table 5 Dark - Accent 6"/>
    <w:basedOn w:val="864"/>
    <w:uiPriority w:val="99"/>
    <w:pPr>
      <w:pBdr/>
      <w:spacing w:after="0"/>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Grid Table 6 Colorful"/>
    <w:basedOn w:val="864"/>
    <w:uiPriority w:val="99"/>
    <w:pPr>
      <w:pBdr/>
      <w:spacing w:after="0"/>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customStyle="1">
    <w:name w:val="Grid Table 6 Colorful - Accent 1"/>
    <w:basedOn w:val="864"/>
    <w:uiPriority w:val="99"/>
    <w:pPr>
      <w:pBdr/>
      <w:spacing w:after="0"/>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customStyle="1">
    <w:name w:val="Grid Table 6 Colorful - Accent 2"/>
    <w:basedOn w:val="864"/>
    <w:uiPriority w:val="99"/>
    <w:pPr>
      <w:pBdr/>
      <w:spacing w:after="0"/>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customStyle="1">
    <w:name w:val="Grid Table 6 Colorful - Accent 3"/>
    <w:basedOn w:val="864"/>
    <w:uiPriority w:val="99"/>
    <w:pPr>
      <w:pBdr/>
      <w:spacing w:after="0"/>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Grid Table 6 Colorful - Accent 4"/>
    <w:basedOn w:val="864"/>
    <w:uiPriority w:val="99"/>
    <w:pPr>
      <w:pBdr/>
      <w:spacing w:after="0"/>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Grid Table 6 Colorful - Accent 5"/>
    <w:basedOn w:val="864"/>
    <w:uiPriority w:val="99"/>
    <w:pPr>
      <w:pBdr/>
      <w:spacing w:after="0"/>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Grid Table 6 Colorful - Accent 6"/>
    <w:basedOn w:val="864"/>
    <w:uiPriority w:val="99"/>
    <w:pPr>
      <w:pBdr/>
      <w:spacing w:after="0"/>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Grid Table 7 Colorful"/>
    <w:basedOn w:val="864"/>
    <w:uiPriority w:val="99"/>
    <w:pPr>
      <w:pBdr/>
      <w:spacing w:after="0"/>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Grid Table 7 Colorful - Accent 1"/>
    <w:basedOn w:val="864"/>
    <w:uiPriority w:val="99"/>
    <w:pPr>
      <w:pBdr/>
      <w:spacing w:after="0"/>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63bde6" w:themeColor="accent1" w:themeTint="80" w:sz="4" w:space="0"/>
          <w:right w:val="none" w:color="000000" w:sz="4"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4" w:space="0"/>
          <w:left w:val="single" w:color="63bde6" w:themeColor="accent1" w:themeTint="80" w:sz="4" w:space="0"/>
          <w:bottom w:val="none" w:color="000000" w:sz="4" w:space="0"/>
          <w:right w:val="none" w:color="000000" w:sz="4"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Grid Table 7 Colorful - Accent 2"/>
    <w:basedOn w:val="864"/>
    <w:uiPriority w:val="99"/>
    <w:pPr>
      <w:pBdr/>
      <w:spacing w:after="0"/>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Grid Table 7 Colorful - Accent 3"/>
    <w:basedOn w:val="864"/>
    <w:uiPriority w:val="99"/>
    <w:pPr>
      <w:pBdr/>
      <w:spacing w:after="0"/>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96c24" w:themeColor="accent3" w:themeTint="FE" w:sz="4" w:space="0"/>
          <w:right w:val="none" w:color="000000" w:sz="4"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4" w:space="0"/>
          <w:left w:val="single" w:color="196c24" w:themeColor="accent3" w:themeTint="FE" w:sz="4" w:space="0"/>
          <w:bottom w:val="none" w:color="000000" w:sz="4" w:space="0"/>
          <w:right w:val="none" w:color="000000" w:sz="4"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Grid Table 7 Colorful - Accent 4"/>
    <w:basedOn w:val="864"/>
    <w:uiPriority w:val="99"/>
    <w:pPr>
      <w:pBdr/>
      <w:spacing w:after="0"/>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Grid Table 7 Colorful - Accent 5"/>
    <w:basedOn w:val="864"/>
    <w:uiPriority w:val="99"/>
    <w:pPr>
      <w:pBdr/>
      <w:spacing w:after="0"/>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a76ce" w:themeColor="accent5" w:themeTint="90" w:sz="4" w:space="0"/>
          <w:right w:val="none" w:color="000000" w:sz="4"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4" w:space="0"/>
          <w:left w:val="single" w:color="da76ce" w:themeColor="accent5" w:themeTint="90" w:sz="4" w:space="0"/>
          <w:bottom w:val="none" w:color="000000" w:sz="4" w:space="0"/>
          <w:right w:val="none" w:color="000000" w:sz="4"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Grid Table 7 Colorful - Accent 6"/>
    <w:basedOn w:val="864"/>
    <w:uiPriority w:val="99"/>
    <w:pPr>
      <w:pBdr/>
      <w:spacing w:after="0"/>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94da7b" w:themeColor="accent6" w:themeTint="90" w:sz="4" w:space="0"/>
          <w:right w:val="none" w:color="000000" w:sz="4"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4" w:space="0"/>
          <w:left w:val="single" w:color="94da7b" w:themeColor="accent6" w:themeTint="90" w:sz="4" w:space="0"/>
          <w:bottom w:val="none" w:color="000000" w:sz="4" w:space="0"/>
          <w:right w:val="none" w:color="000000" w:sz="4"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List Table 1 Light"/>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List Table 1 Light - Accent 1"/>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List Table 1 Light - Accent 2"/>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List Table 1 Light - Accent 3"/>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List Table 1 Light - Accent 4"/>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List Table 1 Light - Accent 5"/>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List Table 1 Light - Accent 6"/>
    <w:basedOn w:val="864"/>
    <w:uiPriority w:val="99"/>
    <w:pPr>
      <w:pBdr/>
      <w:spacing w:after="0"/>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List Table 2"/>
    <w:basedOn w:val="864"/>
    <w:uiPriority w:val="99"/>
    <w:pPr>
      <w:pBdr/>
      <w:spacing w:after="0"/>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List Table 2 - Accent 1"/>
    <w:basedOn w:val="864"/>
    <w:uiPriority w:val="99"/>
    <w:pPr>
      <w:pBdr/>
      <w:spacing w:after="0"/>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List Table 2 - Accent 2"/>
    <w:basedOn w:val="864"/>
    <w:uiPriority w:val="99"/>
    <w:pPr>
      <w:pBdr/>
      <w:spacing w:after="0"/>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List Table 2 - Accent 3"/>
    <w:basedOn w:val="864"/>
    <w:uiPriority w:val="99"/>
    <w:pPr>
      <w:pBdr/>
      <w:spacing w:after="0"/>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customStyle="1">
    <w:name w:val="List Table 2 - Accent 4"/>
    <w:basedOn w:val="864"/>
    <w:uiPriority w:val="99"/>
    <w:pPr>
      <w:pBdr/>
      <w:spacing w:after="0"/>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customStyle="1">
    <w:name w:val="List Table 2 - Accent 5"/>
    <w:basedOn w:val="864"/>
    <w:uiPriority w:val="99"/>
    <w:pPr>
      <w:pBdr/>
      <w:spacing w:after="0"/>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customStyle="1">
    <w:name w:val="List Table 2 - Accent 6"/>
    <w:basedOn w:val="864"/>
    <w:uiPriority w:val="99"/>
    <w:pPr>
      <w:pBdr/>
      <w:spacing w:after="0"/>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4">
    <w:name w:val="List Table 3"/>
    <w:basedOn w:val="864"/>
    <w:uiPriority w:val="99"/>
    <w:pPr>
      <w:pBdr/>
      <w:spacing w:after="0"/>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customStyle="1">
    <w:name w:val="List Table 3 - Accent 1"/>
    <w:basedOn w:val="864"/>
    <w:uiPriority w:val="99"/>
    <w:pPr>
      <w:pBdr/>
      <w:spacing w:after="0"/>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customStyle="1">
    <w:name w:val="List Table 3 - Accent 2"/>
    <w:basedOn w:val="864"/>
    <w:uiPriority w:val="99"/>
    <w:pPr>
      <w:pBdr/>
      <w:spacing w:after="0"/>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customStyle="1">
    <w:name w:val="List Table 3 - Accent 3"/>
    <w:basedOn w:val="864"/>
    <w:uiPriority w:val="99"/>
    <w:pPr>
      <w:pBdr/>
      <w:spacing w:after="0"/>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customStyle="1">
    <w:name w:val="List Table 3 - Accent 4"/>
    <w:basedOn w:val="864"/>
    <w:uiPriority w:val="99"/>
    <w:pPr>
      <w:pBdr/>
      <w:spacing w:after="0"/>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customStyle="1">
    <w:name w:val="List Table 3 - Accent 5"/>
    <w:basedOn w:val="864"/>
    <w:uiPriority w:val="99"/>
    <w:pPr>
      <w:pBdr/>
      <w:spacing w:after="0"/>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customStyle="1">
    <w:name w:val="List Table 3 - Accent 6"/>
    <w:basedOn w:val="864"/>
    <w:uiPriority w:val="99"/>
    <w:pPr>
      <w:pBdr/>
      <w:spacing w:after="0"/>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st Table 4"/>
    <w:basedOn w:val="864"/>
    <w:uiPriority w:val="99"/>
    <w:pPr>
      <w:pBdr/>
      <w:spacing w:after="0"/>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customStyle="1">
    <w:name w:val="List Table 4 - Accent 1"/>
    <w:basedOn w:val="864"/>
    <w:uiPriority w:val="99"/>
    <w:pPr>
      <w:pBdr/>
      <w:spacing w:after="0"/>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customStyle="1">
    <w:name w:val="List Table 4 - Accent 2"/>
    <w:basedOn w:val="864"/>
    <w:uiPriority w:val="99"/>
    <w:pPr>
      <w:pBdr/>
      <w:spacing w:after="0"/>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customStyle="1">
    <w:name w:val="List Table 4 - Accent 3"/>
    <w:basedOn w:val="864"/>
    <w:uiPriority w:val="99"/>
    <w:pPr>
      <w:pBdr/>
      <w:spacing w:after="0"/>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customStyle="1">
    <w:name w:val="List Table 4 - Accent 4"/>
    <w:basedOn w:val="864"/>
    <w:uiPriority w:val="99"/>
    <w:pPr>
      <w:pBdr/>
      <w:spacing w:after="0"/>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customStyle="1">
    <w:name w:val="List Table 4 - Accent 5"/>
    <w:basedOn w:val="864"/>
    <w:uiPriority w:val="99"/>
    <w:pPr>
      <w:pBdr/>
      <w:spacing w:after="0"/>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customStyle="1">
    <w:name w:val="List Table 4 - Accent 6"/>
    <w:basedOn w:val="864"/>
    <w:uiPriority w:val="99"/>
    <w:pPr>
      <w:pBdr/>
      <w:spacing w:after="0"/>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st Table 5 Dark"/>
    <w:basedOn w:val="864"/>
    <w:uiPriority w:val="99"/>
    <w:pPr>
      <w:pBdr/>
      <w:spacing w:after="0"/>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customStyle="1">
    <w:name w:val="List Table 5 Dark - Accent 1"/>
    <w:basedOn w:val="864"/>
    <w:uiPriority w:val="99"/>
    <w:pPr>
      <w:pBdr/>
      <w:spacing w:after="0"/>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customStyle="1">
    <w:name w:val="List Table 5 Dark - Accent 2"/>
    <w:basedOn w:val="864"/>
    <w:uiPriority w:val="99"/>
    <w:pPr>
      <w:pBdr/>
      <w:spacing w:after="0"/>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customStyle="1">
    <w:name w:val="List Table 5 Dark - Accent 3"/>
    <w:basedOn w:val="864"/>
    <w:uiPriority w:val="99"/>
    <w:pPr>
      <w:pBdr/>
      <w:spacing w:after="0"/>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customStyle="1">
    <w:name w:val="List Table 5 Dark - Accent 4"/>
    <w:basedOn w:val="864"/>
    <w:uiPriority w:val="99"/>
    <w:pPr>
      <w:pBdr/>
      <w:spacing w:after="0"/>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customStyle="1">
    <w:name w:val="List Table 5 Dark - Accent 5"/>
    <w:basedOn w:val="864"/>
    <w:uiPriority w:val="99"/>
    <w:pPr>
      <w:pBdr/>
      <w:spacing w:after="0"/>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customStyle="1">
    <w:name w:val="List Table 5 Dark - Accent 6"/>
    <w:basedOn w:val="864"/>
    <w:uiPriority w:val="99"/>
    <w:pPr>
      <w:pBdr/>
      <w:spacing w:after="0"/>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st Table 6 Colorful"/>
    <w:basedOn w:val="864"/>
    <w:uiPriority w:val="99"/>
    <w:pPr>
      <w:pBdr/>
      <w:spacing w:after="0"/>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customStyle="1">
    <w:name w:val="List Table 6 Colorful - Accent 1"/>
    <w:basedOn w:val="864"/>
    <w:uiPriority w:val="99"/>
    <w:pPr>
      <w:pBdr/>
      <w:spacing w:after="0"/>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customStyle="1">
    <w:name w:val="List Table 6 Colorful - Accent 2"/>
    <w:basedOn w:val="864"/>
    <w:uiPriority w:val="99"/>
    <w:pPr>
      <w:pBdr/>
      <w:spacing w:after="0"/>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customStyle="1">
    <w:name w:val="List Table 6 Colorful - Accent 3"/>
    <w:basedOn w:val="864"/>
    <w:uiPriority w:val="99"/>
    <w:pPr>
      <w:pBdr/>
      <w:spacing w:after="0"/>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customStyle="1">
    <w:name w:val="List Table 6 Colorful - Accent 4"/>
    <w:basedOn w:val="864"/>
    <w:uiPriority w:val="99"/>
    <w:pPr>
      <w:pBdr/>
      <w:spacing w:after="0"/>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customStyle="1">
    <w:name w:val="List Table 6 Colorful - Accent 5"/>
    <w:basedOn w:val="864"/>
    <w:uiPriority w:val="99"/>
    <w:pPr>
      <w:pBdr/>
      <w:spacing w:after="0"/>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customStyle="1">
    <w:name w:val="List Table 6 Colorful - Accent 6"/>
    <w:basedOn w:val="864"/>
    <w:uiPriority w:val="99"/>
    <w:pPr>
      <w:pBdr/>
      <w:spacing w:after="0"/>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st Table 7 Colorful"/>
    <w:basedOn w:val="864"/>
    <w:uiPriority w:val="99"/>
    <w:pPr>
      <w:pBdr/>
      <w:spacing w:after="0"/>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7f7f7f" w:themeColor="text1" w:themeTint="80" w:sz="4" w:space="0"/>
          <w:right w:val="none" w:color="000000" w:sz="4"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4" w:space="0"/>
          <w:left w:val="single" w:color="7f7f7f" w:themeColor="text1" w:themeTint="80" w:sz="4" w:space="0"/>
          <w:bottom w:val="none" w:color="000000" w:sz="4" w:space="0"/>
          <w:right w:val="none" w:color="000000" w:sz="4"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customStyle="1">
    <w:name w:val="List Table 7 Colorful - Accent 1"/>
    <w:basedOn w:val="864"/>
    <w:uiPriority w:val="99"/>
    <w:pPr>
      <w:pBdr/>
      <w:spacing w:after="0"/>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156082" w:themeColor="accent1" w:sz="4" w:space="0"/>
          <w:right w:val="none" w:color="000000" w:sz="4"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4" w:space="0"/>
          <w:left w:val="single" w:color="156082" w:themeColor="accent1" w:sz="4" w:space="0"/>
          <w:bottom w:val="none" w:color="000000" w:sz="4" w:space="0"/>
          <w:right w:val="none" w:color="000000" w:sz="4"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customStyle="1">
    <w:name w:val="List Table 7 Colorful - Accent 2"/>
    <w:basedOn w:val="864"/>
    <w:uiPriority w:val="99"/>
    <w:pPr>
      <w:pBdr/>
      <w:spacing w:after="0"/>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f2aa85" w:themeColor="accent2" w:themeTint="97" w:sz="4" w:space="0"/>
          <w:right w:val="none" w:color="000000" w:sz="4"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4" w:space="0"/>
          <w:left w:val="single" w:color="f2aa85" w:themeColor="accent2" w:themeTint="97" w:sz="4" w:space="0"/>
          <w:bottom w:val="none" w:color="000000" w:sz="4" w:space="0"/>
          <w:right w:val="none" w:color="000000" w:sz="4"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customStyle="1">
    <w:name w:val="List Table 7 Colorful - Accent 3"/>
    <w:basedOn w:val="864"/>
    <w:uiPriority w:val="99"/>
    <w:pPr>
      <w:pBdr/>
      <w:spacing w:after="0"/>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48d45b" w:themeColor="accent3" w:themeTint="98" w:sz="4" w:space="0"/>
          <w:right w:val="none" w:color="000000" w:sz="4"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4" w:space="0"/>
          <w:left w:val="single" w:color="48d45b" w:themeColor="accent3" w:themeTint="98" w:sz="4" w:space="0"/>
          <w:bottom w:val="none" w:color="000000" w:sz="4" w:space="0"/>
          <w:right w:val="none" w:color="000000" w:sz="4"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customStyle="1">
    <w:name w:val="List Table 7 Colorful - Accent 4"/>
    <w:basedOn w:val="864"/>
    <w:uiPriority w:val="99"/>
    <w:pPr>
      <w:pBdr/>
      <w:spacing w:after="0"/>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5fcaf3" w:themeColor="accent4" w:themeTint="9A" w:sz="4" w:space="0"/>
          <w:right w:val="none" w:color="000000" w:sz="4"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4" w:space="0"/>
          <w:left w:val="single" w:color="5fcaf3" w:themeColor="accent4" w:themeTint="9A" w:sz="4" w:space="0"/>
          <w:bottom w:val="none" w:color="000000" w:sz="4" w:space="0"/>
          <w:right w:val="none" w:color="000000" w:sz="4"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customStyle="1">
    <w:name w:val="List Table 7 Colorful - Accent 5"/>
    <w:basedOn w:val="864"/>
    <w:uiPriority w:val="99"/>
    <w:pPr>
      <w:pBdr/>
      <w:spacing w:after="0"/>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d76ccb" w:themeColor="accent5" w:themeTint="9A" w:sz="4" w:space="0"/>
          <w:right w:val="none" w:color="000000" w:sz="4"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4" w:space="0"/>
          <w:left w:val="single" w:color="d76ccb" w:themeColor="accent5" w:themeTint="9A" w:sz="4" w:space="0"/>
          <w:bottom w:val="none" w:color="000000" w:sz="4" w:space="0"/>
          <w:right w:val="none" w:color="000000" w:sz="4"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customStyle="1">
    <w:name w:val="List Table 7 Colorful - Accent 6"/>
    <w:basedOn w:val="864"/>
    <w:uiPriority w:val="99"/>
    <w:pPr>
      <w:pBdr/>
      <w:spacing w:after="0"/>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4" w:space="0"/>
          <w:left w:val="none" w:color="000000" w:sz="4" w:space="0"/>
          <w:bottom w:val="none" w:color="000000" w:sz="4"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8ed873" w:themeColor="accent6" w:themeTint="98" w:sz="4" w:space="0"/>
          <w:right w:val="none" w:color="000000" w:sz="4"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4" w:space="0"/>
          <w:left w:val="single" w:color="8ed873" w:themeColor="accent6" w:themeTint="98" w:sz="4" w:space="0"/>
          <w:bottom w:val="none" w:color="000000" w:sz="4" w:space="0"/>
          <w:right w:val="none" w:color="000000" w:sz="4"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customStyle="1">
    <w:name w:val="Lined - Accent"/>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customStyle="1">
    <w:name w:val="Lined - Accent 1"/>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customStyle="1">
    <w:name w:val="Lined - Accent 2"/>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customStyle="1">
    <w:name w:val="Lined - Accent 3"/>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customStyle="1">
    <w:name w:val="Lined - Accent 4"/>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customStyle="1">
    <w:name w:val="Lined - Accent 5"/>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customStyle="1">
    <w:name w:val="Lined - Accent 6"/>
    <w:basedOn w:val="864"/>
    <w:uiPriority w:val="99"/>
    <w:pPr>
      <w:pBdr/>
      <w:spacing w:after="0"/>
      <w:ind/>
    </w:pPr>
    <w:rPr>
      <w:color w:val="404040"/>
      <w:sz w:val="20"/>
      <w:szCs w:val="20"/>
      <w:lang w:val="it-IT" w:eastAsia="it-IT"/>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customStyle="1">
    <w:name w:val="Bordered &amp; Lined - Accent"/>
    <w:basedOn w:val="864"/>
    <w:uiPriority w:val="99"/>
    <w:pPr>
      <w:pBdr/>
      <w:spacing w:after="0"/>
      <w:ind/>
    </w:pPr>
    <w:rPr>
      <w:color w:val="404040"/>
      <w:sz w:val="20"/>
      <w:szCs w:val="20"/>
      <w:lang w:val="it-IT" w:eastAsia="it-IT"/>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customStyle="1">
    <w:name w:val="Bordered &amp; Lined - Accent 1"/>
    <w:basedOn w:val="864"/>
    <w:uiPriority w:val="99"/>
    <w:pPr>
      <w:pBdr/>
      <w:spacing w:after="0"/>
      <w:ind/>
    </w:pPr>
    <w:rPr>
      <w:color w:val="404040"/>
      <w:sz w:val="20"/>
      <w:szCs w:val="20"/>
      <w:lang w:val="it-IT" w:eastAsia="it-IT"/>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customStyle="1">
    <w:name w:val="Bordered &amp; Lined - Accent 2"/>
    <w:basedOn w:val="864"/>
    <w:uiPriority w:val="99"/>
    <w:pPr>
      <w:pBdr/>
      <w:spacing w:after="0"/>
      <w:ind/>
    </w:pPr>
    <w:rPr>
      <w:color w:val="404040"/>
      <w:sz w:val="20"/>
      <w:szCs w:val="20"/>
      <w:lang w:val="it-IT" w:eastAsia="it-IT"/>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customStyle="1">
    <w:name w:val="Bordered &amp; Lined - Accent 3"/>
    <w:basedOn w:val="864"/>
    <w:uiPriority w:val="99"/>
    <w:pPr>
      <w:pBdr/>
      <w:spacing w:after="0"/>
      <w:ind/>
    </w:pPr>
    <w:rPr>
      <w:color w:val="404040"/>
      <w:sz w:val="20"/>
      <w:szCs w:val="20"/>
      <w:lang w:val="it-IT" w:eastAsia="it-IT"/>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customStyle="1">
    <w:name w:val="Bordered &amp; Lined - Accent 4"/>
    <w:basedOn w:val="864"/>
    <w:uiPriority w:val="99"/>
    <w:pPr>
      <w:pBdr/>
      <w:spacing w:after="0"/>
      <w:ind/>
    </w:pPr>
    <w:rPr>
      <w:color w:val="404040"/>
      <w:sz w:val="20"/>
      <w:szCs w:val="20"/>
      <w:lang w:val="it-IT" w:eastAsia="it-IT"/>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customStyle="1">
    <w:name w:val="Bordered &amp; Lined - Accent 5"/>
    <w:basedOn w:val="864"/>
    <w:uiPriority w:val="99"/>
    <w:pPr>
      <w:pBdr/>
      <w:spacing w:after="0"/>
      <w:ind/>
    </w:pPr>
    <w:rPr>
      <w:color w:val="404040"/>
      <w:sz w:val="20"/>
      <w:szCs w:val="20"/>
      <w:lang w:val="it-IT" w:eastAsia="it-IT"/>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customStyle="1">
    <w:name w:val="Bordered &amp; Lined - Accent 6"/>
    <w:basedOn w:val="864"/>
    <w:uiPriority w:val="99"/>
    <w:pPr>
      <w:pBdr/>
      <w:spacing w:after="0"/>
      <w:ind/>
    </w:pPr>
    <w:rPr>
      <w:color w:val="404040"/>
      <w:sz w:val="20"/>
      <w:szCs w:val="20"/>
      <w:lang w:val="it-IT" w:eastAsia="it-IT"/>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customStyle="1">
    <w:name w:val="Bordered"/>
    <w:basedOn w:val="864"/>
    <w:uiPriority w:val="99"/>
    <w:pPr>
      <w:pBdr/>
      <w:spacing w:after="0"/>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customStyle="1">
    <w:name w:val="Bordered - Accent 1"/>
    <w:basedOn w:val="864"/>
    <w:uiPriority w:val="99"/>
    <w:pPr>
      <w:pBdr/>
      <w:spacing w:after="0"/>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customStyle="1">
    <w:name w:val="Bordered - Accent 2"/>
    <w:basedOn w:val="864"/>
    <w:uiPriority w:val="99"/>
    <w:pPr>
      <w:pBdr/>
      <w:spacing w:after="0"/>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customStyle="1">
    <w:name w:val="Bordered - Accent 3"/>
    <w:basedOn w:val="864"/>
    <w:uiPriority w:val="99"/>
    <w:pPr>
      <w:pBdr/>
      <w:spacing w:after="0"/>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customStyle="1">
    <w:name w:val="Bordered - Accent 4"/>
    <w:basedOn w:val="864"/>
    <w:uiPriority w:val="99"/>
    <w:pPr>
      <w:pBdr/>
      <w:spacing w:after="0"/>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customStyle="1">
    <w:name w:val="Bordered - Accent 5"/>
    <w:basedOn w:val="864"/>
    <w:uiPriority w:val="99"/>
    <w:pPr>
      <w:pBdr/>
      <w:spacing w:after="0"/>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customStyle="1">
    <w:name w:val="Bordered - Accent 6"/>
    <w:basedOn w:val="864"/>
    <w:uiPriority w:val="99"/>
    <w:pPr>
      <w:pBdr/>
      <w:spacing w:after="0"/>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90" w:customStyle="1">
    <w:name w:val="Heading 1 Char"/>
    <w:basedOn w:val="863"/>
    <w:uiPriority w:val="9"/>
    <w:pPr>
      <w:pBdr/>
      <w:spacing/>
      <w:ind/>
    </w:pPr>
    <w:rPr>
      <w:rFonts w:ascii="Arial" w:hAnsi="Arial" w:eastAsia="Arial" w:cs="Arial"/>
      <w:color w:val="0f4761" w:themeColor="accent1" w:themeShade="BF"/>
      <w:sz w:val="40"/>
      <w:szCs w:val="40"/>
    </w:rPr>
  </w:style>
  <w:style w:type="character" w:styleId="991" w:customStyle="1">
    <w:name w:val="Heading 2 Char"/>
    <w:basedOn w:val="863"/>
    <w:uiPriority w:val="9"/>
    <w:pPr>
      <w:pBdr/>
      <w:spacing/>
      <w:ind/>
    </w:pPr>
    <w:rPr>
      <w:rFonts w:ascii="Arial" w:hAnsi="Arial" w:eastAsia="Arial" w:cs="Arial"/>
      <w:color w:val="0f4761" w:themeColor="accent1" w:themeShade="BF"/>
      <w:sz w:val="32"/>
      <w:szCs w:val="32"/>
    </w:rPr>
  </w:style>
  <w:style w:type="character" w:styleId="992" w:customStyle="1">
    <w:name w:val="Heading 3 Char"/>
    <w:basedOn w:val="863"/>
    <w:uiPriority w:val="9"/>
    <w:pPr>
      <w:pBdr/>
      <w:spacing/>
      <w:ind/>
    </w:pPr>
    <w:rPr>
      <w:rFonts w:ascii="Arial" w:hAnsi="Arial" w:eastAsia="Arial" w:cs="Arial"/>
      <w:color w:val="0f4761" w:themeColor="accent1" w:themeShade="BF"/>
      <w:sz w:val="28"/>
      <w:szCs w:val="28"/>
    </w:rPr>
  </w:style>
  <w:style w:type="character" w:styleId="993" w:customStyle="1">
    <w:name w:val="Heading 4 Char"/>
    <w:basedOn w:val="863"/>
    <w:uiPriority w:val="9"/>
    <w:pPr>
      <w:pBdr/>
      <w:spacing/>
      <w:ind/>
    </w:pPr>
    <w:rPr>
      <w:rFonts w:ascii="Arial" w:hAnsi="Arial" w:eastAsia="Arial" w:cs="Arial"/>
      <w:i/>
      <w:iCs/>
      <w:color w:val="0f4761" w:themeColor="accent1" w:themeShade="BF"/>
    </w:rPr>
  </w:style>
  <w:style w:type="character" w:styleId="994" w:customStyle="1">
    <w:name w:val="Heading 5 Char"/>
    <w:basedOn w:val="863"/>
    <w:uiPriority w:val="9"/>
    <w:pPr>
      <w:pBdr/>
      <w:spacing/>
      <w:ind/>
    </w:pPr>
    <w:rPr>
      <w:rFonts w:ascii="Arial" w:hAnsi="Arial" w:eastAsia="Arial" w:cs="Arial"/>
      <w:color w:val="0f4761" w:themeColor="accent1" w:themeShade="BF"/>
    </w:rPr>
  </w:style>
  <w:style w:type="character" w:styleId="995" w:customStyle="1">
    <w:name w:val="Heading 6 Char"/>
    <w:basedOn w:val="863"/>
    <w:uiPriority w:val="9"/>
    <w:pPr>
      <w:pBdr/>
      <w:spacing/>
      <w:ind/>
    </w:pPr>
    <w:rPr>
      <w:rFonts w:ascii="Arial" w:hAnsi="Arial" w:eastAsia="Arial" w:cs="Arial"/>
      <w:i/>
      <w:iCs/>
      <w:color w:val="595959" w:themeColor="text1" w:themeTint="A6"/>
    </w:rPr>
  </w:style>
  <w:style w:type="character" w:styleId="996" w:customStyle="1">
    <w:name w:val="Heading 7 Char"/>
    <w:basedOn w:val="863"/>
    <w:uiPriority w:val="9"/>
    <w:pPr>
      <w:pBdr/>
      <w:spacing/>
      <w:ind/>
    </w:pPr>
    <w:rPr>
      <w:rFonts w:ascii="Arial" w:hAnsi="Arial" w:eastAsia="Arial" w:cs="Arial"/>
      <w:color w:val="595959" w:themeColor="text1" w:themeTint="A6"/>
    </w:rPr>
  </w:style>
  <w:style w:type="character" w:styleId="997" w:customStyle="1">
    <w:name w:val="Heading 8 Char"/>
    <w:basedOn w:val="863"/>
    <w:uiPriority w:val="9"/>
    <w:pPr>
      <w:pBdr/>
      <w:spacing/>
      <w:ind/>
    </w:pPr>
    <w:rPr>
      <w:rFonts w:ascii="Arial" w:hAnsi="Arial" w:eastAsia="Arial" w:cs="Arial"/>
      <w:i/>
      <w:iCs/>
      <w:color w:val="272727" w:themeColor="text1" w:themeTint="D8"/>
    </w:rPr>
  </w:style>
  <w:style w:type="character" w:styleId="998" w:customStyle="1">
    <w:name w:val="Heading 9 Char"/>
    <w:basedOn w:val="863"/>
    <w:uiPriority w:val="9"/>
    <w:pPr>
      <w:pBdr/>
      <w:spacing/>
      <w:ind/>
    </w:pPr>
    <w:rPr>
      <w:rFonts w:ascii="Arial" w:hAnsi="Arial" w:eastAsia="Arial" w:cs="Arial"/>
      <w:i/>
      <w:iCs/>
      <w:color w:val="272727" w:themeColor="text1" w:themeTint="D8"/>
    </w:rPr>
  </w:style>
  <w:style w:type="character" w:styleId="999" w:customStyle="1">
    <w:name w:val="Title Char"/>
    <w:basedOn w:val="863"/>
    <w:uiPriority w:val="10"/>
    <w:pPr>
      <w:pBdr/>
      <w:spacing/>
      <w:ind/>
    </w:pPr>
    <w:rPr>
      <w:rFonts w:ascii="Arial" w:hAnsi="Arial" w:eastAsia="Arial" w:cs="Arial"/>
      <w:spacing w:val="-10"/>
      <w:sz w:val="56"/>
      <w:szCs w:val="56"/>
    </w:rPr>
  </w:style>
  <w:style w:type="character" w:styleId="1000" w:customStyle="1">
    <w:name w:val="Subtitle Char"/>
    <w:basedOn w:val="863"/>
    <w:uiPriority w:val="11"/>
    <w:pPr>
      <w:pBdr/>
      <w:spacing/>
      <w:ind/>
    </w:pPr>
    <w:rPr>
      <w:color w:val="595959" w:themeColor="text1" w:themeTint="A6"/>
      <w:spacing w:val="15"/>
      <w:sz w:val="28"/>
      <w:szCs w:val="28"/>
    </w:rPr>
  </w:style>
  <w:style w:type="paragraph" w:styleId="1001">
    <w:name w:val="Quote"/>
    <w:basedOn w:val="853"/>
    <w:next w:val="853"/>
    <w:link w:val="1002"/>
    <w:uiPriority w:val="29"/>
    <w:qFormat/>
    <w:pPr>
      <w:pBdr/>
      <w:spacing w:before="160"/>
      <w:ind/>
      <w:jc w:val="center"/>
    </w:pPr>
    <w:rPr>
      <w:i/>
      <w:iCs/>
      <w:color w:val="404040" w:themeColor="text1" w:themeTint="BF"/>
    </w:rPr>
  </w:style>
  <w:style w:type="character" w:styleId="1002" w:customStyle="1">
    <w:name w:val="Citazione Carattere"/>
    <w:basedOn w:val="863"/>
    <w:link w:val="1001"/>
    <w:uiPriority w:val="29"/>
    <w:pPr>
      <w:pBdr/>
      <w:spacing/>
      <w:ind/>
    </w:pPr>
    <w:rPr>
      <w:i/>
      <w:iCs/>
      <w:color w:val="404040" w:themeColor="text1" w:themeTint="BF"/>
    </w:rPr>
  </w:style>
  <w:style w:type="character" w:styleId="1003">
    <w:name w:val="Intense Emphasis"/>
    <w:basedOn w:val="863"/>
    <w:uiPriority w:val="21"/>
    <w:qFormat/>
    <w:pPr>
      <w:pBdr/>
      <w:spacing/>
      <w:ind/>
    </w:pPr>
    <w:rPr>
      <w:i/>
      <w:iCs/>
      <w:color w:val="0f4761" w:themeColor="accent1" w:themeShade="BF"/>
    </w:rPr>
  </w:style>
  <w:style w:type="paragraph" w:styleId="1004">
    <w:name w:val="Intense Quote"/>
    <w:basedOn w:val="853"/>
    <w:next w:val="853"/>
    <w:link w:val="100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005" w:customStyle="1">
    <w:name w:val="Citazione intensa Carattere"/>
    <w:basedOn w:val="863"/>
    <w:link w:val="1004"/>
    <w:uiPriority w:val="30"/>
    <w:pPr>
      <w:pBdr/>
      <w:spacing/>
      <w:ind/>
    </w:pPr>
    <w:rPr>
      <w:i/>
      <w:iCs/>
      <w:color w:val="0f4761" w:themeColor="accent1" w:themeShade="BF"/>
    </w:rPr>
  </w:style>
  <w:style w:type="character" w:styleId="1006">
    <w:name w:val="Intense Reference"/>
    <w:basedOn w:val="863"/>
    <w:uiPriority w:val="32"/>
    <w:qFormat/>
    <w:pPr>
      <w:pBdr/>
      <w:spacing/>
      <w:ind/>
    </w:pPr>
    <w:rPr>
      <w:b/>
      <w:bCs/>
      <w:smallCaps/>
      <w:color w:val="0f4761" w:themeColor="accent1" w:themeShade="BF"/>
      <w:spacing w:val="5"/>
    </w:rPr>
  </w:style>
  <w:style w:type="paragraph" w:styleId="1007">
    <w:name w:val="No Spacing"/>
    <w:basedOn w:val="853"/>
    <w:uiPriority w:val="1"/>
    <w:qFormat/>
    <w:pPr>
      <w:pBdr/>
      <w:spacing w:after="0"/>
      <w:ind/>
    </w:pPr>
  </w:style>
  <w:style w:type="character" w:styleId="1008">
    <w:name w:val="Subtle Emphasis"/>
    <w:basedOn w:val="863"/>
    <w:uiPriority w:val="19"/>
    <w:qFormat/>
    <w:pPr>
      <w:pBdr/>
      <w:spacing/>
      <w:ind/>
    </w:pPr>
    <w:rPr>
      <w:i/>
      <w:iCs/>
      <w:color w:val="404040" w:themeColor="text1" w:themeTint="BF"/>
    </w:rPr>
  </w:style>
  <w:style w:type="character" w:styleId="1009">
    <w:name w:val="Emphasis"/>
    <w:basedOn w:val="863"/>
    <w:uiPriority w:val="20"/>
    <w:qFormat/>
    <w:pPr>
      <w:pBdr/>
      <w:spacing/>
      <w:ind/>
    </w:pPr>
    <w:rPr>
      <w:i/>
      <w:iCs/>
    </w:rPr>
  </w:style>
  <w:style w:type="character" w:styleId="1010">
    <w:name w:val="Strong"/>
    <w:basedOn w:val="863"/>
    <w:uiPriority w:val="22"/>
    <w:qFormat/>
    <w:pPr>
      <w:pBdr/>
      <w:spacing/>
      <w:ind/>
    </w:pPr>
    <w:rPr>
      <w:b/>
      <w:bCs/>
    </w:rPr>
  </w:style>
  <w:style w:type="character" w:styleId="1011">
    <w:name w:val="Subtle Reference"/>
    <w:basedOn w:val="863"/>
    <w:uiPriority w:val="31"/>
    <w:qFormat/>
    <w:pPr>
      <w:pBdr/>
      <w:spacing/>
      <w:ind/>
    </w:pPr>
    <w:rPr>
      <w:smallCaps/>
      <w:color w:val="5a5a5a" w:themeColor="text1" w:themeTint="A5"/>
    </w:rPr>
  </w:style>
  <w:style w:type="character" w:styleId="1012">
    <w:name w:val="Book Title"/>
    <w:basedOn w:val="863"/>
    <w:uiPriority w:val="33"/>
    <w:qFormat/>
    <w:pPr>
      <w:pBdr/>
      <w:spacing/>
      <w:ind/>
    </w:pPr>
    <w:rPr>
      <w:b/>
      <w:bCs/>
      <w:i/>
      <w:iCs/>
      <w:spacing w:val="5"/>
    </w:rPr>
  </w:style>
  <w:style w:type="character" w:styleId="1013" w:customStyle="1">
    <w:name w:val="Header Char"/>
    <w:basedOn w:val="863"/>
    <w:uiPriority w:val="99"/>
    <w:pPr>
      <w:pBdr/>
      <w:spacing/>
      <w:ind/>
    </w:pPr>
  </w:style>
  <w:style w:type="character" w:styleId="1014" w:customStyle="1">
    <w:name w:val="Footer Char"/>
    <w:basedOn w:val="863"/>
    <w:uiPriority w:val="99"/>
    <w:pPr>
      <w:pBdr/>
      <w:spacing/>
      <w:ind/>
    </w:pPr>
  </w:style>
  <w:style w:type="character" w:styleId="1015" w:customStyle="1">
    <w:name w:val="Testo nota a piè di pagina Carattere"/>
    <w:basedOn w:val="863"/>
    <w:link w:val="1050"/>
    <w:uiPriority w:val="99"/>
    <w:semiHidden/>
    <w:pPr>
      <w:pBdr/>
      <w:spacing/>
      <w:ind/>
    </w:pPr>
    <w:rPr>
      <w:sz w:val="20"/>
      <w:szCs w:val="20"/>
    </w:rPr>
  </w:style>
  <w:style w:type="paragraph" w:styleId="1016">
    <w:name w:val="endnote text"/>
    <w:basedOn w:val="853"/>
    <w:link w:val="1017"/>
    <w:uiPriority w:val="99"/>
    <w:semiHidden/>
    <w:unhideWhenUsed/>
    <w:pPr>
      <w:pBdr/>
      <w:spacing w:after="0"/>
      <w:ind/>
    </w:pPr>
    <w:rPr>
      <w:sz w:val="20"/>
      <w:szCs w:val="20"/>
    </w:rPr>
  </w:style>
  <w:style w:type="character" w:styleId="1017" w:customStyle="1">
    <w:name w:val="Testo nota di chiusura Carattere"/>
    <w:basedOn w:val="863"/>
    <w:link w:val="1016"/>
    <w:uiPriority w:val="99"/>
    <w:semiHidden/>
    <w:pPr>
      <w:pBdr/>
      <w:spacing/>
      <w:ind/>
    </w:pPr>
    <w:rPr>
      <w:sz w:val="20"/>
      <w:szCs w:val="20"/>
    </w:rPr>
  </w:style>
  <w:style w:type="character" w:styleId="1018">
    <w:name w:val="endnote reference"/>
    <w:basedOn w:val="863"/>
    <w:uiPriority w:val="99"/>
    <w:semiHidden/>
    <w:unhideWhenUsed/>
    <w:pPr>
      <w:pBdr/>
      <w:spacing/>
      <w:ind/>
    </w:pPr>
    <w:rPr>
      <w:vertAlign w:val="superscript"/>
    </w:rPr>
  </w:style>
  <w:style w:type="character" w:styleId="1019">
    <w:name w:val="FollowedHyperlink"/>
    <w:basedOn w:val="863"/>
    <w:uiPriority w:val="99"/>
    <w:semiHidden/>
    <w:unhideWhenUsed/>
    <w:pPr>
      <w:pBdr/>
      <w:spacing/>
      <w:ind/>
    </w:pPr>
    <w:rPr>
      <w:color w:val="96607d" w:themeColor="followedHyperlink"/>
      <w:u w:val="single"/>
    </w:rPr>
  </w:style>
  <w:style w:type="paragraph" w:styleId="1020">
    <w:name w:val="toc 4"/>
    <w:basedOn w:val="853"/>
    <w:next w:val="853"/>
    <w:uiPriority w:val="39"/>
    <w:unhideWhenUsed/>
    <w:pPr>
      <w:pBdr/>
      <w:spacing w:after="100"/>
      <w:ind w:left="660"/>
    </w:pPr>
  </w:style>
  <w:style w:type="paragraph" w:styleId="1021">
    <w:name w:val="toc 5"/>
    <w:basedOn w:val="853"/>
    <w:next w:val="853"/>
    <w:uiPriority w:val="39"/>
    <w:unhideWhenUsed/>
    <w:pPr>
      <w:pBdr/>
      <w:spacing w:after="100"/>
      <w:ind w:left="880"/>
    </w:pPr>
  </w:style>
  <w:style w:type="paragraph" w:styleId="1022">
    <w:name w:val="toc 6"/>
    <w:basedOn w:val="853"/>
    <w:next w:val="853"/>
    <w:uiPriority w:val="39"/>
    <w:unhideWhenUsed/>
    <w:pPr>
      <w:pBdr/>
      <w:spacing w:after="100"/>
      <w:ind w:left="1100"/>
    </w:pPr>
  </w:style>
  <w:style w:type="paragraph" w:styleId="1023">
    <w:name w:val="toc 7"/>
    <w:basedOn w:val="853"/>
    <w:next w:val="853"/>
    <w:uiPriority w:val="39"/>
    <w:unhideWhenUsed/>
    <w:pPr>
      <w:pBdr/>
      <w:spacing w:after="100"/>
      <w:ind w:left="1320"/>
    </w:pPr>
  </w:style>
  <w:style w:type="paragraph" w:styleId="1024">
    <w:name w:val="toc 8"/>
    <w:basedOn w:val="853"/>
    <w:next w:val="853"/>
    <w:uiPriority w:val="39"/>
    <w:unhideWhenUsed/>
    <w:pPr>
      <w:pBdr/>
      <w:spacing w:after="100"/>
      <w:ind w:left="1540"/>
    </w:pPr>
  </w:style>
  <w:style w:type="paragraph" w:styleId="1025">
    <w:name w:val="toc 9"/>
    <w:basedOn w:val="853"/>
    <w:next w:val="853"/>
    <w:uiPriority w:val="39"/>
    <w:unhideWhenUsed/>
    <w:pPr>
      <w:pBdr/>
      <w:spacing w:after="100"/>
      <w:ind w:left="1760"/>
    </w:pPr>
  </w:style>
  <w:style w:type="character" w:styleId="1026">
    <w:name w:val="Placeholder Text"/>
    <w:basedOn w:val="863"/>
    <w:uiPriority w:val="99"/>
    <w:semiHidden/>
    <w:pPr>
      <w:pBdr/>
      <w:spacing/>
      <w:ind/>
    </w:pPr>
    <w:rPr>
      <w:color w:val="666666"/>
    </w:rPr>
  </w:style>
  <w:style w:type="paragraph" w:styleId="1027">
    <w:name w:val="table of figures"/>
    <w:basedOn w:val="853"/>
    <w:next w:val="853"/>
    <w:uiPriority w:val="99"/>
    <w:unhideWhenUsed/>
    <w:pPr>
      <w:pBdr/>
      <w:spacing w:after="0"/>
      <w:ind/>
    </w:pPr>
  </w:style>
  <w:style w:type="paragraph" w:styleId="1028">
    <w:name w:val="Body Text"/>
    <w:basedOn w:val="853"/>
    <w:qFormat/>
    <w:pPr>
      <w:pBdr/>
      <w:spacing w:after="180" w:before="180"/>
      <w:ind/>
    </w:pPr>
  </w:style>
  <w:style w:type="paragraph" w:styleId="1029" w:customStyle="1">
    <w:name w:val="First Paragraph"/>
    <w:basedOn w:val="1028"/>
    <w:next w:val="1028"/>
    <w:qFormat/>
    <w:pPr>
      <w:pBdr/>
      <w:spacing/>
      <w:ind/>
    </w:pPr>
  </w:style>
  <w:style w:type="paragraph" w:styleId="1030" w:customStyle="1">
    <w:name w:val="Compact"/>
    <w:basedOn w:val="1028"/>
    <w:qFormat/>
    <w:pPr>
      <w:pBdr/>
      <w:spacing w:after="36" w:before="36"/>
      <w:ind/>
    </w:pPr>
  </w:style>
  <w:style w:type="paragraph" w:styleId="1031">
    <w:name w:val="Title"/>
    <w:basedOn w:val="853"/>
    <w:next w:val="1028"/>
    <w:link w:val="1032"/>
    <w:uiPriority w:val="10"/>
    <w:qFormat/>
    <w:pPr>
      <w:pBdr/>
      <w:spacing w:after="80"/>
      <w:ind/>
      <w:contextualSpacing w:val="true"/>
      <w:jc w:val="center"/>
    </w:pPr>
    <w:rPr>
      <w:rFonts w:asciiTheme="majorHAnsi" w:hAnsiTheme="majorHAnsi" w:eastAsiaTheme="majorEastAsia" w:cstheme="majorBidi"/>
      <w:spacing w:val="-10"/>
      <w:sz w:val="56"/>
      <w:szCs w:val="56"/>
    </w:rPr>
  </w:style>
  <w:style w:type="character" w:styleId="1032" w:customStyle="1">
    <w:name w:val="Titolo Carattere"/>
    <w:basedOn w:val="863"/>
    <w:link w:val="1031"/>
    <w:uiPriority w:val="10"/>
    <w:pPr>
      <w:pBdr/>
      <w:spacing/>
      <w:ind/>
    </w:pPr>
    <w:rPr>
      <w:rFonts w:asciiTheme="majorHAnsi" w:hAnsiTheme="majorHAnsi" w:eastAsiaTheme="majorEastAsia" w:cstheme="majorBidi"/>
      <w:spacing w:val="-10"/>
      <w:sz w:val="56"/>
      <w:szCs w:val="56"/>
    </w:rPr>
  </w:style>
  <w:style w:type="paragraph" w:styleId="1033">
    <w:name w:val="Subtitle"/>
    <w:basedOn w:val="1031"/>
    <w:next w:val="1028"/>
    <w:link w:val="1034"/>
    <w:uiPriority w:val="11"/>
    <w:qFormat/>
    <w:pPr>
      <w:numPr>
        <w:ilvl w:val="1"/>
      </w:numPr>
      <w:pBdr/>
      <w:spacing/>
      <w:ind/>
    </w:pPr>
    <w:rPr>
      <w:spacing w:val="15"/>
      <w:sz w:val="28"/>
      <w:szCs w:val="28"/>
    </w:rPr>
  </w:style>
  <w:style w:type="character" w:styleId="1034" w:customStyle="1">
    <w:name w:val="Sottotitolo Carattere"/>
    <w:basedOn w:val="863"/>
    <w:link w:val="1033"/>
    <w:uiPriority w:val="11"/>
    <w:pPr>
      <w:pBdr/>
      <w:spacing/>
      <w:ind/>
    </w:pPr>
    <w:rPr>
      <w:rFonts w:eastAsiaTheme="majorEastAsia" w:cstheme="majorBidi"/>
      <w:color w:val="595959" w:themeColor="text1" w:themeTint="A6"/>
      <w:spacing w:val="15"/>
      <w:sz w:val="28"/>
      <w:szCs w:val="28"/>
    </w:rPr>
  </w:style>
  <w:style w:type="paragraph" w:styleId="1035" w:customStyle="1">
    <w:name w:val="Author"/>
    <w:next w:val="1028"/>
    <w:qFormat/>
    <w:pPr>
      <w:keepNext w:val="true"/>
      <w:keepLines w:val="true"/>
      <w:pBdr/>
      <w:spacing/>
      <w:ind/>
      <w:jc w:val="center"/>
    </w:pPr>
  </w:style>
  <w:style w:type="paragraph" w:styleId="1036">
    <w:name w:val="Date"/>
    <w:next w:val="1028"/>
    <w:qFormat/>
    <w:pPr>
      <w:keepNext w:val="true"/>
      <w:keepLines w:val="true"/>
      <w:pBdr/>
      <w:spacing/>
      <w:ind/>
      <w:jc w:val="center"/>
    </w:pPr>
  </w:style>
  <w:style w:type="paragraph" w:styleId="1037" w:customStyle="1">
    <w:name w:val="Abstract Title"/>
    <w:basedOn w:val="853"/>
    <w:next w:val="1038"/>
    <w:qFormat/>
    <w:pPr>
      <w:keepNext w:val="true"/>
      <w:keepLines w:val="true"/>
      <w:pBdr/>
      <w:spacing w:after="0" w:before="300"/>
      <w:ind/>
      <w:jc w:val="center"/>
    </w:pPr>
    <w:rPr>
      <w:b/>
      <w:sz w:val="20"/>
      <w:szCs w:val="20"/>
    </w:rPr>
  </w:style>
  <w:style w:type="paragraph" w:styleId="1038" w:customStyle="1">
    <w:name w:val="Abstract"/>
    <w:basedOn w:val="853"/>
    <w:next w:val="1028"/>
    <w:qFormat/>
    <w:pPr>
      <w:keepNext w:val="true"/>
      <w:keepLines w:val="true"/>
      <w:pBdr/>
      <w:spacing w:after="300" w:before="100"/>
      <w:ind/>
    </w:pPr>
    <w:rPr>
      <w:sz w:val="20"/>
      <w:szCs w:val="20"/>
    </w:rPr>
  </w:style>
  <w:style w:type="paragraph" w:styleId="1039">
    <w:name w:val="Bibliography"/>
    <w:basedOn w:val="853"/>
    <w:qFormat/>
    <w:pPr>
      <w:pBdr/>
      <w:spacing/>
      <w:ind/>
    </w:pPr>
  </w:style>
  <w:style w:type="character" w:styleId="1040" w:customStyle="1">
    <w:name w:val="Titolo 1 Carattere"/>
    <w:basedOn w:val="863"/>
    <w:link w:val="854"/>
    <w:uiPriority w:val="9"/>
    <w:pPr>
      <w:pBdr/>
      <w:spacing/>
      <w:ind/>
    </w:pPr>
    <w:rPr>
      <w:rFonts w:asciiTheme="majorHAnsi" w:hAnsiTheme="majorHAnsi" w:eastAsiaTheme="majorEastAsia" w:cstheme="majorBidi"/>
      <w:color w:val="0f4761" w:themeColor="accent1" w:themeShade="BF"/>
      <w:sz w:val="40"/>
      <w:szCs w:val="40"/>
    </w:rPr>
  </w:style>
  <w:style w:type="character" w:styleId="1041" w:customStyle="1">
    <w:name w:val="Titolo 2 Carattere"/>
    <w:basedOn w:val="863"/>
    <w:link w:val="855"/>
    <w:uiPriority w:val="9"/>
    <w:pPr>
      <w:pBdr/>
      <w:spacing/>
      <w:ind/>
    </w:pPr>
    <w:rPr>
      <w:rFonts w:asciiTheme="majorHAnsi" w:hAnsiTheme="majorHAnsi" w:eastAsiaTheme="majorEastAsia" w:cstheme="majorBidi"/>
      <w:color w:val="0f4761" w:themeColor="accent1" w:themeShade="BF"/>
      <w:sz w:val="32"/>
      <w:szCs w:val="32"/>
    </w:rPr>
  </w:style>
  <w:style w:type="character" w:styleId="1042" w:customStyle="1">
    <w:name w:val="Titolo 3 Carattere"/>
    <w:basedOn w:val="863"/>
    <w:link w:val="856"/>
    <w:uiPriority w:val="9"/>
    <w:pPr>
      <w:pBdr/>
      <w:spacing/>
      <w:ind/>
    </w:pPr>
    <w:rPr>
      <w:rFonts w:eastAsiaTheme="majorEastAsia" w:cstheme="majorBidi"/>
      <w:color w:val="0f4761" w:themeColor="accent1" w:themeShade="BF"/>
      <w:sz w:val="28"/>
      <w:szCs w:val="28"/>
    </w:rPr>
  </w:style>
  <w:style w:type="character" w:styleId="1043" w:customStyle="1">
    <w:name w:val="Titolo 4 Carattere"/>
    <w:basedOn w:val="863"/>
    <w:link w:val="857"/>
    <w:uiPriority w:val="9"/>
    <w:semiHidden/>
    <w:pPr>
      <w:pBdr/>
      <w:spacing/>
      <w:ind/>
    </w:pPr>
    <w:rPr>
      <w:rFonts w:eastAsiaTheme="majorEastAsia" w:cstheme="majorBidi"/>
      <w:i/>
      <w:iCs/>
      <w:color w:val="0f4761" w:themeColor="accent1" w:themeShade="BF"/>
    </w:rPr>
  </w:style>
  <w:style w:type="character" w:styleId="1044" w:customStyle="1">
    <w:name w:val="Titolo 5 Carattere"/>
    <w:basedOn w:val="863"/>
    <w:link w:val="858"/>
    <w:uiPriority w:val="9"/>
    <w:semiHidden/>
    <w:pPr>
      <w:pBdr/>
      <w:spacing/>
      <w:ind/>
    </w:pPr>
    <w:rPr>
      <w:rFonts w:eastAsiaTheme="majorEastAsia" w:cstheme="majorBidi"/>
      <w:color w:val="0f4761" w:themeColor="accent1" w:themeShade="BF"/>
    </w:rPr>
  </w:style>
  <w:style w:type="character" w:styleId="1045" w:customStyle="1">
    <w:name w:val="Titolo 6 Carattere"/>
    <w:basedOn w:val="863"/>
    <w:link w:val="859"/>
    <w:uiPriority w:val="9"/>
    <w:semiHidden/>
    <w:pPr>
      <w:pBdr/>
      <w:spacing/>
      <w:ind/>
    </w:pPr>
    <w:rPr>
      <w:rFonts w:eastAsiaTheme="majorEastAsia" w:cstheme="majorBidi"/>
      <w:i/>
      <w:iCs/>
      <w:color w:val="595959" w:themeColor="text1" w:themeTint="A6"/>
    </w:rPr>
  </w:style>
  <w:style w:type="character" w:styleId="1046" w:customStyle="1">
    <w:name w:val="Titolo 7 Carattere"/>
    <w:basedOn w:val="863"/>
    <w:link w:val="860"/>
    <w:uiPriority w:val="9"/>
    <w:semiHidden/>
    <w:pPr>
      <w:pBdr/>
      <w:spacing/>
      <w:ind/>
    </w:pPr>
    <w:rPr>
      <w:rFonts w:eastAsiaTheme="majorEastAsia" w:cstheme="majorBidi"/>
      <w:color w:val="595959" w:themeColor="text1" w:themeTint="A6"/>
    </w:rPr>
  </w:style>
  <w:style w:type="character" w:styleId="1047" w:customStyle="1">
    <w:name w:val="Titolo 8 Carattere"/>
    <w:basedOn w:val="863"/>
    <w:link w:val="861"/>
    <w:uiPriority w:val="9"/>
    <w:semiHidden/>
    <w:pPr>
      <w:pBdr/>
      <w:spacing/>
      <w:ind/>
    </w:pPr>
    <w:rPr>
      <w:rFonts w:eastAsiaTheme="majorEastAsia" w:cstheme="majorBidi"/>
      <w:i/>
      <w:iCs/>
      <w:color w:val="272727" w:themeColor="text1" w:themeTint="D8"/>
    </w:rPr>
  </w:style>
  <w:style w:type="character" w:styleId="1048" w:customStyle="1">
    <w:name w:val="Titolo 9 Carattere"/>
    <w:basedOn w:val="863"/>
    <w:link w:val="862"/>
    <w:uiPriority w:val="9"/>
    <w:semiHidden/>
    <w:pPr>
      <w:pBdr/>
      <w:spacing/>
      <w:ind/>
    </w:pPr>
    <w:rPr>
      <w:rFonts w:eastAsiaTheme="majorEastAsia" w:cstheme="majorBidi"/>
      <w:color w:val="272727" w:themeColor="text1" w:themeTint="D8"/>
    </w:rPr>
  </w:style>
  <w:style w:type="paragraph" w:styleId="1049">
    <w:name w:val="Block Text"/>
    <w:basedOn w:val="1028"/>
    <w:next w:val="1028"/>
    <w:uiPriority w:val="9"/>
    <w:unhideWhenUsed/>
    <w:qFormat/>
    <w:pPr>
      <w:pBdr/>
      <w:spacing w:after="100" w:before="100"/>
      <w:ind w:right="480" w:left="480"/>
    </w:pPr>
  </w:style>
  <w:style w:type="paragraph" w:styleId="1050">
    <w:name w:val="footnote text"/>
    <w:basedOn w:val="853"/>
    <w:link w:val="1015"/>
    <w:uiPriority w:val="9"/>
    <w:unhideWhenUsed/>
    <w:qFormat/>
    <w:pPr>
      <w:pBdr/>
      <w:spacing/>
      <w:ind/>
    </w:pPr>
  </w:style>
  <w:style w:type="paragraph" w:styleId="1051" w:customStyle="1">
    <w:name w:val="Footnote Block Text"/>
    <w:basedOn w:val="1050"/>
    <w:next w:val="1050"/>
    <w:uiPriority w:val="9"/>
    <w:unhideWhenUsed/>
    <w:qFormat/>
    <w:pPr>
      <w:pBdr/>
      <w:spacing w:after="100" w:before="100"/>
      <w:ind w:right="480" w:left="480"/>
    </w:pPr>
  </w:style>
  <w:style w:type="table" w:styleId="1052" w:customStyle="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rPr>
        <w:jc w:val="left"/>
      </w:trPr>
      <w:tcPr>
        <w:tcBorders>
          <w:bottom w:val="single" w:color="000000" w:sz="0"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053" w:customStyle="1">
    <w:name w:val="Definition Term"/>
    <w:basedOn w:val="853"/>
    <w:next w:val="1054"/>
    <w:pPr>
      <w:keepNext w:val="true"/>
      <w:keepLines w:val="true"/>
      <w:pBdr/>
      <w:spacing w:after="0"/>
      <w:ind/>
    </w:pPr>
    <w:rPr>
      <w:b/>
    </w:rPr>
  </w:style>
  <w:style w:type="paragraph" w:styleId="1054" w:customStyle="1">
    <w:name w:val="Definition"/>
    <w:basedOn w:val="853"/>
    <w:pPr>
      <w:pBdr/>
      <w:spacing/>
      <w:ind/>
    </w:pPr>
  </w:style>
  <w:style w:type="paragraph" w:styleId="1055">
    <w:name w:val="Caption"/>
    <w:basedOn w:val="853"/>
    <w:link w:val="1060"/>
    <w:pPr>
      <w:pBdr/>
      <w:spacing w:after="120"/>
      <w:ind/>
    </w:pPr>
    <w:rPr>
      <w:i/>
    </w:rPr>
  </w:style>
  <w:style w:type="paragraph" w:styleId="1056" w:customStyle="1">
    <w:name w:val="Table Caption"/>
    <w:basedOn w:val="1055"/>
    <w:pPr>
      <w:keepNext w:val="true"/>
      <w:pBdr/>
      <w:spacing/>
      <w:ind/>
    </w:pPr>
  </w:style>
  <w:style w:type="paragraph" w:styleId="1057" w:customStyle="1">
    <w:name w:val="Image Caption"/>
    <w:basedOn w:val="1055"/>
    <w:pPr>
      <w:pBdr/>
      <w:spacing/>
      <w:ind/>
    </w:pPr>
  </w:style>
  <w:style w:type="paragraph" w:styleId="1058" w:customStyle="1">
    <w:name w:val="Figure"/>
    <w:basedOn w:val="853"/>
    <w:pPr>
      <w:pBdr/>
      <w:spacing/>
      <w:ind/>
    </w:pPr>
  </w:style>
  <w:style w:type="paragraph" w:styleId="1059" w:customStyle="1">
    <w:name w:val="Captioned Figure"/>
    <w:basedOn w:val="1058"/>
    <w:pPr>
      <w:keepNext w:val="true"/>
      <w:pBdr/>
      <w:spacing/>
      <w:ind/>
    </w:pPr>
  </w:style>
  <w:style w:type="character" w:styleId="1060" w:customStyle="1">
    <w:name w:val="Didascalia Carattere"/>
    <w:basedOn w:val="863"/>
    <w:link w:val="1055"/>
    <w:pPr>
      <w:pBdr/>
      <w:spacing/>
      <w:ind/>
    </w:pPr>
  </w:style>
  <w:style w:type="character" w:styleId="1061" w:customStyle="1">
    <w:name w:val="Verbatim Char"/>
    <w:basedOn w:val="1060"/>
    <w:link w:val="1066"/>
    <w:pPr>
      <w:pBdr/>
      <w:spacing/>
      <w:ind/>
    </w:pPr>
    <w:rPr>
      <w:rFonts w:ascii="Consolas" w:hAnsi="Consolas"/>
      <w:sz w:val="22"/>
    </w:rPr>
  </w:style>
  <w:style w:type="character" w:styleId="1062" w:customStyle="1">
    <w:name w:val="Section Number"/>
    <w:basedOn w:val="1060"/>
    <w:pPr>
      <w:pBdr/>
      <w:spacing/>
      <w:ind/>
    </w:pPr>
  </w:style>
  <w:style w:type="character" w:styleId="1063">
    <w:name w:val="footnote reference"/>
    <w:basedOn w:val="1060"/>
    <w:pPr>
      <w:pBdr/>
      <w:spacing/>
      <w:ind/>
    </w:pPr>
    <w:rPr>
      <w:vertAlign w:val="superscript"/>
    </w:rPr>
  </w:style>
  <w:style w:type="character" w:styleId="1064">
    <w:name w:val="Hyperlink"/>
    <w:basedOn w:val="1060"/>
    <w:pPr>
      <w:pBdr/>
      <w:spacing/>
      <w:ind/>
    </w:pPr>
    <w:rPr>
      <w:color w:val="156082" w:themeColor="accent1"/>
    </w:rPr>
  </w:style>
  <w:style w:type="paragraph" w:styleId="1065">
    <w:name w:val="TOC Heading"/>
    <w:basedOn w:val="854"/>
    <w:next w:val="1028"/>
    <w:uiPriority w:val="39"/>
    <w:unhideWhenUsed/>
    <w:qFormat/>
    <w:pPr>
      <w:pBdr/>
      <w:spacing w:before="240" w:line="259" w:lineRule="auto"/>
      <w:ind/>
      <w:outlineLvl w:val="9"/>
    </w:pPr>
  </w:style>
  <w:style w:type="paragraph" w:styleId="1066" w:customStyle="1">
    <w:name w:val="Source Code"/>
    <w:basedOn w:val="853"/>
    <w:link w:val="1061"/>
    <w:pPr>
      <w:pBdr/>
      <w:spacing/>
      <w:ind/>
    </w:pPr>
  </w:style>
  <w:style w:type="character" w:styleId="1067" w:customStyle="1">
    <w:name w:val="KeywordTok"/>
    <w:basedOn w:val="1061"/>
    <w:pPr>
      <w:pBdr/>
      <w:spacing/>
      <w:ind/>
    </w:pPr>
    <w:rPr>
      <w:rFonts w:ascii="Consolas" w:hAnsi="Consolas"/>
      <w:b/>
      <w:color w:val="007020"/>
      <w:sz w:val="22"/>
    </w:rPr>
  </w:style>
  <w:style w:type="character" w:styleId="1068" w:customStyle="1">
    <w:name w:val="DataTypeTok"/>
    <w:basedOn w:val="1061"/>
    <w:pPr>
      <w:pBdr/>
      <w:spacing/>
      <w:ind/>
    </w:pPr>
    <w:rPr>
      <w:rFonts w:ascii="Consolas" w:hAnsi="Consolas"/>
      <w:color w:val="902000"/>
      <w:sz w:val="22"/>
    </w:rPr>
  </w:style>
  <w:style w:type="character" w:styleId="1069" w:customStyle="1">
    <w:name w:val="DecValTok"/>
    <w:basedOn w:val="1061"/>
    <w:pPr>
      <w:pBdr/>
      <w:spacing/>
      <w:ind/>
    </w:pPr>
    <w:rPr>
      <w:rFonts w:ascii="Consolas" w:hAnsi="Consolas"/>
      <w:color w:val="40a070"/>
      <w:sz w:val="22"/>
    </w:rPr>
  </w:style>
  <w:style w:type="character" w:styleId="1070" w:customStyle="1">
    <w:name w:val="BaseNTok"/>
    <w:basedOn w:val="1061"/>
    <w:pPr>
      <w:pBdr/>
      <w:spacing/>
      <w:ind/>
    </w:pPr>
    <w:rPr>
      <w:rFonts w:ascii="Consolas" w:hAnsi="Consolas"/>
      <w:color w:val="40a070"/>
      <w:sz w:val="22"/>
    </w:rPr>
  </w:style>
  <w:style w:type="character" w:styleId="1071" w:customStyle="1">
    <w:name w:val="FloatTok"/>
    <w:basedOn w:val="1061"/>
    <w:pPr>
      <w:pBdr/>
      <w:spacing/>
      <w:ind/>
    </w:pPr>
    <w:rPr>
      <w:rFonts w:ascii="Consolas" w:hAnsi="Consolas"/>
      <w:color w:val="40a070"/>
      <w:sz w:val="22"/>
    </w:rPr>
  </w:style>
  <w:style w:type="character" w:styleId="1072" w:customStyle="1">
    <w:name w:val="ConstantTok"/>
    <w:basedOn w:val="1061"/>
    <w:pPr>
      <w:pBdr/>
      <w:spacing/>
      <w:ind/>
    </w:pPr>
    <w:rPr>
      <w:rFonts w:ascii="Consolas" w:hAnsi="Consolas"/>
      <w:color w:val="880000"/>
      <w:sz w:val="22"/>
    </w:rPr>
  </w:style>
  <w:style w:type="character" w:styleId="1073" w:customStyle="1">
    <w:name w:val="CharTok"/>
    <w:basedOn w:val="1061"/>
    <w:pPr>
      <w:pBdr/>
      <w:spacing/>
      <w:ind/>
    </w:pPr>
    <w:rPr>
      <w:rFonts w:ascii="Consolas" w:hAnsi="Consolas"/>
      <w:color w:val="4070a0"/>
      <w:sz w:val="22"/>
    </w:rPr>
  </w:style>
  <w:style w:type="character" w:styleId="1074" w:customStyle="1">
    <w:name w:val="SpecialCharTok"/>
    <w:basedOn w:val="1061"/>
    <w:pPr>
      <w:pBdr/>
      <w:spacing/>
      <w:ind/>
    </w:pPr>
    <w:rPr>
      <w:rFonts w:ascii="Consolas" w:hAnsi="Consolas"/>
      <w:color w:val="4070a0"/>
      <w:sz w:val="22"/>
    </w:rPr>
  </w:style>
  <w:style w:type="character" w:styleId="1075" w:customStyle="1">
    <w:name w:val="StringTok"/>
    <w:basedOn w:val="1061"/>
    <w:pPr>
      <w:pBdr/>
      <w:spacing/>
      <w:ind/>
    </w:pPr>
    <w:rPr>
      <w:rFonts w:ascii="Consolas" w:hAnsi="Consolas"/>
      <w:color w:val="4070a0"/>
      <w:sz w:val="22"/>
    </w:rPr>
  </w:style>
  <w:style w:type="character" w:styleId="1076" w:customStyle="1">
    <w:name w:val="VerbatimStringTok"/>
    <w:basedOn w:val="1061"/>
    <w:pPr>
      <w:pBdr/>
      <w:spacing/>
      <w:ind/>
    </w:pPr>
    <w:rPr>
      <w:rFonts w:ascii="Consolas" w:hAnsi="Consolas"/>
      <w:color w:val="4070a0"/>
      <w:sz w:val="22"/>
    </w:rPr>
  </w:style>
  <w:style w:type="character" w:styleId="1077" w:customStyle="1">
    <w:name w:val="SpecialStringTok"/>
    <w:basedOn w:val="1061"/>
    <w:pPr>
      <w:pBdr/>
      <w:spacing/>
      <w:ind/>
    </w:pPr>
    <w:rPr>
      <w:rFonts w:ascii="Consolas" w:hAnsi="Consolas"/>
      <w:color w:val="bb6688"/>
      <w:sz w:val="22"/>
    </w:rPr>
  </w:style>
  <w:style w:type="character" w:styleId="1078" w:customStyle="1">
    <w:name w:val="ImportTok"/>
    <w:basedOn w:val="1061"/>
    <w:pPr>
      <w:pBdr/>
      <w:spacing/>
      <w:ind/>
    </w:pPr>
    <w:rPr>
      <w:rFonts w:ascii="Consolas" w:hAnsi="Consolas"/>
      <w:b/>
      <w:color w:val="008000"/>
      <w:sz w:val="22"/>
    </w:rPr>
  </w:style>
  <w:style w:type="character" w:styleId="1079" w:customStyle="1">
    <w:name w:val="CommentTok"/>
    <w:basedOn w:val="1061"/>
    <w:pPr>
      <w:pBdr/>
      <w:spacing/>
      <w:ind/>
    </w:pPr>
    <w:rPr>
      <w:rFonts w:ascii="Consolas" w:hAnsi="Consolas"/>
      <w:i/>
      <w:color w:val="60a0b0"/>
      <w:sz w:val="22"/>
    </w:rPr>
  </w:style>
  <w:style w:type="character" w:styleId="1080" w:customStyle="1">
    <w:name w:val="DocumentationTok"/>
    <w:basedOn w:val="1061"/>
    <w:pPr>
      <w:pBdr/>
      <w:spacing/>
      <w:ind/>
    </w:pPr>
    <w:rPr>
      <w:rFonts w:ascii="Consolas" w:hAnsi="Consolas"/>
      <w:i/>
      <w:color w:val="ba2121"/>
      <w:sz w:val="22"/>
    </w:rPr>
  </w:style>
  <w:style w:type="character" w:styleId="1081" w:customStyle="1">
    <w:name w:val="AnnotationTok"/>
    <w:basedOn w:val="1061"/>
    <w:pPr>
      <w:pBdr/>
      <w:spacing/>
      <w:ind/>
    </w:pPr>
    <w:rPr>
      <w:rFonts w:ascii="Consolas" w:hAnsi="Consolas"/>
      <w:b/>
      <w:i/>
      <w:color w:val="60a0b0"/>
      <w:sz w:val="22"/>
    </w:rPr>
  </w:style>
  <w:style w:type="character" w:styleId="1082" w:customStyle="1">
    <w:name w:val="CommentVarTok"/>
    <w:basedOn w:val="1061"/>
    <w:pPr>
      <w:pBdr/>
      <w:spacing/>
      <w:ind/>
    </w:pPr>
    <w:rPr>
      <w:rFonts w:ascii="Consolas" w:hAnsi="Consolas"/>
      <w:b/>
      <w:i/>
      <w:color w:val="60a0b0"/>
      <w:sz w:val="22"/>
    </w:rPr>
  </w:style>
  <w:style w:type="character" w:styleId="1083" w:customStyle="1">
    <w:name w:val="OtherTok"/>
    <w:basedOn w:val="1061"/>
    <w:pPr>
      <w:pBdr/>
      <w:spacing/>
      <w:ind/>
    </w:pPr>
    <w:rPr>
      <w:rFonts w:ascii="Consolas" w:hAnsi="Consolas"/>
      <w:color w:val="007020"/>
      <w:sz w:val="22"/>
    </w:rPr>
  </w:style>
  <w:style w:type="character" w:styleId="1084" w:customStyle="1">
    <w:name w:val="FunctionTok"/>
    <w:basedOn w:val="1061"/>
    <w:pPr>
      <w:pBdr/>
      <w:spacing/>
      <w:ind/>
    </w:pPr>
    <w:rPr>
      <w:rFonts w:ascii="Consolas" w:hAnsi="Consolas"/>
      <w:color w:val="06287e"/>
      <w:sz w:val="22"/>
    </w:rPr>
  </w:style>
  <w:style w:type="character" w:styleId="1085" w:customStyle="1">
    <w:name w:val="VariableTok"/>
    <w:basedOn w:val="1061"/>
    <w:pPr>
      <w:pBdr/>
      <w:spacing/>
      <w:ind/>
    </w:pPr>
    <w:rPr>
      <w:rFonts w:ascii="Consolas" w:hAnsi="Consolas"/>
      <w:color w:val="19177c"/>
      <w:sz w:val="22"/>
    </w:rPr>
  </w:style>
  <w:style w:type="character" w:styleId="1086" w:customStyle="1">
    <w:name w:val="ControlFlowTok"/>
    <w:basedOn w:val="1061"/>
    <w:pPr>
      <w:pBdr/>
      <w:spacing/>
      <w:ind/>
    </w:pPr>
    <w:rPr>
      <w:rFonts w:ascii="Consolas" w:hAnsi="Consolas"/>
      <w:b/>
      <w:color w:val="007020"/>
      <w:sz w:val="22"/>
    </w:rPr>
  </w:style>
  <w:style w:type="character" w:styleId="1087" w:customStyle="1">
    <w:name w:val="OperatorTok"/>
    <w:basedOn w:val="1061"/>
    <w:pPr>
      <w:pBdr/>
      <w:spacing/>
      <w:ind/>
    </w:pPr>
    <w:rPr>
      <w:rFonts w:ascii="Consolas" w:hAnsi="Consolas"/>
      <w:color w:val="666666"/>
      <w:sz w:val="22"/>
    </w:rPr>
  </w:style>
  <w:style w:type="character" w:styleId="1088" w:customStyle="1">
    <w:name w:val="BuiltInTok"/>
    <w:basedOn w:val="1061"/>
    <w:pPr>
      <w:pBdr/>
      <w:spacing/>
      <w:ind/>
    </w:pPr>
    <w:rPr>
      <w:rFonts w:ascii="Consolas" w:hAnsi="Consolas"/>
      <w:color w:val="008000"/>
      <w:sz w:val="22"/>
    </w:rPr>
  </w:style>
  <w:style w:type="character" w:styleId="1089" w:customStyle="1">
    <w:name w:val="ExtensionTok"/>
    <w:basedOn w:val="1061"/>
    <w:pPr>
      <w:pBdr/>
      <w:spacing/>
      <w:ind/>
    </w:pPr>
    <w:rPr>
      <w:rFonts w:ascii="Consolas" w:hAnsi="Consolas"/>
      <w:sz w:val="22"/>
    </w:rPr>
  </w:style>
  <w:style w:type="character" w:styleId="1090" w:customStyle="1">
    <w:name w:val="PreprocessorTok"/>
    <w:basedOn w:val="1061"/>
    <w:pPr>
      <w:pBdr/>
      <w:spacing/>
      <w:ind/>
    </w:pPr>
    <w:rPr>
      <w:rFonts w:ascii="Consolas" w:hAnsi="Consolas"/>
      <w:color w:val="bc7a00"/>
      <w:sz w:val="22"/>
    </w:rPr>
  </w:style>
  <w:style w:type="character" w:styleId="1091" w:customStyle="1">
    <w:name w:val="AttributeTok"/>
    <w:basedOn w:val="1061"/>
    <w:pPr>
      <w:pBdr/>
      <w:spacing/>
      <w:ind/>
    </w:pPr>
    <w:rPr>
      <w:rFonts w:ascii="Consolas" w:hAnsi="Consolas"/>
      <w:color w:val="7d9029"/>
      <w:sz w:val="22"/>
    </w:rPr>
  </w:style>
  <w:style w:type="character" w:styleId="1092" w:customStyle="1">
    <w:name w:val="RegionMarkerTok"/>
    <w:basedOn w:val="1061"/>
    <w:pPr>
      <w:pBdr/>
      <w:spacing/>
      <w:ind/>
    </w:pPr>
    <w:rPr>
      <w:rFonts w:ascii="Consolas" w:hAnsi="Consolas"/>
      <w:sz w:val="22"/>
    </w:rPr>
  </w:style>
  <w:style w:type="character" w:styleId="1093" w:customStyle="1">
    <w:name w:val="InformationTok"/>
    <w:basedOn w:val="1061"/>
    <w:pPr>
      <w:pBdr/>
      <w:spacing/>
      <w:ind/>
    </w:pPr>
    <w:rPr>
      <w:rFonts w:ascii="Consolas" w:hAnsi="Consolas"/>
      <w:b/>
      <w:i/>
      <w:color w:val="60a0b0"/>
      <w:sz w:val="22"/>
    </w:rPr>
  </w:style>
  <w:style w:type="character" w:styleId="1094" w:customStyle="1">
    <w:name w:val="WarningTok"/>
    <w:basedOn w:val="1061"/>
    <w:pPr>
      <w:pBdr/>
      <w:spacing/>
      <w:ind/>
    </w:pPr>
    <w:rPr>
      <w:rFonts w:ascii="Consolas" w:hAnsi="Consolas"/>
      <w:b/>
      <w:i/>
      <w:color w:val="60a0b0"/>
      <w:sz w:val="22"/>
    </w:rPr>
  </w:style>
  <w:style w:type="character" w:styleId="1095" w:customStyle="1">
    <w:name w:val="AlertTok"/>
    <w:basedOn w:val="1061"/>
    <w:pPr>
      <w:pBdr/>
      <w:spacing/>
      <w:ind/>
    </w:pPr>
    <w:rPr>
      <w:rFonts w:ascii="Consolas" w:hAnsi="Consolas"/>
      <w:b/>
      <w:color w:val="ff0000"/>
      <w:sz w:val="22"/>
    </w:rPr>
  </w:style>
  <w:style w:type="character" w:styleId="1096" w:customStyle="1">
    <w:name w:val="ErrorTok"/>
    <w:basedOn w:val="1061"/>
    <w:pPr>
      <w:pBdr/>
      <w:spacing/>
      <w:ind/>
    </w:pPr>
    <w:rPr>
      <w:rFonts w:ascii="Consolas" w:hAnsi="Consolas"/>
      <w:b/>
      <w:color w:val="ff0000"/>
      <w:sz w:val="22"/>
    </w:rPr>
  </w:style>
  <w:style w:type="character" w:styleId="1097" w:customStyle="1">
    <w:name w:val="NormalTok"/>
    <w:basedOn w:val="1061"/>
    <w:pPr>
      <w:pBdr/>
      <w:spacing/>
      <w:ind/>
    </w:pPr>
    <w:rPr>
      <w:rFonts w:ascii="Consolas" w:hAnsi="Consolas"/>
      <w:sz w:val="22"/>
    </w:rPr>
  </w:style>
  <w:style w:type="paragraph" w:styleId="1098">
    <w:name w:val="Header"/>
    <w:basedOn w:val="853"/>
    <w:link w:val="1099"/>
    <w:uiPriority w:val="99"/>
    <w:pPr>
      <w:pBdr/>
      <w:tabs>
        <w:tab w:val="center" w:leader="none" w:pos="4819"/>
        <w:tab w:val="right" w:leader="none" w:pos="9638"/>
      </w:tabs>
      <w:spacing w:after="0"/>
      <w:ind/>
    </w:pPr>
  </w:style>
  <w:style w:type="character" w:styleId="1099" w:customStyle="1">
    <w:name w:val="Intestazione Carattere"/>
    <w:basedOn w:val="863"/>
    <w:link w:val="1098"/>
    <w:uiPriority w:val="99"/>
    <w:pPr>
      <w:pBdr/>
      <w:spacing/>
      <w:ind/>
    </w:pPr>
  </w:style>
  <w:style w:type="paragraph" w:styleId="1100">
    <w:name w:val="Footer"/>
    <w:basedOn w:val="853"/>
    <w:link w:val="1101"/>
    <w:uiPriority w:val="99"/>
    <w:pPr>
      <w:pBdr/>
      <w:tabs>
        <w:tab w:val="center" w:leader="none" w:pos="4819"/>
        <w:tab w:val="right" w:leader="none" w:pos="9638"/>
      </w:tabs>
      <w:spacing w:after="0"/>
      <w:ind/>
    </w:pPr>
  </w:style>
  <w:style w:type="character" w:styleId="1101" w:customStyle="1">
    <w:name w:val="Piè di pagina Carattere"/>
    <w:basedOn w:val="863"/>
    <w:link w:val="1100"/>
    <w:uiPriority w:val="99"/>
    <w:pPr>
      <w:pBdr/>
      <w:spacing/>
      <w:ind/>
    </w:pPr>
  </w:style>
  <w:style w:type="table" w:styleId="1102">
    <w:name w:val="Table Grid"/>
    <w:basedOn w:val="864"/>
    <w:pPr>
      <w:pBdr/>
      <w:spacing w:after="0"/>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3">
    <w:name w:val="toc 1"/>
    <w:basedOn w:val="853"/>
    <w:next w:val="853"/>
    <w:uiPriority w:val="39"/>
    <w:pPr>
      <w:pBdr/>
      <w:spacing w:after="100"/>
      <w:ind/>
    </w:pPr>
  </w:style>
  <w:style w:type="paragraph" w:styleId="1104">
    <w:name w:val="toc 2"/>
    <w:basedOn w:val="853"/>
    <w:next w:val="853"/>
    <w:uiPriority w:val="39"/>
    <w:pPr>
      <w:pBdr/>
      <w:spacing w:after="100"/>
      <w:ind w:left="240"/>
    </w:pPr>
  </w:style>
  <w:style w:type="paragraph" w:styleId="1105">
    <w:name w:val="toc 3"/>
    <w:basedOn w:val="853"/>
    <w:next w:val="853"/>
    <w:uiPriority w:val="39"/>
    <w:pPr>
      <w:pBdr/>
      <w:spacing w:after="100"/>
      <w:ind w:left="480"/>
    </w:pPr>
  </w:style>
  <w:style w:type="table" w:styleId="1106">
    <w:name w:val="Plain Table 1"/>
    <w:basedOn w:val="864"/>
    <w:pPr>
      <w:pBdr/>
      <w:spacing w:after="0"/>
      <w:ind/>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cPr>
      <w:tcBorders/>
    </w:tcPr>
    <w:tblStylePr w:type="band1Horz">
      <w:pPr>
        <w:pBdr/>
        <w:spacing/>
        <w:ind/>
      </w:pPr>
      <w:tblPr>
        <w:tblBorders/>
      </w:tblPr>
      <w:tcPr>
        <w:shd w:val="clear" w:color="auto" w:fill="f2f2f2" w:themeFill="background1" w:themeFillShade="F2"/>
        <w:tcBorders/>
      </w:tcPr>
    </w:tblStylePr>
    <w:tblStylePr w:type="band1Vert">
      <w:pPr>
        <w:pBdr/>
        <w:spacing/>
        <w:ind/>
      </w:pPr>
      <w:tblPr>
        <w:tblBorders/>
      </w:tblPr>
      <w:tcPr>
        <w:shd w:val="clear" w:color="auto" w:fill="f2f2f2" w:themeFill="background1" w:themeFillShade="F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fbfbf" w:themeColor="background1" w:themeShade="BF"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107">
    <w:name w:val="List Paragraph"/>
    <w:basedOn w:val="853"/>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customXml" Target="../customXml/item1.xml" /><Relationship Id="rId16" Type="http://schemas.openxmlformats.org/officeDocument/2006/relationships/customXml" Target="../customXml/item2.xml" /><Relationship Id="rId17" Type="http://schemas.openxmlformats.org/officeDocument/2006/relationships/customXml" Target="../customXml/item3.xml" /><Relationship Id="rId18" Type="http://schemas.openxmlformats.org/officeDocument/2006/relationships/customXml" Target="../customXml/item4.xml" /><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hyperlink" Target="https://www.gazzettaufficiale.it/atto/serie_generale/caricaArticolo?art.progressivo=0&amp;art.idArticolo=84&amp;art.versione=1&amp;art.codiceRedazionale=008G0104&amp;art.dataPubblicazioneGazzetta=2008-04-30&amp;art.idGruppo=17&amp;art.idSottoArticolo1=10&amp;art.idSottoArticolo=1&amp;art.flagTipoArticolo=0"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3860f171-e219-4812-b5cd-5eb7ddcbb62c" xsi:nil="true"/>
    <lcf76f155ced4ddcb4097134ff3c332f xmlns="3860f171-e219-4812-b5cd-5eb7ddcbb62c">
      <Terms xmlns="http://schemas.microsoft.com/office/infopath/2007/PartnerControls"/>
    </lcf76f155ced4ddcb4097134ff3c332f>
    <TaxCatchAll xmlns="e4e6b3fe-942f-4e29-b26a-28e2b4d909d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8798E3E6CA122F48A6AC6DC0BB2C6178" ma:contentTypeVersion="12" ma:contentTypeDescription="Creare un nuovo documento." ma:contentTypeScope="" ma:versionID="a116cde6b5f886cb5e48bf7d369db4d5">
  <xsd:schema xmlns:xsd="http://www.w3.org/2001/XMLSchema" xmlns:xs="http://www.w3.org/2001/XMLSchema" xmlns:p="http://schemas.microsoft.com/office/2006/metadata/properties" xmlns:ns2="3860f171-e219-4812-b5cd-5eb7ddcbb62c" xmlns:ns3="e4e6b3fe-942f-4e29-b26a-28e2b4d909d3" targetNamespace="http://schemas.microsoft.com/office/2006/metadata/properties" ma:root="true" ma:fieldsID="45f499f3336033c9a10134e178cae30f" ns2:_="" ns3:_="">
    <xsd:import namespace="3860f171-e219-4812-b5cd-5eb7ddcbb62c"/>
    <xsd:import namespace="e4e6b3fe-942f-4e29-b26a-28e2b4d909d3"/>
    <xsd:element name="properties">
      <xsd:complexType>
        <xsd:sequence>
          <xsd:element name="documentManagement">
            <xsd:complexType>
              <xsd:all>
                <xsd:element ref="ns2:_Flow_SignoffStatus"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60f171-e219-4812-b5cd-5eb7ddcbb62c" elementFormDefault="qualified">
    <xsd:import namespace="http://schemas.microsoft.com/office/2006/documentManagement/types"/>
    <xsd:import namespace="http://schemas.microsoft.com/office/infopath/2007/PartnerControls"/>
    <xsd:element name="_Flow_SignoffStatus" ma:index="8" nillable="true" ma:displayName="Stato consenso" ma:internalName="_x0024_Resources_x003a_core_x002c_Signoff_Status">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Tag immagine" ma:readOnly="false" ma:fieldId="{5cf76f15-5ced-4ddc-b409-7134ff3c332f}" ma:taxonomyMulti="true" ma:sspId="082605e1-5387-4acf-bcc8-125b9dfb5791"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e6b3fe-942f-4e29-b26a-28e2b4d909d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b70b79ae-0395-4cee-a6a9-151d2cd42442}" ma:internalName="TaxCatchAll" ma:showField="CatchAllData" ma:web="e4e6b3fe-942f-4e29-b26a-28e2b4d909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A56FA1-072C-41C1-BB99-0BD17C336E07}">
  <ds:schemaRefs>
    <ds:schemaRef ds:uri="http://schemas.microsoft.com/office/2006/metadata/properties"/>
    <ds:schemaRef ds:uri="http://www.w3.org/2001/XMLSchema-instance"/>
    <ds:schemaRef ds:uri="http://schemas.microsoft.com/office/infopath/2007/PartnerControls"/>
    <ds:schemaRef ds:uri="3860f171-e219-4812-b5cd-5eb7ddcbb62c"/>
    <ds:schemaRef ds:uri="e4e6b3fe-942f-4e29-b26a-28e2b4d909d3"/>
  </ds:schemaRefs>
</ds:datastoreItem>
</file>

<file path=customXml/itemProps2.xml><?xml version="1.0" encoding="utf-8"?>
<ds:datastoreItem xmlns:ds="http://schemas.openxmlformats.org/officeDocument/2006/customXml" ds:itemID="{496843FB-F0EE-41A2-9606-252A79FB9FAC}">
  <ds:schemaRefs>
    <ds:schemaRef ds:uri="http://schemas.microsoft.com/sharepoint/v3/contenttype/forms"/>
  </ds:schemaRefs>
</ds:datastoreItem>
</file>

<file path=customXml/itemProps3.xml><?xml version="1.0" encoding="utf-8"?>
<ds:datastoreItem xmlns:ds="http://schemas.openxmlformats.org/officeDocument/2006/customXml" ds:itemID="{9418D360-48AD-4F4B-A565-3DDF5E2C660F}">
  <ds:schemaRefs>
    <ds:schemaRef ds:uri="http://schemas.openxmlformats.org/officeDocument/2006/bibliography"/>
  </ds:schemaRefs>
</ds:datastoreItem>
</file>

<file path=customXml/itemProps4.xml><?xml version="1.0" encoding="utf-8"?>
<ds:datastoreItem xmlns:ds="http://schemas.openxmlformats.org/officeDocument/2006/customXml" ds:itemID="{DEE8ACBE-2745-4E3A-B8BB-11528D4C228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60f171-e219-4812-b5cd-5eb7ddcbb62c"/>
    <ds:schemaRef ds:uri="e4e6b3fe-942f-4e29-b26a-28e2b4d909d3"/>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onlyoffice/9.0.3.29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Silvestro Amodeo</dc:creator>
  <cp:keywords/>
  <dc:language>it</dc:language>
  <cp:lastModifiedBy>Francesco Scavello</cp:lastModifiedBy>
  <cp:revision>3</cp:revision>
  <dcterms:created xsi:type="dcterms:W3CDTF">2025-11-12T06:26:00Z</dcterms:created>
  <dcterms:modified xsi:type="dcterms:W3CDTF">2025-11-12T10:04:17Z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y fmtid="{D5CDD505-2E9C-101B-9397-08002B2CF9AE}" pid="3" name="ContentTypeId">
    <vt:lpwstr>0x0101008798E3E6CA122F48A6AC6DC0BB2C6178</vt:lpwstr>
  </property>
  <property fmtid="{D5CDD505-2E9C-101B-9397-08002B2CF9AE}" pid="4" name="docLang">
    <vt:lpwstr>it</vt:lpwstr>
  </property>
  <property fmtid="{D5CDD505-2E9C-101B-9397-08002B2CF9AE}" pid="5" name="MediaServiceImageTags">
    <vt:lpwstr/>
  </property>
</Properties>
</file>