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DA6B" w14:textId="77777777" w:rsidR="000028D1" w:rsidRDefault="000028D1" w:rsidP="000028D1">
      <w:pPr>
        <w:pStyle w:val="font-claude-response-body"/>
      </w:pPr>
      <w:r>
        <w:rPr>
          <w:rStyle w:val="Strong"/>
        </w:rPr>
        <w:t>Climate communication / media framing of disasters</w:t>
      </w:r>
      <w:r>
        <w:t xml:space="preserve"> (directly </w:t>
      </w:r>
      <w:proofErr w:type="gramStart"/>
      <w:r>
        <w:t>on-topic</w:t>
      </w:r>
      <w:proofErr w:type="gramEnd"/>
      <w:r>
        <w:t xml:space="preserve"> for your core question):</w:t>
      </w:r>
    </w:p>
    <w:p w14:paraId="7BA5371A" w14:textId="77777777" w:rsidR="00B8569A" w:rsidRDefault="000028D1" w:rsidP="000028D1">
      <w:pPr>
        <w:pStyle w:val="font-claude-response-body"/>
      </w:pPr>
      <w:r>
        <w:t xml:space="preserve">Boudet, H., Giordono, L., </w:t>
      </w:r>
      <w:proofErr w:type="spellStart"/>
      <w:r>
        <w:t>Zanocco</w:t>
      </w:r>
      <w:proofErr w:type="spellEnd"/>
      <w:r>
        <w:t xml:space="preserve">, C., </w:t>
      </w:r>
      <w:proofErr w:type="spellStart"/>
      <w:r>
        <w:t>Satein</w:t>
      </w:r>
      <w:proofErr w:type="spellEnd"/>
      <w:r>
        <w:t xml:space="preserve">, H., &amp; Whitley, H. (2020). "Event attribution and partisanship shape local discussion of climate change after extreme weather." </w:t>
      </w:r>
      <w:r>
        <w:rPr>
          <w:rStyle w:val="Emphasis"/>
        </w:rPr>
        <w:t>Nature Climate Change</w:t>
      </w:r>
      <w:r>
        <w:t xml:space="preserve">, 10(1), 69–76. </w:t>
      </w:r>
    </w:p>
    <w:p w14:paraId="7D881621" w14:textId="45EFF46A" w:rsidR="000028D1" w:rsidRDefault="000028D1" w:rsidP="00B8569A">
      <w:pPr>
        <w:pStyle w:val="font-claude-response-body"/>
        <w:numPr>
          <w:ilvl w:val="0"/>
          <w:numId w:val="1"/>
        </w:numPr>
      </w:pPr>
      <w:r>
        <w:t xml:space="preserve">Comparative case study of 15 </w:t>
      </w:r>
      <w:proofErr w:type="gramStart"/>
      <w:r>
        <w:t>communities</w:t>
      </w:r>
      <w:proofErr w:type="gramEnd"/>
      <w:r>
        <w:t xml:space="preserve"> post-disaster — closest analogue to your "does coverage attribute the event to climate change" question, but at the community-discussion level rather than newspaper-text level.</w:t>
      </w:r>
    </w:p>
    <w:p w14:paraId="61D6918F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Even in the 9 of 15 communities classified as showing post-event “climate discussion,” local coverage explicitly linking the event to climate change was minimal (fewer than 5 articles in most cases) — closely echoes our own finding that ~55% of covered disasters have an Attribution Index of exactly 0 and category C (no causal claim) is the modal article code; good corroborating citation for the Discussion section.</w:t>
      </w:r>
    </w:p>
    <w:p w14:paraId="7F9B0305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Discussion was more likely in Democratic-leaning, highly-educated communities. The fsQCA's “scientific attribution” condition actually scores events on a three-tier confidence scale, not two: lowest confidence for extratropical cyclones, tornadoes, and mudslides; moderate for droughts/wildfires, extreme rainfall/flooding, tropical cyclones, and extreme snow/ice; and highest for extreme heat/cold events specifically. This finer-grained, confidence-based typology (different from our own seven NOAA disaster types) could help explain, or be explicitly contrasted with, why our own disaster-type dummies are not significant predictors of AttributionIndex_d.</w:t>
      </w:r>
    </w:p>
    <w:p w14:paraId="78CFE27B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Methodologically very different from ours: fuzzy-set Qualitative Comparative Analysis (fsQCA) on just 15 purposively-selected communities (4,610 local articles + 164 interviews + county secondary data) vs. our systematic article-level coding across 1,252 articles/209 disasters — useful explicit contrast for Related Literature (small-N contextual depth vs. large-N comparability).</w:t>
      </w:r>
    </w:p>
    <w:p w14:paraId="68C5F954" w14:textId="373F8B4A" w:rsidR="000028D1" w:rsidRDefault="000028D1" w:rsidP="000028D1">
      <w:pPr>
        <w:pStyle w:val="font-claude-response-body"/>
      </w:pPr>
      <w:r w:rsidRPr="000028D1">
        <w:rPr>
          <w:lang w:val="de-DE"/>
        </w:rPr>
        <w:t xml:space="preserve">Chinn, S., Hart, P. S., &amp; Soroka, S. (2020). </w:t>
      </w:r>
      <w:r>
        <w:t xml:space="preserve">"Politicization and Polarization in Climate Change News Content, 1985–2017." </w:t>
      </w:r>
      <w:r>
        <w:rPr>
          <w:rStyle w:val="Emphasis"/>
        </w:rPr>
        <w:t>Science Communication</w:t>
      </w:r>
      <w:r>
        <w:t xml:space="preserve">, 42(1), 112–129. </w:t>
      </w:r>
    </w:p>
    <w:p w14:paraId="5502007D" w14:textId="1BCF5AD2" w:rsidR="00B8569A" w:rsidRDefault="00B8569A" w:rsidP="00B8569A">
      <w:pPr>
        <w:pStyle w:val="font-claude-response-body"/>
        <w:numPr>
          <w:ilvl w:val="0"/>
          <w:numId w:val="1"/>
        </w:numPr>
      </w:pPr>
      <w:r>
        <w:t>A long-run content analysis of U.S. climate news — probably your single closest methodological cousin, worth engaging with directly on framing/measurement choices.</w:t>
      </w:r>
    </w:p>
    <w:p w14:paraId="5A3078B3" w14:textId="77777777" w:rsidR="00B8569A" w:rsidRDefault="00B8569A" w:rsidP="00B8569A">
      <w:pPr>
        <w:pStyle w:val="font-claude-response-body"/>
        <w:numPr>
          <w:ilvl w:val="0"/>
          <w:numId w:val="1"/>
        </w:numPr>
      </w:pPr>
      <w:r>
        <w:t>Using Wordfish (unsupervised text scaling) on 1985–2017 U.S. climate coverage, they find politicization (political actors overtaking scientists as sources) rose gradually from the 1990s, but polarization (divergence between Republican- and Democrat-associated language) was flat until a sharp, discrete jump in 2010–2011 that has persisted since — an almost exact match to our own pre-/post-2010 break in AttributionIndex_d (−0.105 pre-2010 vs. +0.057 post-2010, p&lt;0.001). Strong, specific citation for both Related Literature and Discussion as independent corroboration that 2010–2011 was a watershed moment in U.S. climate-news discourse generally, not just disaster attribution specifically.</w:t>
      </w:r>
    </w:p>
    <w:p w14:paraId="10935A26" w14:textId="77777777" w:rsidR="00B8569A" w:rsidRDefault="00B8569A" w:rsidP="00B8569A">
      <w:pPr>
        <w:pStyle w:val="font-claude-response-body"/>
        <w:numPr>
          <w:ilvl w:val="0"/>
          <w:numId w:val="1"/>
        </w:numPr>
      </w:pPr>
      <w:r>
        <w:t xml:space="preserve">Their DV is discourse polarization (whose language/which actors), not causal-attribution framing — conceptually distinct from our AttributionIndex_d even though both move at the same time; worth flagging this distinction explicitly in Related Literature so our </w:t>
      </w:r>
      <w:r>
        <w:lastRenderedPageBreak/>
        <w:t>contribution (article-level causal-attribution coding) reads as genuinely different, not duplicative.</w:t>
      </w:r>
    </w:p>
    <w:p w14:paraId="7FF62597" w14:textId="77777777" w:rsidR="00B8569A" w:rsidRDefault="00B8569A" w:rsidP="00B8569A">
      <w:pPr>
        <w:pStyle w:val="font-claude-response-body"/>
        <w:numPr>
          <w:ilvl w:val="0"/>
          <w:numId w:val="1"/>
        </w:numPr>
      </w:pPr>
      <w:r>
        <w:t>Useful Introduction fact: political actors are mentioned in climate articles at least once per article since the 2000s, outnumbering scientists since 2006 — supports a general motivating claim that climate coverage has become more politically inflected over time, ahead of/alongside our own attribution-framing trend.</w:t>
      </w:r>
    </w:p>
    <w:p w14:paraId="1A7872A3" w14:textId="77777777" w:rsidR="00B8569A" w:rsidRDefault="000028D1" w:rsidP="000028D1">
      <w:pPr>
        <w:pStyle w:val="font-claude-response-body"/>
      </w:pPr>
      <w:r>
        <w:t xml:space="preserve">Carmichael, J. T., Brulle, R. J., &amp; Huxster, J. K. (2017). "The great divide: understanding the role of media and other drivers of the partisan divide in public concern over climate change in the USA, 2001–2014." </w:t>
      </w:r>
      <w:r>
        <w:rPr>
          <w:rStyle w:val="Emphasis"/>
        </w:rPr>
        <w:t>Climatic Change</w:t>
      </w:r>
      <w:r>
        <w:t xml:space="preserve">, 141(4), 599–612. </w:t>
      </w:r>
    </w:p>
    <w:p w14:paraId="0DFB09C6" w14:textId="73BD5460" w:rsidR="000028D1" w:rsidRDefault="000028D1" w:rsidP="00B8569A">
      <w:pPr>
        <w:pStyle w:val="font-claude-response-body"/>
        <w:numPr>
          <w:ilvl w:val="0"/>
          <w:numId w:val="1"/>
        </w:numPr>
      </w:pPr>
      <w:r>
        <w:t>Good for the political-economy framing of why outlet partisanship might matter.</w:t>
      </w:r>
    </w:p>
    <w:p w14:paraId="210CFE21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null result, directly relevant to our Discussion: using national-level quarterly time series (2001–2014), extreme weather events do NOT significantly increase public concern about climate change among either Democrats or Republicans — a useful companion to our own finding that disaster type/severity don't predict attribution framing in coverage; both papers suggest the disaster event itself matters less than other factors (media partisanship, time/era).</w:t>
      </w:r>
    </w:p>
    <w:p w14:paraId="0A7DFD9A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They find partisan media reinforces existing views (“echo chamber”) and triggers a “boomerang” effect — Republicans shown liberal-media climate frames become LESS concerned — a candidate interpretive mechanism for our finding that more right-leaning outlets show systematically lower attribution scores: consistent with an audience-driven editorial stance that reinforces itself rather than informs.</w:t>
      </w:r>
    </w:p>
    <w:p w14:paraId="1E76A69C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Unit of analysis is aggregate national opinion polling regressed on media-coverage volume and weather-event counts, not article-level content coding — contrast for Related Literature on both unit of analysis and the causal direction tested (events/media → opinion, vs. our outlet characteristics → article content).</w:t>
      </w:r>
    </w:p>
    <w:p w14:paraId="54D8F909" w14:textId="77777777" w:rsidR="00B8569A" w:rsidRDefault="000028D1" w:rsidP="000028D1">
      <w:pPr>
        <w:pStyle w:val="font-claude-response-body"/>
      </w:pPr>
      <w:r>
        <w:t xml:space="preserve">Hai, Z., &amp; Perlman, R. L. (2022). "Extreme weather events and the politics of climate change attribution." </w:t>
      </w:r>
      <w:r>
        <w:rPr>
          <w:rStyle w:val="Emphasis"/>
        </w:rPr>
        <w:t>Science Advances</w:t>
      </w:r>
      <w:r>
        <w:t xml:space="preserve">, 8(36). </w:t>
      </w:r>
    </w:p>
    <w:p w14:paraId="72B2A6E0" w14:textId="07A6B801" w:rsidR="000028D1" w:rsidRDefault="000028D1" w:rsidP="00B8569A">
      <w:pPr>
        <w:pStyle w:val="font-claude-response-body"/>
        <w:numPr>
          <w:ilvl w:val="0"/>
          <w:numId w:val="1"/>
        </w:numPr>
      </w:pPr>
      <w:r>
        <w:t>Survey-experiment evidence that attribution can backfire politically — useful for your Discussion section on why attribution language might be strategically avoided.</w:t>
      </w:r>
    </w:p>
    <w:p w14:paraId="48E261D9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finding (preregistered two-wave survey experiment, ~9,000 respondents): when a politician explicitly links a disaster (2020 Western wildfires) to climate change, Republican respondents rate that politician as LESS capable of handling future disasters and become LESS supportive of protective policy — a “backfire effect.” Directly useful for Discussion as a candidate explanation for why right-leaning outlets in our data show lower attribution scores: if audiences punish attribution language, outlets serving more conservative readers face a market incentive to avoid it (echoes Gentzkow &amp; Shapiro's demand-side mechanism below).</w:t>
      </w:r>
    </w:p>
    <w:p w14:paraId="2FD09DFF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Via Congressional press-release content analysis, they also document a slight increase over time in politicians' willingness to mention climate change alongside disasters — an independent corroboration of an over-time upward trend in attribution language, parallel to our year-trend finding, at the political-elite level rather than the media level.</w:t>
      </w:r>
    </w:p>
    <w:p w14:paraId="714A0325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lastRenderedPageBreak/>
        <w:t>Good Introduction framing language: growing scientific certainty linking disasters to climate change has created pressure on politicians (and, by extension, outlets) to acknowledge the connection — motivates why studying the media as the intermediary between disasters and public/political discourse matters.</w:t>
      </w:r>
    </w:p>
    <w:p w14:paraId="4AB8D72F" w14:textId="77777777" w:rsidR="000028D1" w:rsidRDefault="000028D1" w:rsidP="000028D1">
      <w:pPr>
        <w:pStyle w:val="font-claude-response-body"/>
      </w:pPr>
      <w:r>
        <w:rPr>
          <w:rStyle w:val="Strong"/>
        </w:rPr>
        <w:t>Economics of natural disasters and salience:</w:t>
      </w:r>
    </w:p>
    <w:p w14:paraId="399AF672" w14:textId="77777777" w:rsidR="00B8569A" w:rsidRDefault="000028D1" w:rsidP="000028D1">
      <w:pPr>
        <w:pStyle w:val="font-claude-response-body"/>
      </w:pPr>
      <w:r>
        <w:t xml:space="preserve">Gallagher, J. (2014). "Learning about an Infrequent Event: Evidence from Flood Insurance Take-Up in the United States." </w:t>
      </w:r>
      <w:r>
        <w:rPr>
          <w:rStyle w:val="Emphasis"/>
        </w:rPr>
        <w:t>American Economic Journal: Applied Economics</w:t>
      </w:r>
      <w:r>
        <w:t xml:space="preserve">, 6(3), 206–233. </w:t>
      </w:r>
    </w:p>
    <w:p w14:paraId="30241100" w14:textId="3D625279" w:rsidR="000028D1" w:rsidRDefault="000028D1" w:rsidP="00B8569A">
      <w:pPr>
        <w:pStyle w:val="font-claude-response-body"/>
        <w:numPr>
          <w:ilvl w:val="0"/>
          <w:numId w:val="1"/>
        </w:numPr>
      </w:pPr>
      <w:r>
        <w:t>The canonical paper on media-market salience driving disaster-risk behavior — strong fit since it isolates media market (not just objective risk) as the channel, exactly your geography/outlet argument.</w:t>
      </w:r>
    </w:p>
    <w:p w14:paraId="3F679588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finding: flood insurance take-up spikes ~9% the year after a flood, then decays to baseline within ~9 years; critically, residents in NON-flooded communities in the SAME television media market increase take-up at one-third the rate of directly-flooded communities — demonstrates media market itself (not just personal/objective risk) is an independent channel shaping risk-relevant behavior. Probably the single best precedent for our paper's core premise that media/outlet characteristics matter independently of the underlying disaster; strong citation for the Introduction and Discussion.</w:t>
      </w:r>
    </w:p>
    <w:p w14:paraId="03E05C40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Take-up response is similar after high-cost and low-cost floods — households don't appear to use a new flood to learn about flood severity per se, just occurrence — an interesting parallel to our own null finding that disaster cost/severity doesn't predict attribution framing; both papers find “how bad” matters less than expected relative to “did attention happen / what kind of event.”</w:t>
      </w:r>
    </w:p>
    <w:p w14:paraId="513FAE8F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Use as the anchor citation for the economics-of-disasters paragraph in Related Literature: establishes media market as a salience channel, motivating why outlet characteristics (not just objective disaster characteristics) deserve first-order treatment in our design.</w:t>
      </w:r>
    </w:p>
    <w:p w14:paraId="077EBCDC" w14:textId="77777777" w:rsidR="00B8569A" w:rsidRDefault="000028D1" w:rsidP="000028D1">
      <w:pPr>
        <w:pStyle w:val="font-claude-response-body"/>
      </w:pPr>
      <w:proofErr w:type="spellStart"/>
      <w:r>
        <w:t>Boustan</w:t>
      </w:r>
      <w:proofErr w:type="spellEnd"/>
      <w:r>
        <w:t xml:space="preserve">, L. P., Kahn, M. E., Rhode, P. W., &amp; </w:t>
      </w:r>
      <w:proofErr w:type="spellStart"/>
      <w:r>
        <w:t>Yanguas</w:t>
      </w:r>
      <w:proofErr w:type="spellEnd"/>
      <w:r>
        <w:t xml:space="preserve">, M. L. (2020). "The Effect of Natural Disasters on Economic Activity in US Counties: A Century of Data." </w:t>
      </w:r>
      <w:r>
        <w:rPr>
          <w:rStyle w:val="Emphasis"/>
        </w:rPr>
        <w:t>Journal of Urban Economics</w:t>
      </w:r>
      <w:r>
        <w:t xml:space="preserve">. </w:t>
      </w:r>
    </w:p>
    <w:p w14:paraId="72ACE831" w14:textId="4BFB359F" w:rsidR="000028D1" w:rsidRDefault="000028D1" w:rsidP="00B8569A">
      <w:pPr>
        <w:pStyle w:val="font-claude-response-body"/>
        <w:numPr>
          <w:ilvl w:val="0"/>
          <w:numId w:val="1"/>
        </w:numPr>
      </w:pPr>
      <w:r>
        <w:t>Good general anchor for the economics-of-disasters literature your intro should cite.</w:t>
      </w:r>
    </w:p>
    <w:p w14:paraId="13187D57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finding: severe disasters increase county out-migration by 1.5pp and lower housing prices/rents 2.5–5%; disasters conveying more information about FUTURE risk increase out-migration more — a salience/information mechanism complementary to Gallagher above. Also documents a clear acceleration in disaster frequency since the 1990s, consistent with our own sample's growth pattern.</w:t>
      </w:r>
    </w:p>
    <w:p w14:paraId="2D8D40D5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Not about media at all (pure migration/housing economics) — use as a general disaster-economics anchor citation in Related Literature/Introduction rather than a close methodological comparison; establishes disasters have real, measurable local economic consequences, motivating why how they're publicly framed/attributed matters beyond pure scientific interest.</w:t>
      </w:r>
    </w:p>
    <w:p w14:paraId="14E97FF2" w14:textId="77777777" w:rsidR="00B8569A" w:rsidRDefault="000028D1" w:rsidP="000028D1">
      <w:pPr>
        <w:pStyle w:val="font-claude-response-body"/>
      </w:pPr>
      <w:proofErr w:type="spellStart"/>
      <w:r>
        <w:lastRenderedPageBreak/>
        <w:t>Magontier</w:t>
      </w:r>
      <w:proofErr w:type="spellEnd"/>
      <w:r>
        <w:t xml:space="preserve">, P. (2020). "Does media coverage affect governments' preparation for natural disasters?" IEB Working Paper. </w:t>
      </w:r>
    </w:p>
    <w:p w14:paraId="6E548CAB" w14:textId="5E4F1963" w:rsidR="000028D1" w:rsidRDefault="000028D1" w:rsidP="00B8569A">
      <w:pPr>
        <w:pStyle w:val="font-claude-response-body"/>
        <w:numPr>
          <w:ilvl w:val="0"/>
          <w:numId w:val="1"/>
        </w:numPr>
      </w:pPr>
      <w:r>
        <w:t xml:space="preserve">Media coverage volume → policy response; complements your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coverage-volume finding nicely.</w:t>
      </w:r>
    </w:p>
    <w:p w14:paraId="5EE0F00B" w14:textId="77777777" w:rsidR="000028D1" w:rsidRDefault="00000000" w:rsidP="00B8569A">
      <w:pPr>
        <w:pStyle w:val="font-claude-response-body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028D1">
        <w:t>Key finding: a one-SD increase in newspaper coverage of a storm increases subsequent FEMA mitigation-grant projects in that ZIP code by 54%; with low coverage, disaster-hit jurisdictions undertake essentially no mitigation — directly parallel to our own coverage-volume (N_d) finding (more coverage associated with a higher Attribution Index). Both papers find media coverage VOLUME itself has real downstream consequences (policy response in his case, framing in ours) — strong citation for Discussion when interpreting the N_d result.</w:t>
      </w:r>
    </w:p>
    <w:p w14:paraId="3F076189" w14:textId="77777777" w:rsidR="000028D1" w:rsidRDefault="00000000" w:rsidP="00B8569A">
      <w:pPr>
        <w:pStyle w:val="font-claude-response-body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028D1">
        <w:t>Frames this as a risk-disclosure/risk-signaling trade-off: local governments avoid revealing latent risk to uninformed property investors unless media coverage has already revealed it — a useful conceptual parallel to Hai &amp; Perlman's backfire-effect finding (officials/outlets facing incentives to avoid revealing unflattering or politically costly information).</w:t>
      </w:r>
    </w:p>
    <w:p w14:paraId="5D6286D8" w14:textId="77777777" w:rsidR="000028D1" w:rsidRDefault="00000000" w:rsidP="00B8569A">
      <w:pPr>
        <w:pStyle w:val="font-claude-response-body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028D1">
        <w:t>Caveat: unpublished/non-peer-reviewed IEB working paper — cite with appropriate hedging (“a working paper finds...”) rather than as a settled, peer-reviewed fact.</w:t>
      </w:r>
    </w:p>
    <w:p w14:paraId="3CA5797A" w14:textId="77777777" w:rsidR="000028D1" w:rsidRDefault="000028D1" w:rsidP="000028D1">
      <w:pPr>
        <w:pStyle w:val="font-claude-response-body"/>
      </w:pPr>
      <w:r>
        <w:rPr>
          <w:rStyle w:val="Strong"/>
        </w:rPr>
        <w:t>Text-as-data / NLP methods in economics:</w:t>
      </w:r>
    </w:p>
    <w:p w14:paraId="2CC61657" w14:textId="77777777" w:rsidR="00B8569A" w:rsidRDefault="000028D1" w:rsidP="000028D1">
      <w:pPr>
        <w:pStyle w:val="font-claude-response-body"/>
      </w:pPr>
      <w:r>
        <w:t xml:space="preserve">Gentzkow, M., &amp; Shapiro, J. M. (2010). "What Drives Media Slant? Evidence from U.S. Daily Newspapers." </w:t>
      </w:r>
      <w:proofErr w:type="spellStart"/>
      <w:r>
        <w:rPr>
          <w:rStyle w:val="Emphasis"/>
        </w:rPr>
        <w:t>Econometrica</w:t>
      </w:r>
      <w:proofErr w:type="spellEnd"/>
      <w:r>
        <w:t xml:space="preserve">, 78(1), 35–71. </w:t>
      </w:r>
    </w:p>
    <w:p w14:paraId="0859272A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finding: ~20% of cross-outlet variation in their text-based partisan-slant index is explained by reader/demand-side preferences (outlets responding to audience ideology); owner identity explains far less. Directly relevant for Discussion when interpreting why outlet political lean predicts attribution framing in our data: consistent with a demand-driven (not ownership-driven) explanation for editorial choices on climate framing.</w:t>
      </w:r>
    </w:p>
    <w:p w14:paraId="5F401E1E" w14:textId="706CB00F" w:rsidR="000028D1" w:rsidRDefault="000028D1" w:rsidP="00B8569A">
      <w:pPr>
        <w:pStyle w:val="font-claude-response-body"/>
        <w:numPr>
          <w:ilvl w:val="0"/>
          <w:numId w:val="1"/>
        </w:numPr>
      </w:pPr>
      <w:r>
        <w:t xml:space="preserve">Methodological contrast for Related Literature/Methods: they construct slant </w:t>
      </w:r>
      <w:r w:rsidR="00112D75">
        <w:t>from the text itself</w:t>
      </w:r>
      <w:r>
        <w:t xml:space="preserve"> (frequency of phrases used by congressional R's vs. D's in a newspaper's own coverage); we instead import third-party, pre-existing political-lean </w:t>
      </w:r>
      <w:r w:rsidR="00112D75">
        <w:t>ratings</w:t>
      </w:r>
      <w:r>
        <w:t xml:space="preserve"> (</w:t>
      </w:r>
      <w:proofErr w:type="spellStart"/>
      <w:r>
        <w:t>AllSides</w:t>
      </w:r>
      <w:proofErr w:type="spellEnd"/>
      <w:r>
        <w:t>, Ad Fontes) joined by domain — worth explicitly noting as a deliberate choice with trade-offs (no circularity vs. only 33 of 135 domains in our sample being individually rated).</w:t>
      </w:r>
    </w:p>
    <w:p w14:paraId="39D05704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Historical/foundational citation: the canonical demonstration that media political orientation can be measured quantitatively and systematically from text — cite early as the intellectual basis for treating “outlet lean” as a measurable variable at all.</w:t>
      </w:r>
    </w:p>
    <w:p w14:paraId="17889782" w14:textId="77777777" w:rsidR="00B8569A" w:rsidRDefault="000028D1" w:rsidP="000028D1">
      <w:pPr>
        <w:pStyle w:val="font-claude-response-body"/>
      </w:pPr>
      <w:r>
        <w:t xml:space="preserve">Gentzkow, M., Kelly, B., &amp; Taddy, M. (2019). "Text as Data." </w:t>
      </w:r>
      <w:r>
        <w:rPr>
          <w:rStyle w:val="Emphasis"/>
        </w:rPr>
        <w:t>Journal of Economic Literature</w:t>
      </w:r>
      <w:r>
        <w:t xml:space="preserve">, 57(3), 535–574. </w:t>
      </w:r>
    </w:p>
    <w:p w14:paraId="23089912" w14:textId="0014A157" w:rsidR="000028D1" w:rsidRDefault="000028D1" w:rsidP="00B8569A">
      <w:pPr>
        <w:pStyle w:val="font-claude-response-body"/>
        <w:numPr>
          <w:ilvl w:val="0"/>
          <w:numId w:val="1"/>
        </w:numPr>
      </w:pPr>
      <w:r>
        <w:t>The standard methods citation for any text-as-data economics paper</w:t>
      </w:r>
    </w:p>
    <w:p w14:paraId="08A7006F" w14:textId="2843B8AC" w:rsidR="000028D1" w:rsidRDefault="000028D1" w:rsidP="00B8569A">
      <w:pPr>
        <w:pStyle w:val="font-claude-response-body"/>
        <w:numPr>
          <w:ilvl w:val="0"/>
          <w:numId w:val="1"/>
        </w:numPr>
      </w:pPr>
      <w:r>
        <w:t xml:space="preserve">Provides the standard three-step text-as-data framework: (1) represent raw text as a numerical array, (2) map that array to predicted values of an unknown outcome, (3) use those predicted values in further descriptive/causal analysis. </w:t>
      </w:r>
      <w:r w:rsidR="0058528D">
        <w:t xml:space="preserve">My </w:t>
      </w:r>
      <w:r>
        <w:t xml:space="preserve">pipeline maps onto </w:t>
      </w:r>
      <w:r>
        <w:lastRenderedPageBreak/>
        <w:t>this— (1) full article text, (2) LLM-predicted Relevance/Attribution category and score, (3) aggregation into AttributionIndex_d and the Stage 3 regressions. Use this framing explicitly in Methods section to situate LLM-coding approach within an established taxonomy.</w:t>
      </w:r>
    </w:p>
    <w:p w14:paraId="09C85CD9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They note most applications to date rely on ad hoc dictionary methods or penalized regression, with prediction (not interpreting the mapping itself) usually the goal; published in 2019, before the LLM-as-classifier wave. Worth flagging in Discussion/Conclusion as a methodological contribution of our paper: using an LLM with a detailed codebook (closer to a sophisticated classifier than either dictionary or classic ML methods) for causal-attribution classification specifically.</w:t>
      </w:r>
    </w:p>
    <w:p w14:paraId="669E9EFC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Obligatory general methods citation — cite early in the Methods section whenever describing the LLM-coding pipeline as a text-as-data application.</w:t>
      </w:r>
    </w:p>
    <w:p w14:paraId="1BE50369" w14:textId="77777777" w:rsidR="000028D1" w:rsidRDefault="000028D1" w:rsidP="000028D1">
      <w:pPr>
        <w:pStyle w:val="font-claude-response-body"/>
      </w:pPr>
      <w:r>
        <w:rPr>
          <w:rStyle w:val="Strong"/>
        </w:rPr>
        <w:t>Political economy of climate policy / local media markets:</w:t>
      </w:r>
    </w:p>
    <w:p w14:paraId="107E5564" w14:textId="77777777" w:rsidR="00B8569A" w:rsidRDefault="000028D1" w:rsidP="000028D1">
      <w:pPr>
        <w:pStyle w:val="font-claude-response-body"/>
      </w:pPr>
      <w:r w:rsidRPr="000028D1">
        <w:rPr>
          <w:lang w:val="de-DE"/>
        </w:rPr>
        <w:t xml:space="preserve">Ellger, F., Hilbig, H., Riaz, S., &amp; Tillmann, P. (2024). </w:t>
      </w:r>
      <w:r>
        <w:t xml:space="preserve">"Local Newspaper Decline and Political Polarization – Evidence from a Multi-Party Setting." </w:t>
      </w:r>
      <w:r>
        <w:rPr>
          <w:rStyle w:val="Emphasis"/>
        </w:rPr>
        <w:t>British Journal of Political Science</w:t>
      </w:r>
      <w:r>
        <w:t xml:space="preserve">, 54(4), 1256–1275. </w:t>
      </w:r>
    </w:p>
    <w:p w14:paraId="3BC08BA4" w14:textId="54DE5750" w:rsidR="000028D1" w:rsidRDefault="000028D1" w:rsidP="00B8569A">
      <w:pPr>
        <w:pStyle w:val="font-claude-response-body"/>
        <w:numPr>
          <w:ilvl w:val="0"/>
          <w:numId w:val="1"/>
        </w:numPr>
      </w:pPr>
      <w:r>
        <w:t>Directly relevant to your national-vs-local outlet finding and the "local news substituting toward national/polarized coverage" mechanism that could explain why your lean effect is concentrated in national outlets.</w:t>
      </w:r>
    </w:p>
    <w:p w14:paraId="6E46258D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Key finding (Germany, 1980–2009 panel, difference-in-differences): local newspaper exits increase electoral polarization; the mechanism is that consumers substitute local news with NATIONAL TABLOID news after a local outlet closes. Directly relevant candidate explanation for our own finding (Section K.9) that the outlet-lean effect on attribution framing is concentrated in national outlets and not detectable among local-only articles — consistent with local-news audiences being less politically sorted to begin with.</w:t>
      </w:r>
    </w:p>
    <w:p w14:paraId="141B83AB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Confirms the mechanism extends beyond the U.S. (German multiparty context) — useful for Introduction/Related Literature to note that “national outlets substituting for local coverage, increasing polarization” is not US-specific or two-party-specific, strengthening the generalizability of citing it as an explanation for our national-vs-local result.</w:t>
      </w:r>
    </w:p>
    <w:p w14:paraId="7E96EABE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Use as the key empirical anchor for Related Literature's political-economy/local-media paragraph: establishes that the national/local divide matters for political content and polarization broadly; we extend this to climate-attribution framing specifically as a new domain.</w:t>
      </w:r>
    </w:p>
    <w:p w14:paraId="57E2B8C4" w14:textId="77777777" w:rsidR="00B8569A" w:rsidRDefault="000028D1" w:rsidP="000028D1">
      <w:pPr>
        <w:pStyle w:val="font-claude-response-body"/>
      </w:pPr>
      <w:r>
        <w:t xml:space="preserve">Egan, P. J., &amp; Mullin, M. (2012). "Turning Personal Experience into Political Attitudes: The Effect of Local Weather on Americans' Perceptions about Global Warming." </w:t>
      </w:r>
      <w:r>
        <w:rPr>
          <w:rStyle w:val="Emphasis"/>
        </w:rPr>
        <w:t>Journal of Politics</w:t>
      </w:r>
      <w:r>
        <w:t xml:space="preserve">, 74(3), 796–809. </w:t>
      </w:r>
    </w:p>
    <w:p w14:paraId="64B9EAC4" w14:textId="4C7CB064" w:rsidR="000028D1" w:rsidRDefault="000028D1" w:rsidP="00B8569A">
      <w:pPr>
        <w:pStyle w:val="font-claude-response-body"/>
        <w:numPr>
          <w:ilvl w:val="0"/>
          <w:numId w:val="1"/>
        </w:numPr>
      </w:pPr>
      <w:r>
        <w:t>Good for the geography section — local conditions shaping climate beliefs, which is the demand-side mirror of your outlet-supply-side analysis.</w:t>
      </w:r>
    </w:p>
    <w:p w14:paraId="7EB880FE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 xml:space="preserve">Key finding: each 3.1°F that local temperature in the past week exceeds normal is associated with a 1 percentage-point increase in the probability of agreeing there is “solid </w:t>
      </w:r>
      <w:r>
        <w:lastRenderedPageBreak/>
        <w:t>evidence” of global warming; effect is short-lived (essentially gone beyond ~12 days) and largest among the least educated and those with weaker partisan attachment. A demand-side complement to our supply-side (outlet) finding — local conditions shape audience beliefs in the short run, a plausible micro-foundation for why local outlets might also be responsive to locally-salient weather framing, though they study individual beliefs, not media content.</w:t>
      </w:r>
    </w:p>
    <w:p w14:paraId="073987CA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Methodological precedent worth noting for Discussion/Conclusion limitations: they exploit quasi-random local weather variation to avoid the standard self-report/selection problems in studying experience-to-attitude links, a cleaner identification strategy than our own largely correlational/cross-sectional geography and outlet-lean findings.</w:t>
      </w:r>
    </w:p>
    <w:p w14:paraId="451AF912" w14:textId="77777777" w:rsidR="000028D1" w:rsidRDefault="000028D1" w:rsidP="00B8569A">
      <w:pPr>
        <w:pStyle w:val="font-claude-response-body"/>
        <w:numPr>
          <w:ilvl w:val="0"/>
          <w:numId w:val="1"/>
        </w:numPr>
      </w:pPr>
      <w:r>
        <w:t>Pairs well with Gallagher (above) for the Introduction: local conditions (Egan &amp; Mullin) and media market (Gallagher) both independently shape climate/risk-relevant beliefs — motivates testing both channels (geography and outlet characteristics) on media content itself, which is what this paper does.</w:t>
      </w:r>
    </w:p>
    <w:p w14:paraId="03B4322A" w14:textId="77777777" w:rsidR="000028D1" w:rsidRDefault="000028D1"/>
    <w:sectPr w:rsidR="00002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A6D5A"/>
    <w:multiLevelType w:val="hybridMultilevel"/>
    <w:tmpl w:val="C6B0EA14"/>
    <w:lvl w:ilvl="0" w:tplc="0700E8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04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D1"/>
    <w:rsid w:val="000028D1"/>
    <w:rsid w:val="00112D75"/>
    <w:rsid w:val="004C316B"/>
    <w:rsid w:val="0058528D"/>
    <w:rsid w:val="00B8569A"/>
    <w:rsid w:val="00C97E9F"/>
    <w:rsid w:val="00E4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7B1DA"/>
  <w15:chartTrackingRefBased/>
  <w15:docId w15:val="{FEF3CCA0-9AF7-6D40-BBC4-97BABD84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D1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D1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D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02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28D1"/>
    <w:rPr>
      <w:b/>
      <w:bCs/>
    </w:rPr>
  </w:style>
  <w:style w:type="character" w:styleId="Emphasis">
    <w:name w:val="Emphasis"/>
    <w:basedOn w:val="DefaultParagraphFont"/>
    <w:uiPriority w:val="20"/>
    <w:qFormat/>
    <w:rsid w:val="000028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2488</Words>
  <Characters>14187</Characters>
  <Application>Microsoft Office Word</Application>
  <DocSecurity>0</DocSecurity>
  <Lines>118</Lines>
  <Paragraphs>33</Paragraphs>
  <ScaleCrop>false</ScaleCrop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Gunda</dc:creator>
  <cp:keywords/>
  <dc:description/>
  <cp:lastModifiedBy>Hari Gunda</cp:lastModifiedBy>
  <cp:revision>6</cp:revision>
  <dcterms:created xsi:type="dcterms:W3CDTF">2026-06-22T03:34:00Z</dcterms:created>
  <dcterms:modified xsi:type="dcterms:W3CDTF">2026-06-22T22:37:00Z</dcterms:modified>
</cp:coreProperties>
</file>