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Literature Review Source List</w:t>
      </w:r>
    </w:p>
    <w:p>
      <w:pPr>
        <w:spacing w:after="400"/>
      </w:pPr>
      <w:r>
        <w:rPr>
          <w:i/>
          <w:iCs/>
        </w:rPr>
        <w:t xml:space="preserve">Smoke and Strife: Wind-Instrumented Fire Exposure and Social Conflict in Indonesia</w:t>
      </w:r>
    </w:p>
    <w:p>
      <w:pPr>
        <w:pStyle w:val="Heading1"/>
      </w:pPr>
      <w:r>
        <w:t xml:space="preserve">1. Currently Cited in the Draft (references.bib)</w:t>
      </w:r>
    </w:p>
    <w:p>
      <w:pPr>
        <w:spacing w:after="160"/>
      </w:pPr>
      <w:r>
        <w:t xml:space="preserve">These six sources are already cited in draft.tex. They are listed here for completeness so this document can serve as a single master list while you write the literature review.</w:t>
      </w:r>
    </w:p>
    <w:p>
      <w:pPr>
        <w:pStyle w:val="ListParagraph"/>
        <w:numPr>
          <w:ilvl w:val="0"/>
          <w:numId w:val="2"/>
        </w:numPr>
        <w:spacing w:after="60"/>
      </w:pPr>
      <w:r>
        <w:rPr>
          <w:b/>
          <w:bCs/>
        </w:rPr>
        <w:t xml:space="preserve">Conley, T. G. (1999). GMM estimation with cross sectional dependence. Journal of Econometrics, 92(1), 1–45.</w:t>
      </w:r>
    </w:p>
    <w:p>
      <w:pPr>
        <w:spacing w:after="200"/>
        <w:ind w:left="720"/>
      </w:pPr>
      <w:r>
        <w:rPr>
          <w:i/>
          <w:iCs/>
        </w:rPr>
        <w:t xml:space="preserve">Methodological source for the Conley spatial-correlation standard errors implemented in Section 4.7.</w:t>
      </w:r>
    </w:p>
    <w:p>
      <w:pPr>
        <w:pStyle w:val="ListParagraph"/>
        <w:numPr>
          <w:ilvl w:val="0"/>
          <w:numId w:val="2"/>
        </w:numPr>
        <w:spacing w:after="60"/>
      </w:pPr>
      <w:r>
        <w:rPr>
          <w:b/>
          <w:bCs/>
        </w:rPr>
        <w:t xml:space="preserve">Hsiang, S. M., Burke, M., &amp; Miguel, E. (2013). Quantifying the influence of climate on human conflict. Science, 341(6151), 1235367.</w:t>
      </w:r>
    </w:p>
    <w:p>
      <w:pPr>
        <w:spacing w:after="200"/>
        <w:ind w:left="720"/>
      </w:pPr>
      <w:r>
        <w:rPr>
          <w:i/>
          <w:iCs/>
        </w:rPr>
        <w:t xml:space="preserve">Foundational meta-analysis establishing the broad climate–conflict link; cited in the intro and discussion as the literature whose typical (positive) sign this paper's result runs counter to.</w:t>
      </w:r>
    </w:p>
    <w:p>
      <w:pPr>
        <w:pStyle w:val="ListParagraph"/>
        <w:numPr>
          <w:ilvl w:val="0"/>
          <w:numId w:val="2"/>
        </w:numPr>
        <w:spacing w:after="60"/>
      </w:pPr>
      <w:r>
        <w:rPr>
          <w:b/>
          <w:bCs/>
        </w:rPr>
        <w:t xml:space="preserve">Lu, J., &amp; Yamazaki, S. (2023). Fish to fight: Climate, marine resources, and conflict. World Development.</w:t>
      </w:r>
    </w:p>
    <w:p>
      <w:pPr>
        <w:spacing w:after="200"/>
        <w:ind w:left="720"/>
      </w:pPr>
      <w:r>
        <w:rPr>
          <w:i/>
          <w:iCs/>
        </w:rPr>
        <w:t xml:space="preserve">Source of the Poisson IV control-function approach used for the zero-inflated count outcomes (Section 4.5); also the source of the Conley-SE precedent mentioned in the discussion.</w:t>
      </w:r>
    </w:p>
    <w:p>
      <w:pPr>
        <w:pStyle w:val="ListParagraph"/>
        <w:numPr>
          <w:ilvl w:val="0"/>
          <w:numId w:val="2"/>
        </w:numPr>
        <w:spacing w:after="60"/>
      </w:pPr>
      <w:r>
        <w:rPr>
          <w:b/>
          <w:bCs/>
        </w:rPr>
        <w:t xml:space="preserve">Montiel Olea, J. L., &amp; Pflueger, C. (2013). A robust test for weak instruments. Journal of Business &amp; Economic Statistics, 31(3), 358–369.</w:t>
      </w:r>
    </w:p>
    <w:p>
      <w:pPr>
        <w:spacing w:after="200"/>
        <w:ind w:left="720"/>
      </w:pPr>
      <w:r>
        <w:rPr>
          <w:i/>
          <w:iCs/>
        </w:rPr>
        <w:t xml:space="preserve">Source of the 5%-worst-case-bias weak-instrument threshold (F ≥ 104.7) used to evaluate first-stage strength.</w:t>
      </w:r>
    </w:p>
    <w:p>
      <w:pPr>
        <w:pStyle w:val="ListParagraph"/>
        <w:numPr>
          <w:ilvl w:val="0"/>
          <w:numId w:val="2"/>
        </w:numPr>
        <w:spacing w:after="60"/>
      </w:pPr>
      <w:r>
        <w:rPr>
          <w:b/>
          <w:bCs/>
        </w:rPr>
        <w:t xml:space="preserve">Stock, J. H., &amp; Yogo, M. (2005). Testing for weak instruments in linear IV regression. In Identification and Inference for Econometric Models, 80–108. Cambridge University Press.</w:t>
      </w:r>
    </w:p>
    <w:p>
      <w:pPr>
        <w:spacing w:after="200"/>
        <w:ind w:left="720"/>
      </w:pPr>
      <w:r>
        <w:rPr>
          <w:i/>
          <w:iCs/>
        </w:rPr>
        <w:t xml:space="preserve">Companion weak-instrument testing reference alongside Montiel Olea &amp; Pflueger.</w:t>
      </w:r>
    </w:p>
    <w:p>
      <w:pPr>
        <w:pStyle w:val="ListParagraph"/>
        <w:numPr>
          <w:ilvl w:val="0"/>
          <w:numId w:val="2"/>
        </w:numPr>
        <w:spacing w:after="60"/>
      </w:pPr>
      <w:r>
        <w:rPr>
          <w:b/>
          <w:bCs/>
        </w:rPr>
        <w:t xml:space="preserve">Wooldridge, J. M. (2010). Econometric Analysis of Cross Section and Panel Data (2nd ed.). MIT Press.</w:t>
      </w:r>
    </w:p>
    <w:p>
      <w:pPr>
        <w:spacing w:after="200"/>
        <w:ind w:left="720"/>
      </w:pPr>
      <w:r>
        <w:rPr>
          <w:i/>
          <w:iCs/>
        </w:rPr>
        <w:t xml:space="preserve">General panel-data/control-function methodology reference underlying the Poisson IV control-function specification.</w:t>
      </w:r>
    </w:p>
    <w:p>
      <w:pPr>
        <w:spacing w:after="80"/>
      </w:pPr>
    </w:p>
    <w:p>
      <w:pPr>
        <w:pStyle w:val="Heading1"/>
      </w:pPr>
      <w:r>
        <w:t xml:space="preserve">2. Recommended Additional Reading</w:t>
      </w:r>
    </w:p>
    <w:p>
      <w:pPr>
        <w:spacing w:after="160"/>
      </w:pPr>
      <w:r>
        <w:t xml:space="preserve">Organized by theme. The first group (2A) is the most directly relevant to your empirical design — papers that use a wind-direction or similar exogenous-transport instrument to identify the causal effect of pollution exposure on a social/behavioral outcome. The remaining groups provide broader context for a literature review: the climate–conflict literature your result contrasts with, and the Indonesia-haze health/economics literature that supports your framing of fire activity as a proxy for pollution exposure.</w:t>
      </w:r>
    </w:p>
    <w:p>
      <w:pPr>
        <w:pStyle w:val="Heading2"/>
      </w:pPr>
      <w:r>
        <w:t xml:space="preserve">2A. Wind-instrumented pollution exposure (closest methodological precedents)</w:t>
      </w:r>
    </w:p>
    <w:p>
      <w:pPr>
        <w:pStyle w:val="ListParagraph"/>
        <w:numPr>
          <w:ilvl w:val="0"/>
          <w:numId w:val="2"/>
        </w:numPr>
        <w:spacing w:after="60"/>
      </w:pPr>
      <w:r>
        <w:rPr>
          <w:b/>
          <w:bCs/>
        </w:rPr>
        <w:t xml:space="preserve">Herrnstadt, E., Heyes, A., Muehlegger, E., &amp; Saberian, S. (2021). Air pollution and criminal activity: Microgeographic evidence from Chicago. American Economic Journal: Applied Economics, 13(4), 70–100.</w:t>
      </w:r>
    </w:p>
    <w:p>
      <w:pPr>
        <w:spacing w:after="200"/>
        <w:ind w:left="720"/>
      </w:pPr>
      <w:r>
        <w:rPr>
          <w:i/>
          <w:iCs/>
        </w:rPr>
        <w:t xml:space="preserve">Closest methodological precedent in this list: instruments for pollution exposure using the interaction of wind direction with proximity to a known pollution source (highways), then estimates effects on violent crime. Very similar identification logic to your upwind-FRP instrument; worth discussing explicitly as the paper your design most resembles outside the climate-conflict literature.</w:t>
      </w:r>
    </w:p>
    <w:p>
      <w:pPr>
        <w:pStyle w:val="ListParagraph"/>
        <w:numPr>
          <w:ilvl w:val="0"/>
          <w:numId w:val="2"/>
        </w:numPr>
        <w:spacing w:after="60"/>
      </w:pPr>
      <w:r>
        <w:rPr>
          <w:b/>
          <w:bCs/>
        </w:rPr>
        <w:t xml:space="preserve">Burkhardt, J., Bayham, J., Wilson, A., Carter, E., Berman, J. D., O'Dell, K., Ford, B., Fischer, E. V., &amp; Pierce, J. R. (2019). The effect of pollution on crime: Evidence from data on particulate matter and ozone. Journal of Environmental Economics and Management, 98, 102267.</w:t>
      </w:r>
    </w:p>
    <w:p>
      <w:pPr>
        <w:spacing w:after="200"/>
        <w:ind w:left="720"/>
      </w:pPr>
      <w:r>
        <w:rPr>
          <w:i/>
          <w:iCs/>
        </w:rPr>
        <w:t xml:space="preserve">Estimates effects of PM10 and ozone on violent and property crime across U.S. counties; useful for benchmarking effect sizes and for the pollution-and-behavior mechanism discussion.</w:t>
      </w:r>
    </w:p>
    <w:p>
      <w:pPr>
        <w:pStyle w:val="ListParagraph"/>
        <w:numPr>
          <w:ilvl w:val="0"/>
          <w:numId w:val="2"/>
        </w:numPr>
        <w:spacing w:after="60"/>
      </w:pPr>
      <w:r>
        <w:rPr>
          <w:b/>
          <w:bCs/>
        </w:rPr>
        <w:t xml:space="preserve">Bondy, M., Roth, S., &amp; Sager, L. (2020). Crime is in the air: The contemporaneous relationship between air pollution and crime. Journal of the Association of Environmental and Resource Economists, 7(3), 555–585.</w:t>
      </w:r>
    </w:p>
    <w:p>
      <w:pPr>
        <w:spacing w:after="200"/>
        <w:ind w:left="720"/>
      </w:pPr>
      <w:r>
        <w:rPr>
          <w:i/>
          <w:iCs/>
        </w:rPr>
        <w:t xml:space="preserve">UK-based (London) study of air quality and crime using a similar reduced-form panel approach; useful comparison point for magnitudes and for framing the disruption-of-behavior mechanism.</w:t>
      </w:r>
    </w:p>
    <w:p>
      <w:pPr>
        <w:pStyle w:val="Heading2"/>
      </w:pPr>
      <w:r>
        <w:t xml:space="preserve">2B. Climate and conflict (the literature this paper's sign contradicts)</w:t>
      </w:r>
    </w:p>
    <w:p>
      <w:pPr>
        <w:pStyle w:val="ListParagraph"/>
        <w:numPr>
          <w:ilvl w:val="0"/>
          <w:numId w:val="2"/>
        </w:numPr>
        <w:spacing w:after="60"/>
      </w:pPr>
      <w:r>
        <w:rPr>
          <w:b/>
          <w:bCs/>
        </w:rPr>
        <w:t xml:space="preserve">Burke, M., Hsiang, S. M., &amp; Miguel, E. (2015). Climate and conflict. Annual Review of Economics, 7(1), 577–617.</w:t>
      </w:r>
    </w:p>
    <w:p>
      <w:pPr>
        <w:spacing w:after="200"/>
        <w:ind w:left="720"/>
      </w:pPr>
      <w:r>
        <w:rPr>
          <w:i/>
          <w:iCs/>
        </w:rPr>
        <w:t xml:space="preserve">The standard review article for this literature; should likely anchor your related-literature section's opening paragraph. Surveys the dominant finding that adverse climate shocks increase conflict, against which your negative result is a useful contrast.</w:t>
      </w:r>
    </w:p>
    <w:p>
      <w:pPr>
        <w:pStyle w:val="ListParagraph"/>
        <w:numPr>
          <w:ilvl w:val="0"/>
          <w:numId w:val="2"/>
        </w:numPr>
        <w:spacing w:after="60"/>
      </w:pPr>
      <w:r>
        <w:rPr>
          <w:b/>
          <w:bCs/>
        </w:rPr>
        <w:t xml:space="preserve">Hsiang, S. M., Meng, K. C., &amp; Cane, M. A. (2011). Civil conflicts are associated with the global climate. Nature, 476(7361), 438–441.</w:t>
      </w:r>
    </w:p>
    <w:p>
      <w:pPr>
        <w:spacing w:after="200"/>
        <w:ind w:left="720"/>
      </w:pPr>
      <w:r>
        <w:rPr>
          <w:i/>
          <w:iCs/>
        </w:rPr>
        <w:t xml:space="preserve">Uses ENSO as a global instrument for climate variation and finds El Niño years roughly double civil-conflict onset risk in the tropics — directly relevant since Indonesian fire activity is itself heavily ENSO-modulated (you note this in Section 6).</w:t>
      </w:r>
    </w:p>
    <w:p>
      <w:pPr>
        <w:pStyle w:val="ListParagraph"/>
        <w:numPr>
          <w:ilvl w:val="0"/>
          <w:numId w:val="2"/>
        </w:numPr>
        <w:spacing w:after="60"/>
      </w:pPr>
      <w:r>
        <w:rPr>
          <w:b/>
          <w:bCs/>
        </w:rPr>
        <w:t xml:space="preserve">Miguel, E., Satyanath, S., &amp; Sergenti, E. (2004). Economic shocks and civil conflict: An instrumental variables approach. Journal of Political Economy, 112(4), 725–753.</w:t>
      </w:r>
    </w:p>
    <w:p>
      <w:pPr>
        <w:spacing w:after="200"/>
        <w:ind w:left="720"/>
      </w:pPr>
      <w:r>
        <w:rPr>
          <w:i/>
          <w:iCs/>
        </w:rPr>
        <w:t xml:space="preserve">Canonical rainfall-IV paper for economic-shock-driven conflict in Africa; useful as the template your wind-IV design is implicitly following (weather variable as an instrument for an economic/environmental shock to isolate exogenous variation).</w:t>
      </w:r>
    </w:p>
    <w:p>
      <w:pPr>
        <w:pStyle w:val="ListParagraph"/>
        <w:numPr>
          <w:ilvl w:val="0"/>
          <w:numId w:val="2"/>
        </w:numPr>
        <w:spacing w:after="60"/>
      </w:pPr>
      <w:r>
        <w:rPr>
          <w:b/>
          <w:bCs/>
        </w:rPr>
        <w:t xml:space="preserve">McGuirk, E. F., &amp; Nunn, N. (2025). Transhumant pastoralism, climate change, and conflict in Africa. Review of Economic Studies, 92(1), 404–442. (Already in your literature/ folder.)</w:t>
      </w:r>
    </w:p>
    <w:p>
      <w:pPr>
        <w:spacing w:after="200"/>
        <w:ind w:left="720"/>
      </w:pPr>
      <w:r>
        <w:rPr>
          <w:i/>
          <w:iCs/>
        </w:rPr>
        <w:t xml:space="preserve">Another rainfall-driven conflict paper with a clear, testable mechanism (migration timing) — a good model for how to argue for a specific mechanism (your disruption-of-assembly story) rather than a generic climate-conflict claim.</w:t>
      </w:r>
    </w:p>
    <w:p>
      <w:pPr>
        <w:pStyle w:val="Heading2"/>
      </w:pPr>
      <w:r>
        <w:t xml:space="preserve">2C. Indonesia haze and pollution exposure (substantive background)</w:t>
      </w:r>
    </w:p>
    <w:p>
      <w:pPr>
        <w:pStyle w:val="ListParagraph"/>
        <w:numPr>
          <w:ilvl w:val="0"/>
          <w:numId w:val="2"/>
        </w:numPr>
        <w:spacing w:after="60"/>
      </w:pPr>
      <w:r>
        <w:rPr>
          <w:b/>
          <w:bCs/>
        </w:rPr>
        <w:t xml:space="preserve">Jayachandran, S. (2009). Air quality and early-life mortality: Evidence from Indonesia's wildfires. Journal of Human Resources, 44(4), 916–954.</w:t>
      </w:r>
    </w:p>
    <w:p>
      <w:pPr>
        <w:spacing w:after="200"/>
        <w:ind w:left="720"/>
      </w:pPr>
      <w:r>
        <w:rPr>
          <w:i/>
          <w:iCs/>
        </w:rPr>
        <w:t xml:space="preserve">The classic economics paper on Indonesia's 1997 wildfire smoke, finding large infant-mortality effects. Strongly recommended as a citation in your introduction/data section to establish that fire-driven haze in Indonesia is a well-documented, severe exposure — not a niche or speculative treatment variable.</w:t>
      </w:r>
    </w:p>
    <w:p>
      <w:pPr>
        <w:pStyle w:val="ListParagraph"/>
        <w:numPr>
          <w:ilvl w:val="0"/>
          <w:numId w:val="2"/>
        </w:numPr>
        <w:spacing w:after="60"/>
      </w:pPr>
      <w:r>
        <w:rPr>
          <w:b/>
          <w:bCs/>
        </w:rPr>
        <w:t xml:space="preserve">Marlier, M. E., DeFries, R. S., Voulgarakis, A., Kinney, P. L., Randerson, J. T., Shindell, D. T., Chen, Y., &amp; Faluvegi, G. (2013). El Niño and health risks from landscape fire emissions in southeast Asia. Nature Climate Change, 3, 131–136.</w:t>
      </w:r>
    </w:p>
    <w:p>
      <w:pPr>
        <w:spacing w:after="200"/>
        <w:ind w:left="720"/>
      </w:pPr>
      <w:r>
        <w:rPr>
          <w:i/>
          <w:iCs/>
        </w:rPr>
        <w:t xml:space="preserve">Links El Niño-driven Indonesian/SE Asian fire emissions to regional cardiovascular mortality; reinforces the ENSO-fire-pollution chain referenced in your future-research section.</w:t>
      </w:r>
    </w:p>
    <w:p>
      <w:pPr>
        <w:pStyle w:val="ListParagraph"/>
        <w:numPr>
          <w:ilvl w:val="0"/>
          <w:numId w:val="2"/>
        </w:numPr>
        <w:spacing w:after="60"/>
      </w:pPr>
      <w:r>
        <w:rPr>
          <w:b/>
          <w:bCs/>
        </w:rPr>
        <w:t xml:space="preserve">(Already in your literature/ folder) The impact of Indonesian forest fires on Singaporean pollution and health.</w:t>
      </w:r>
    </w:p>
    <w:p>
      <w:pPr>
        <w:spacing w:after="200"/>
        <w:ind w:left="720"/>
      </w:pPr>
      <w:r>
        <w:rPr>
          <w:i/>
          <w:iCs/>
        </w:rPr>
        <w:t xml:space="preserve">You already have this; it documents the transboundary haze impact this paper's instrument is built around, just observed from the Singapore side of the smoke plume.</w:t>
      </w:r>
    </w:p>
    <w:p>
      <w:pPr>
        <w:pStyle w:val="Heading2"/>
      </w:pPr>
      <w:r>
        <w:t xml:space="preserve">2D. Conflict/protest measurement methodology (secondary, optional)</w:t>
      </w:r>
    </w:p>
    <w:p>
      <w:pPr>
        <w:pStyle w:val="ListParagraph"/>
        <w:numPr>
          <w:ilvl w:val="0"/>
          <w:numId w:val="2"/>
        </w:numPr>
        <w:spacing w:after="60"/>
      </w:pPr>
      <w:r>
        <w:rPr>
          <w:b/>
          <w:bCs/>
        </w:rPr>
        <w:t xml:space="preserve">Warnke, K., &amp; Runfola, D. (2024). Predicting protests and riots in urban environments with satellite imagery and deep learning. Transactions in GIS, 28(8), 2309–2330. (Already in your literature/ folder.)</w:t>
      </w:r>
    </w:p>
    <w:p>
      <w:pPr>
        <w:spacing w:after="200"/>
        <w:ind w:left="720"/>
      </w:pPr>
      <w:r>
        <w:rPr>
          <w:i/>
          <w:iCs/>
        </w:rPr>
        <w:t xml:space="preserve">Not directly about climate/conflict, but relevant if you discuss alternative or complementary ways of measuring/validating protest activity beyond ACLED event coding — optional unless you want a measurement-robustness discussion.</w:t>
      </w:r>
    </w:p>
    <w:p>
      <w:pPr>
        <w:spacing w:after="80"/>
      </w:pPr>
    </w:p>
    <w:p>
      <w:pPr>
        <w:pStyle w:val="Heading1"/>
      </w:pPr>
      <w:r>
        <w:t xml:space="preserve">3. Notes on Your Existing literature/ Folder</w:t>
      </w:r>
    </w:p>
    <w:p>
      <w:pPr>
        <w:pStyle w:val="ListParagraph"/>
        <w:numPr>
          <w:ilvl w:val="0"/>
          <w:numId w:val="3"/>
        </w:numPr>
        <w:spacing w:after="120"/>
      </w:pPr>
      <w:r>
        <w:t xml:space="preserve">fish-to-fight.pdf — this is Lu &amp; Yamazaki (2023), already cited (see Section 1 above).</w:t>
      </w:r>
    </w:p>
    <w:p>
      <w:pPr>
        <w:pStyle w:val="ListParagraph"/>
        <w:numPr>
          <w:ilvl w:val="0"/>
          <w:numId w:val="3"/>
        </w:numPr>
        <w:spacing w:after="120"/>
      </w:pPr>
      <w:r>
        <w:t xml:space="preserve">The impact of Indonesian forest fires on Singaporean pollution and health.pdf — relevant haze-health background; see Section 2C above.</w:t>
      </w:r>
    </w:p>
    <w:p>
      <w:pPr>
        <w:pStyle w:val="ListParagraph"/>
        <w:numPr>
          <w:ilvl w:val="0"/>
          <w:numId w:val="3"/>
        </w:numPr>
        <w:spacing w:after="120"/>
      </w:pPr>
      <w:r>
        <w:t xml:space="preserve">Transactions in GIS - 2024 - Warnke...pdf — this is Warnke &amp; Runfola (2024); see Section 2D above.</w:t>
      </w:r>
    </w:p>
    <w:p>
      <w:pPr>
        <w:pStyle w:val="ListParagraph"/>
        <w:numPr>
          <w:ilvl w:val="0"/>
          <w:numId w:val="3"/>
        </w:numPr>
        <w:spacing w:after="120"/>
      </w:pPr>
      <w:r>
        <w:t xml:space="preserve">transhumant pastoralism NBER.pdf — this is McGuirk &amp; Nunn; see Section 2B above.</w:t>
      </w:r>
    </w:p>
    <w:p>
      <w:pPr>
        <w:pStyle w:val="ListParagraph"/>
        <w:numPr>
          <w:ilvl w:val="0"/>
          <w:numId w:val="3"/>
        </w:numPr>
        <w:spacing w:after="120"/>
      </w:pPr>
      <w:r>
        <w:t xml:space="preserve">protestsreview_draft (1).pdf — appears to be a review draft on protest/conflict literature; worth re-reading directly since I could not confirm its authorship/citation from a web search — check whether it's your own prior draft or a downloaded review article.</w:t>
      </w:r>
    </w:p>
    <w:p>
      <w:pPr>
        <w:pStyle w:val="ListParagraph"/>
        <w:numPr>
          <w:ilvl w:val="0"/>
          <w:numId w:val="3"/>
        </w:numPr>
        <w:spacing w:after="120"/>
      </w:pPr>
      <w:r>
        <w:t xml:space="preserve">Leveraging Data Science to Advance Implementation Science.pdf — this appears to be about implementation science methodology (a public-health/program-evaluation field), not climate, conflict, or pollution economics. Likely not relevant to this paper — worth confirming whether it was saved for a different project.</w:t>
      </w:r>
    </w:p>
    <w:p>
      <w:pPr>
        <w:spacing w:after="80"/>
      </w:pPr>
    </w:p>
    <w:p>
      <w:pPr>
        <w:pStyle w:val="Heading1"/>
      </w:pPr>
      <w:r>
        <w:t xml:space="preserve">4. Suggested Structure for the Literature Review Section</w:t>
      </w:r>
    </w:p>
    <w:p>
      <w:pPr>
        <w:spacing w:after="160"/>
      </w:pPr>
      <w:r>
        <w:t xml:space="preserve">A short related-literature subsection (roughly half a page) in or after the Introduction, organized around three threads, would likely read well:</w:t>
      </w:r>
    </w:p>
    <w:p>
      <w:pPr>
        <w:pStyle w:val="ListParagraph"/>
        <w:numPr>
          <w:ilvl w:val="0"/>
          <w:numId w:val="3"/>
        </w:numPr>
        <w:spacing w:after="120"/>
      </w:pPr>
      <w:r>
        <w:rPr>
          <w:b/>
          <w:bCs/>
        </w:rPr>
        <w:t xml:space="preserve">Climate and conflict: </w:t>
      </w:r>
      <w:r>
        <w:t xml:space="preserve">open with Burke, Hsiang &amp; Miguel (2015) as the survey anchor, then Hsiang, Meng &amp; Cane (2011) and Miguel, Satyanath &amp; Sergenti (2004) as the two canonical empirical designs (ENSO and rainfall IV, respectively). Explicitly flag that this literature typically finds adverse environmental shocks increase conflict, which sets up your contrasting negative result.</w:t>
      </w:r>
    </w:p>
    <w:p>
      <w:pPr>
        <w:pStyle w:val="ListParagraph"/>
        <w:numPr>
          <w:ilvl w:val="0"/>
          <w:numId w:val="3"/>
        </w:numPr>
        <w:spacing w:after="120"/>
      </w:pPr>
      <w:r>
        <w:rPr>
          <w:b/>
          <w:bCs/>
        </w:rPr>
        <w:t xml:space="preserve">Pollution and behavior: </w:t>
      </w:r>
      <w:r>
        <w:t xml:space="preserve">Herrnstadt et al. (2021), Burkhardt et al. (2019), and Bondy, Roth &amp; Sager (2020) — these establish that air pollution causally affects social/criminal behavior through channels other than economic income shocks, which supports your disruption-of-assembly mechanism as plausible a priori, not just a post-hoc story fit to your results.</w:t>
      </w:r>
    </w:p>
    <w:p>
      <w:pPr>
        <w:pStyle w:val="ListParagraph"/>
        <w:numPr>
          <w:ilvl w:val="0"/>
          <w:numId w:val="3"/>
        </w:numPr>
        <w:spacing w:after="120"/>
      </w:pPr>
      <w:r>
        <w:rPr>
          <w:b/>
          <w:bCs/>
        </w:rPr>
        <w:t xml:space="preserve">Indonesia-specific haze exposure: </w:t>
      </w:r>
      <w:r>
        <w:t xml:space="preserve">Jayachandran (2009) and Marlier et al. (2013), plus your existing Singapore-haze paper, to establish that the scale and severity of the pollution shock you study is well-documented and substantial, not a minor or speculative treatment.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outlineLvl w:val="0"/>
    </w:pPr>
    <w:rPr>
      <w:rFonts w:ascii="Calibri" w:cs="Calibri" w:eastAsia="Calibri" w:hAnsi="Calibri"/>
      <w:b/>
      <w:bCs/>
      <w:sz w:val="36"/>
      <w:szCs w:val="36"/>
    </w:rPr>
  </w:style>
  <w:style w:type="paragraph" w:styleId="Heading1">
    <w:name w:val="Heading 1"/>
    <w:basedOn w:val="Normal"/>
    <w:next w:val="Normal"/>
    <w:qFormat/>
    <w:pPr>
      <w:spacing w:after="160" w:before="280"/>
      <w:outlineLvl w:val="0"/>
    </w:pPr>
    <w:rPr>
      <w:rFonts w:ascii="Calibri" w:cs="Calibri" w:eastAsia="Calibri" w:hAnsi="Calibri"/>
      <w:b/>
      <w:bCs/>
      <w:sz w:val="28"/>
      <w:szCs w:val="28"/>
    </w:rPr>
  </w:style>
  <w:style w:type="paragraph" w:styleId="Heading2">
    <w:name w:val="Heading 2"/>
    <w:basedOn w:val="Normal"/>
    <w:next w:val="Normal"/>
    <w:qFormat/>
    <w:pPr>
      <w:spacing w:after="12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2026-06-23T02:39:59.487Z</dcterms:created>
  <dcterms:modified xsi:type="dcterms:W3CDTF">2026-06-23T02:39:59.488Z</dcterms:modified>
</cp:coreProperties>
</file>

<file path=docProps/custom.xml><?xml version="1.0" encoding="utf-8"?>
<Properties xmlns="http://schemas.openxmlformats.org/officeDocument/2006/custom-properties" xmlns:vt="http://schemas.openxmlformats.org/officeDocument/2006/docPropsVTypes"/>
</file>