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Tender One Pager (TOP)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4968"/>
            <w:gridSpan w:val="3"/>
            <w:vAlign w:val="center"/>
          </w:tcPr>
          <w:p>
            <w:r>
              <w:rPr>
                <w:b w:val="0"/>
                <w:sz w:val="20"/>
              </w:rPr>
              <w:t>Ref.: MEL/TOP/01</w:t>
            </w:r>
          </w:p>
        </w:tc>
        <w:tc>
          <w:tcPr>
            <w:tcW w:type="dxa" w:w="4968"/>
            <w:gridSpan w:val="3"/>
            <w:vAlign w:val="center"/>
          </w:tcPr>
          <w:p>
            <w:r>
              <w:rPr>
                <w:b w:val="0"/>
                <w:sz w:val="20"/>
              </w:rPr>
              <w:t>Date: 18 June 2026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/>
                <w:sz w:val="20"/>
              </w:rPr>
              <w:t>Bid Number:</w:t>
            </w:r>
          </w:p>
        </w:tc>
        <w:tc>
          <w:tcPr>
            <w:tcW w:type="dxa" w:w="3312"/>
            <w:gridSpan w:val="2"/>
            <w:vAlign w:val="center"/>
          </w:tcPr>
          <w:p>
            <w:r>
              <w:rPr>
                <w:b w:val="0"/>
                <w:sz w:val="20"/>
              </w:rPr>
              <w:t>RTC/AI/2025/047</w:t>
            </w:r>
          </w:p>
        </w:tc>
        <w:tc>
          <w:tcPr>
            <w:tcW w:type="dxa" w:w="1656"/>
            <w:vAlign w:val="center"/>
          </w:tcPr>
          <w:p>
            <w:r>
              <w:rPr>
                <w:b/>
                <w:sz w:val="20"/>
              </w:rPr>
              <w:t>RA Option (Yes/No):</w:t>
            </w:r>
          </w:p>
        </w:tc>
        <w:tc>
          <w:tcPr>
            <w:tcW w:type="dxa" w:w="3312"/>
            <w:gridSpan w:val="2"/>
            <w:vAlign w:val="center"/>
          </w:tcPr>
          <w:p>
            <w:r>
              <w:rPr>
                <w:b w:val="0"/>
                <w:sz w:val="20"/>
              </w:rPr>
              <w:t>No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/>
                <w:sz w:val="20"/>
              </w:rPr>
              <w:t>Start Date</w:t>
            </w:r>
          </w:p>
        </w:tc>
        <w:tc>
          <w:tcPr>
            <w:tcW w:type="dxa" w:w="3312"/>
            <w:gridSpan w:val="2"/>
            <w:vAlign w:val="center"/>
          </w:tcPr>
          <w:p>
            <w:r>
              <w:rPr>
                <w:b w:val="0"/>
                <w:sz w:val="20"/>
              </w:rPr>
              <w:t>1 June 2025</w:t>
            </w:r>
          </w:p>
        </w:tc>
        <w:tc>
          <w:tcPr>
            <w:tcW w:type="dxa" w:w="1656"/>
            <w:vAlign w:val="center"/>
          </w:tcPr>
          <w:p>
            <w:r>
              <w:rPr>
                <w:b/>
                <w:sz w:val="20"/>
              </w:rPr>
              <w:t>End Date &amp; Time</w:t>
            </w:r>
          </w:p>
        </w:tc>
        <w:tc>
          <w:tcPr>
            <w:tcW w:type="dxa" w:w="3312"/>
            <w:gridSpan w:val="2"/>
            <w:vAlign w:val="center"/>
          </w:tcPr>
          <w:p>
            <w:r>
              <w:rPr>
                <w:b w:val="0"/>
                <w:sz w:val="20"/>
              </w:rPr>
              <w:t>25 June 2025, 5:00 PM</w:t>
            </w:r>
          </w:p>
        </w:tc>
      </w:tr>
      <w:tr>
        <w:tc>
          <w:tcPr>
            <w:tcW w:type="dxa" w:w="9936"/>
            <w:gridSpan w:val="6"/>
            <w:vAlign w:val="center"/>
          </w:tcPr>
          <w:p>
            <w:r>
              <w:rPr>
                <w:b/>
                <w:sz w:val="20"/>
              </w:rPr>
              <w:t>Department Name &amp; Address:</w:t>
            </w:r>
          </w:p>
        </w:tc>
      </w:tr>
      <w:tr>
        <w:tc>
          <w:tcPr>
            <w:tcW w:type="dxa" w:w="9936"/>
            <w:gridSpan w:val="6"/>
            <w:vAlign w:val="center"/>
          </w:tcPr>
          <w:p>
            <w:r>
              <w:rPr>
                <w:b w:val="0"/>
                <w:sz w:val="20"/>
              </w:rPr>
              <w:t>RailTel Corporation of India Limited, New Delhi — 110001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b/>
                <w:sz w:val="20"/>
              </w:rPr>
              <w:t>Estimated Cost</w:t>
            </w:r>
          </w:p>
        </w:tc>
        <w:tc>
          <w:tcPr>
            <w:tcW w:type="dxa" w:w="3312"/>
            <w:gridSpan w:val="2"/>
            <w:vAlign w:val="center"/>
          </w:tcPr>
          <w:p>
            <w:r>
              <w:rPr>
                <w:b w:val="0"/>
                <w:sz w:val="20"/>
              </w:rPr>
              <w:t>₹2.5 Crore</w:t>
            </w:r>
          </w:p>
        </w:tc>
        <w:tc>
          <w:tcPr>
            <w:tcW w:type="dxa" w:w="1656"/>
            <w:vAlign w:val="center"/>
          </w:tcPr>
          <w:p>
            <w:r>
              <w:rPr>
                <w:b/>
                <w:sz w:val="20"/>
              </w:rPr>
              <w:t>ePBG</w:t>
            </w:r>
          </w:p>
        </w:tc>
        <w:tc>
          <w:tcPr>
            <w:tcW w:type="dxa" w:w="3312"/>
            <w:gridSpan w:val="2"/>
            <w:vAlign w:val="center"/>
          </w:tcPr>
          <w:p>
            <w:r>
              <w:rPr>
                <w:b w:val="0"/>
                <w:sz w:val="20"/>
              </w:rPr>
              <w:t>₹5 Lakh</w:t>
            </w:r>
          </w:p>
        </w:tc>
      </w:tr>
      <w:tr>
        <w:tc>
          <w:tcPr>
            <w:tcW w:type="dxa" w:w="3312"/>
            <w:gridSpan w:val="2"/>
            <w:vAlign w:val="center"/>
          </w:tcPr>
          <w:p>
            <w:r>
              <w:rPr>
                <w:b/>
                <w:sz w:val="20"/>
              </w:rPr>
              <w:t>Processing Fee (non-refundable):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sz w:val="20"/>
              </w:rPr>
              <w:t>₹1,000</w:t>
            </w:r>
          </w:p>
        </w:tc>
        <w:tc>
          <w:tcPr>
            <w:tcW w:type="dxa" w:w="3312"/>
            <w:gridSpan w:val="2"/>
            <w:vAlign w:val="center"/>
          </w:tcPr>
          <w:p>
            <w:r>
              <w:rPr>
                <w:b/>
                <w:sz w:val="20"/>
              </w:rPr>
              <w:t>Tender Fee (non-refundable)</w:t>
            </w:r>
          </w:p>
        </w:tc>
        <w:tc>
          <w:tcPr>
            <w:tcW w:type="dxa" w:w="1656"/>
            <w:vAlign w:val="center"/>
          </w:tcPr>
          <w:p>
            <w:r>
              <w:rPr>
                <w:b w:val="0"/>
                <w:sz w:val="20"/>
              </w:rPr>
              <w:t>₹2,000</w:t>
            </w:r>
          </w:p>
        </w:tc>
      </w:tr>
      <w:tr>
        <w:tc>
          <w:tcPr>
            <w:tcW w:type="dxa" w:w="9936"/>
            <w:gridSpan w:val="6"/>
            <w:vAlign w:val="center"/>
          </w:tcPr>
          <w:p>
            <w:r>
              <w:rPr>
                <w:b w:val="0"/>
                <w:sz w:val="20"/>
              </w:rPr>
              <w:t>Appraisal Fee: Not mentioned</w:t>
            </w:r>
          </w:p>
        </w:tc>
      </w:tr>
      <w:tr>
        <w:tc>
          <w:tcPr>
            <w:tcW w:type="dxa" w:w="9936"/>
            <w:gridSpan w:val="6"/>
            <w:vAlign w:val="center"/>
          </w:tcPr>
          <w:p>
            <w:r>
              <w:rPr>
                <w:b/>
                <w:sz w:val="20"/>
              </w:rPr>
              <w:t>Name of Project:</w:t>
            </w:r>
          </w:p>
        </w:tc>
      </w:tr>
      <w:tr>
        <w:tc>
          <w:tcPr>
            <w:tcW w:type="dxa" w:w="9936"/>
            <w:gridSpan w:val="6"/>
            <w:vAlign w:val="center"/>
          </w:tcPr>
          <w:p>
            <w:r>
              <w:rPr>
                <w:b w:val="0"/>
                <w:sz w:val="20"/>
              </w:rPr>
              <w:t>AI and Digital Literacy Training for Telecom Employees</w:t>
            </w:r>
          </w:p>
        </w:tc>
      </w:tr>
      <w:tr>
        <w:tc>
          <w:tcPr>
            <w:tcW w:type="dxa" w:w="9936"/>
            <w:gridSpan w:val="6"/>
            <w:vAlign w:val="center"/>
          </w:tcPr>
          <w:p>
            <w:r>
              <w:rPr>
                <w:b/>
                <w:sz w:val="20"/>
              </w:rPr>
              <w:t>Scope of Work:</w:t>
              <w:br/>
            </w:r>
            <w:r>
              <w:rPr>
                <w:b w:val="0"/>
                <w:sz w:val="20"/>
              </w:rPr>
              <w:t>1. 45-day training program for 500 telecom employees</w:t>
              <w:br/>
            </w:r>
            <w:r>
              <w:rPr>
                <w:b w:val="0"/>
                <w:sz w:val="20"/>
              </w:rPr>
              <w:t>2. Modules: ChatGPT, Prompt Engineering, AI for productivity</w:t>
              <w:br/>
            </w:r>
            <w:r>
              <w:rPr>
                <w:b w:val="0"/>
                <w:sz w:val="20"/>
              </w:rPr>
              <w:t>3. Delivery across RailTel offices pan-India</w:t>
              <w:br/>
            </w:r>
          </w:p>
        </w:tc>
      </w:tr>
      <w:tr>
        <w:tc>
          <w:tcPr>
            <w:tcW w:type="dxa" w:w="9936"/>
            <w:gridSpan w:val="6"/>
          </w:tcPr>
          <w:p>
            <w:r>
              <w:rPr>
                <w:b/>
                <w:sz w:val="20"/>
              </w:rPr>
              <w:t>Minimum Eligibility Criteria:</w:t>
              <w:br/>
            </w:r>
            <w:r>
              <w:rPr>
                <w:b w:val="0"/>
                <w:sz w:val="20"/>
              </w:rPr>
              <w:t>1. Organisation turnover minimum Rs. 1 Crore</w:t>
              <w:br/>
            </w:r>
            <w:r>
              <w:rPr>
                <w:b w:val="0"/>
                <w:sz w:val="20"/>
              </w:rPr>
              <w:t>2. NSDC affiliation preferred</w:t>
              <w:br/>
            </w:r>
            <w:r>
              <w:rPr>
                <w:b w:val="0"/>
                <w:sz w:val="20"/>
              </w:rPr>
              <w:t>3. Minimum 3 years experience in IT or AI training</w:t>
              <w:br/>
            </w:r>
            <w:r>
              <w:rPr>
                <w:b w:val="0"/>
                <w:sz w:val="20"/>
              </w:rPr>
              <w:t>4. Experience in corporate or PSU training mandatory</w:t>
              <w:br/>
            </w:r>
          </w:p>
        </w:tc>
      </w:tr>
      <w:tr>
        <w:tc>
          <w:tcPr>
            <w:tcW w:type="dxa" w:w="9936"/>
            <w:gridSpan w:val="6"/>
          </w:tcPr>
          <w:p>
            <w:r>
              <w:rPr>
                <w:b/>
                <w:sz w:val="20"/>
              </w:rPr>
              <w:t>Documents what we need to focus:</w:t>
              <w:br/>
            </w:r>
            <w:r>
              <w:rPr>
                <w:b w:val="0"/>
                <w:sz w:val="20"/>
              </w:rPr>
              <w:t>1. Certificate of incorporation</w:t>
              <w:br/>
            </w:r>
            <w:r>
              <w:rPr>
                <w:b w:val="0"/>
                <w:sz w:val="20"/>
              </w:rPr>
              <w:t>2. GST registration certificate</w:t>
              <w:br/>
            </w:r>
            <w:r>
              <w:rPr>
                <w:b w:val="0"/>
                <w:sz w:val="20"/>
              </w:rPr>
              <w:t>3. Audited balance sheets for last 3 years</w:t>
              <w:br/>
            </w:r>
            <w:r>
              <w:rPr>
                <w:b w:val="0"/>
                <w:sz w:val="20"/>
              </w:rPr>
              <w:t>4. NSDC empanelment certificate</w:t>
              <w:br/>
            </w:r>
          </w:p>
        </w:tc>
      </w:tr>
      <w:tr>
        <w:tc>
          <w:tcPr>
            <w:tcW w:type="dxa" w:w="9936"/>
            <w:gridSpan w:val="6"/>
          </w:tcPr>
          <w:p>
            <w:r>
              <w:rPr>
                <w:b/>
                <w:sz w:val="20"/>
              </w:rPr>
              <w:t>Remarks / Risk Points</w:t>
              <w:br/>
            </w:r>
            <w:r>
              <w:rPr>
                <w:b w:val="0"/>
                <w:sz w:val="20"/>
              </w:rPr>
              <w:t>1. Tight timeline — 25 June deadline requires immediate action</w:t>
              <w:br/>
            </w:r>
            <w:r>
              <w:rPr>
                <w:b w:val="0"/>
                <w:sz w:val="20"/>
              </w:rPr>
              <w:t>2. NSDC affiliation is preferred not mandatory — MeraPath qualifies</w:t>
              <w:br/>
            </w:r>
          </w:p>
        </w:tc>
      </w:tr>
    </w:tbl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