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0"/>
        </w:rPr>
        <w:t>TreeConnect: A Multi-Stakeholder Digital Agroforestry Framework with Tree Modelling and Retrieval-Augmented Valuation</w:t>
      </w:r>
    </w:p>
    <w:p>
      <w:pPr>
        <w:spacing w:after="280"/>
        <w:jc w:val="center"/>
      </w:pPr>
      <w:r>
        <w:rPr>
          <w:b/>
          <w:sz w:val="22"/>
        </w:rPr>
        <w:t>Harigovind D Nair</w:t>
        <w:br/>
      </w:r>
      <w:r>
        <w:rPr>
          <w:sz w:val="20"/>
        </w:rPr>
        <w:t>Department of Computer Applications</w:t>
        <w:br/>
        <w:t>Amal Jyothi College of Engineering</w:t>
        <w:br/>
        <w:t>Kerala, India</w:t>
        <w:br/>
      </w:r>
      <w:r>
        <w:rPr>
          <w:sz w:val="20"/>
        </w:rPr>
        <w:t>Email: harigovind.dnair@gmail.com</w:t>
      </w:r>
    </w:p>
    <w:p>
      <w:pPr>
        <w:sectPr>
          <w:pgSz w:w="12240" w:h="15840"/>
          <w:pgMar w:top="1080" w:right="1080" w:bottom="1080" w:left="1080" w:header="720" w:footer="720" w:gutter="0"/>
          <w:cols w:space="720"/>
          <w:docGrid w:linePitch="360"/>
        </w:sectPr>
      </w:pPr>
    </w:p>
    <w:p>
      <w:pPr>
        <w:spacing w:after="80"/>
        <w:jc w:val="both"/>
      </w:pPr>
      <w:r>
        <w:rPr>
          <w:b/>
          <w:i/>
        </w:rPr>
        <w:t>Abstract—</w:t>
      </w:r>
      <w:r>
        <w:rPr>
          <w:sz w:val="19"/>
        </w:rPr>
        <w:t>Conventional timber trading and harvest management environments generally organize commercial transactions around predefined or informal networks of local intermediaries, unstandardized wood appraisals, and fragmented operational logistics. Although this approach provides local familiarity, it does not necessarily account for differences in tree species, volumetric yield, market rates, and landowner requirements. Digital technology and automated informatics have enabled the development of structured agroforestry approaches that use tree- and parcel-related information to support transparent timber supply chain experiences. Existing research has examined tree inventory modelling, harvest logistics scheduling, timber valuation, contractor assessment, and supply chain analytics as individual or partially integrated mechanisms.</w:t>
        <w:br/>
        <w:t>This paper presents TreeConnect, a multi-stakeholder digital agroforestry framework designed to integrate tree inventory modelling, structured harvest operational workflows, contractor on-site assessments, platform analytics, and Retrieval-Augmented dynamic timber valuation. The proposed framework maintains tree- and property-related performance information and uses this information to support subsequent harvesting, negotiation, and settlement decisions. In addition, the valuation engine retrieves relevant information from authorized forestry department market schedules before generating commercial estimates, providing a mechanism for grounding pricing assistance in region-specific market material.</w:t>
        <w:br/>
        <w:t>The paper presents the conceptual architecture, harvest operations workflow, valuation pipeline, research methodology, and evaluation framework of the proposed system. Instead of assuming operational improvement before experimentation, the study defines measurable criteria for evaluating volumetric accuracy, assessment adaptation, rate retrieval quality, commercial quotation grounding, stakeholder engagement, and operational gain. The proposed framework provides a basis for investigating how multiple digital forestry capabilities can be integrated into a continuous sustainable harvest management process.</w:t>
      </w:r>
    </w:p>
    <w:p>
      <w:pPr>
        <w:spacing w:after="160"/>
        <w:jc w:val="both"/>
      </w:pPr>
      <w:r>
        <w:rPr>
          <w:b/>
          <w:i/>
        </w:rPr>
        <w:t>Index Terms—</w:t>
      </w:r>
      <w:r>
        <w:rPr>
          <w:i/>
          <w:sz w:val="19"/>
        </w:rPr>
        <w:t>agroforestry, timber supply chain, tree modelling, harvest operations, automated valuation, retrieval-augmented generation, milestone escrow payments, forestry analytics</w:t>
      </w:r>
    </w:p>
    <w:p>
      <w:pPr>
        <w:spacing w:before="180" w:after="40"/>
        <w:jc w:val="center"/>
      </w:pPr>
      <w:r>
        <w:rPr>
          <w:rFonts w:ascii="Times New Roman" w:hAnsi="Times New Roman"/>
          <w:b/>
          <w:sz w:val="20"/>
        </w:rPr>
        <w:t>I. INTRODUCTION</w:t>
      </w:r>
    </w:p>
    <w:p>
      <w:pPr>
        <w:spacing w:after="60"/>
        <w:jc w:val="both"/>
      </w:pPr>
      <w:r>
        <w:rPr>
          <w:rFonts w:ascii="Times New Roman" w:hAnsi="Times New Roman"/>
          <w:sz w:val="20"/>
        </w:rPr>
        <w:t>Digital agriculture and forestry platforms have expanded access to commercial resources through online registries, electronic inventory catalogues, automated logging assessments, and interactive trading environments. However, the availability of digital tools does not necessarily mean that every landowner or contractor receives an operational experience suited to their current level of farm timber yield and harvesting requirements.</w:t>
      </w:r>
    </w:p>
    <w:p>
      <w:pPr>
        <w:spacing w:after="60"/>
        <w:jc w:val="both"/>
      </w:pPr>
      <w:r>
        <w:rPr>
          <w:rFonts w:ascii="Times New Roman" w:hAnsi="Times New Roman"/>
          <w:sz w:val="20"/>
        </w:rPr>
        <w:t>Landowners entering the timber market may differ in standing species, tree dimensions, parcel accessibility, commercial awareness, and harvesting requirements. A fixed or informal intermediary network can therefore provide suboptimal valuation to tree owners whose actual harvesting and timber profiles are vastly different. Modern agroforestry informatics attempts to address this limitation by using information about individual trees and parcels to modify aspects of the commercial harvest process.</w:t>
      </w:r>
    </w:p>
    <w:p>
      <w:pPr>
        <w:spacing w:after="60"/>
        <w:jc w:val="both"/>
      </w:pPr>
      <w:r>
        <w:rPr>
          <w:rFonts w:ascii="Times New Roman" w:hAnsi="Times New Roman"/>
          <w:sz w:val="20"/>
        </w:rPr>
        <w:t>Digital technology and computational modeling have been increasingly investigated as a mechanism for supporting transparent and equitable forestry operations. Research has examined tree inventory estimation, contractor scheduling, predictive market analytics, and intelligent matching as approaches for coordinating decentralized timber supply chains [1]–[3]. A systematic mapping study categorized digital forestry approaches across tree inventory modeling, operational logistics, valuation systems, automated site assessment, and predictive supply chain analytics [2].</w:t>
      </w:r>
    </w:p>
    <w:p>
      <w:pPr>
        <w:spacing w:after="60"/>
        <w:jc w:val="both"/>
      </w:pPr>
      <w:r>
        <w:rPr>
          <w:rFonts w:ascii="Times New Roman" w:hAnsi="Times New Roman"/>
          <w:sz w:val="20"/>
        </w:rPr>
        <w:t>Meta-analytic research has also investigated the relationship between digital supply chain coordination and producer outcomes. Wang et al. analysed studies conducted between 2010 and 2022 and evaluated the efficacy of digital agro-market platforms across grower economic outcomes [4]. Similarly, research on automated resource management systems has investigated their relationship with operational outcomes across rural supply contexts [5].</w:t>
      </w:r>
    </w:p>
    <w:p>
      <w:pPr>
        <w:spacing w:after="60"/>
        <w:jc w:val="both"/>
      </w:pPr>
      <w:r>
        <w:rPr>
          <w:rFonts w:ascii="Times New Roman" w:hAnsi="Times New Roman"/>
          <w:sz w:val="20"/>
        </w:rPr>
        <w:t>Despite this progress, agroforestry harvest management remains a multidimensional problem. A system that inventories trees based on landowner inputs does not necessarily provide adaptive field assessment, contractor equipment allocation, milestone escrow clearing, or continuous supply chain analytics. The literature reviewed for this study identifies a limited integration of tree assessment, continuous harvest operations monitoring, transparent price recommendation, and contractor mediation within a single digital platform.</w:t>
      </w:r>
    </w:p>
    <w:p>
      <w:pPr>
        <w:spacing w:after="60"/>
        <w:jc w:val="both"/>
      </w:pPr>
      <w:r>
        <w:rPr>
          <w:rFonts w:ascii="Times New Roman" w:hAnsi="Times New Roman"/>
          <w:sz w:val="20"/>
        </w:rPr>
        <w:t>Data-driven valuation models introduce another opportunity for forestry platforms by enabling dynamic price calculation. However, a general-purpose valuation function may generate estimates that are not specifically aligned with the statutory schedule rates and local market realities used in a particular geographic district.</w:t>
      </w:r>
    </w:p>
    <w:p>
      <w:pPr>
        <w:spacing w:after="60"/>
        <w:jc w:val="both"/>
      </w:pPr>
      <w:r>
        <w:rPr>
          <w:rFonts w:ascii="Times New Roman" w:hAnsi="Times New Roman"/>
          <w:sz w:val="20"/>
        </w:rPr>
        <w:t>Retrieval-Augmented Valuation provides a mechanism for combining external information retrieval with algorithmic estimation [6]. Instead of relying entirely on static heuristics encoded within the software, relevant market information can be retrieved from an external statutory knowledge source (such as government timber price schedules) and supplied as context during commercial quote generation. Recent research has specifically examined the use of retrieval-grounded systems in agricultural and natural resource decision support [7].</w:t>
      </w:r>
    </w:p>
    <w:p>
      <w:pPr>
        <w:spacing w:after="60"/>
        <w:jc w:val="both"/>
      </w:pPr>
      <w:r>
        <w:rPr>
          <w:rFonts w:ascii="Times New Roman" w:hAnsi="Times New Roman"/>
          <w:sz w:val="20"/>
        </w:rPr>
        <w:t>The central motivation of this research is therefore not simply to add digital listing features to a timber website, but to investigate how tree modelling, operational harvest coordination, on-site assessment, analytics, and retrieval-grounded valuation assistance can operate as a connected management cycle.</w:t>
      </w:r>
    </w:p>
    <w:p>
      <w:pPr>
        <w:spacing w:after="60"/>
        <w:jc w:val="both"/>
      </w:pPr>
      <w:r>
        <w:rPr>
          <w:rFonts w:ascii="Times New Roman" w:hAnsi="Times New Roman"/>
          <w:sz w:val="20"/>
        </w:rPr>
        <w:t>This paper proposes TreeConnect, a multi-stakeholder digital agroforestry framework designed around this integration.</w:t>
      </w:r>
    </w:p>
    <w:p>
      <w:pPr>
        <w:spacing w:after="60"/>
        <w:jc w:val="both"/>
      </w:pPr>
      <w:r>
        <w:rPr>
          <w:rFonts w:ascii="Times New Roman" w:hAnsi="Times New Roman"/>
          <w:sz w:val="20"/>
        </w:rPr>
        <w:t>The primary contributions of the proposed research are:</w:t>
      </w:r>
    </w:p>
    <w:p>
      <w:pPr>
        <w:spacing w:after="40"/>
        <w:ind w:left="288"/>
      </w:pPr>
      <w:r>
        <w:rPr>
          <w:b/>
        </w:rPr>
        <w:t xml:space="preserve">1) A unified architecture </w:t>
      </w:r>
      <w:r>
        <w:t>connecting landowner tree inventory, harvest operational workflows, contractor site assessments, analytics, and milestone-secured financial clearing.</w:t>
      </w:r>
    </w:p>
    <w:p>
      <w:pPr>
        <w:spacing w:after="40"/>
        <w:ind w:left="288"/>
      </w:pPr>
      <w:r>
        <w:rPr>
          <w:b/>
        </w:rPr>
        <w:t xml:space="preserve">2) A tree-modelling approach </w:t>
      </w:r>
      <w:r>
        <w:t>in which dendrometric measurements, parcel accessibility, and inventory records contribute to subsequent harvesting and pricing decisions.</w:t>
      </w:r>
    </w:p>
    <w:p>
      <w:pPr>
        <w:spacing w:after="40"/>
        <w:ind w:left="288"/>
      </w:pPr>
      <w:r>
        <w:rPr>
          <w:b/>
        </w:rPr>
        <w:t xml:space="preserve">3) A retrieval-augmented valuation workflow </w:t>
      </w:r>
      <w:r>
        <w:t>designed to retrieve relevant price schedules from regional forestry market resources before generating commercial quotations.</w:t>
      </w:r>
    </w:p>
    <w:p>
      <w:pPr>
        <w:spacing w:after="80"/>
        <w:ind w:left="288"/>
      </w:pPr>
      <w:r>
        <w:rPr>
          <w:b/>
        </w:rPr>
        <w:t xml:space="preserve">4) An evaluation framework </w:t>
      </w:r>
      <w:r>
        <w:t>that separates technical platform performance from economic outcome claims and defines measurable criteria for future empirical evaluation.</w:t>
      </w:r>
    </w:p>
    <w:p>
      <w:pPr>
        <w:spacing w:before="180" w:after="40"/>
        <w:jc w:val="center"/>
      </w:pPr>
      <w:r>
        <w:rPr>
          <w:rFonts w:ascii="Times New Roman" w:hAnsi="Times New Roman"/>
          <w:b/>
          <w:sz w:val="20"/>
        </w:rPr>
        <w:t>II. BACKGROUND</w:t>
      </w:r>
    </w:p>
    <w:p>
      <w:pPr>
        <w:spacing w:before="120" w:after="40"/>
        <w:jc w:val="left"/>
      </w:pPr>
      <w:r>
        <w:rPr>
          <w:rFonts w:ascii="Times New Roman" w:hAnsi="Times New Roman"/>
          <w:i/>
          <w:sz w:val="20"/>
        </w:rPr>
        <w:t>A. Agroforestry Harvest Management</w:t>
      </w:r>
    </w:p>
    <w:p>
      <w:pPr>
        <w:spacing w:after="60"/>
        <w:jc w:val="both"/>
      </w:pPr>
      <w:r>
        <w:rPr>
          <w:rFonts w:ascii="Times New Roman" w:hAnsi="Times New Roman"/>
          <w:sz w:val="20"/>
        </w:rPr>
        <w:t>Agroforestry harvest management refers to operational environments in which tree felling, yard extraction, log cross-cutting, and commercial trading are coordinated according to information about the standing trees and property parcel. Coordination may involve tree selection, felling difficulty assessment, contractor matching, safety appraisal, or the sequence in which operational milestones are executed.</w:t>
      </w:r>
    </w:p>
    <w:p>
      <w:pPr>
        <w:spacing w:after="60"/>
        <w:jc w:val="both"/>
      </w:pPr>
      <w:r>
        <w:rPr>
          <w:rFonts w:ascii="Times New Roman" w:hAnsi="Times New Roman"/>
          <w:sz w:val="20"/>
        </w:rPr>
        <w:t>Digital agroforestry research has investigated multiple approaches for representing tree characteristics and selecting appropriate harvesting resources. Gligorea et al. identified database modeling, decision support algorithms, recommendation systems, and predictive analytics as important techniques within agricultural and resource management systems [1].</w:t>
      </w:r>
    </w:p>
    <w:p>
      <w:pPr>
        <w:spacing w:after="60"/>
        <w:jc w:val="both"/>
      </w:pPr>
      <w:r>
        <w:rPr>
          <w:rFonts w:ascii="Times New Roman" w:hAnsi="Times New Roman"/>
          <w:sz w:val="20"/>
        </w:rPr>
        <w:t>Recent work has also examined digital forestry platforms from the perspective of system architecture, cloud implementation, field evaluation, and practical deployment [8].</w:t>
      </w:r>
    </w:p>
    <w:p>
      <w:pPr>
        <w:spacing w:after="60"/>
        <w:jc w:val="both"/>
      </w:pPr>
      <w:r>
        <w:rPr>
          <w:rFonts w:ascii="Times New Roman" w:hAnsi="Times New Roman"/>
          <w:sz w:val="20"/>
        </w:rPr>
        <w:t>The literature suggests that harvest management should not be reduced to passive timber listing alone. A more complete operational process requires a direct relationship between tree inventory state, field inspection evidence, contractor allocation, and commercial settlement.</w:t>
      </w:r>
    </w:p>
    <w:p>
      <w:pPr>
        <w:spacing w:before="120" w:after="40"/>
        <w:jc w:val="left"/>
      </w:pPr>
      <w:r>
        <w:rPr>
          <w:rFonts w:ascii="Times New Roman" w:hAnsi="Times New Roman"/>
          <w:i/>
          <w:sz w:val="20"/>
        </w:rPr>
        <w:t>B. Tree Modelling</w:t>
      </w:r>
    </w:p>
    <w:p>
      <w:pPr>
        <w:spacing w:after="60"/>
        <w:jc w:val="both"/>
      </w:pPr>
      <w:r>
        <w:rPr>
          <w:rFonts w:ascii="Times New Roman" w:hAnsi="Times New Roman"/>
          <w:sz w:val="20"/>
        </w:rPr>
        <w:t>A tree model represents information about an individual standing tree or parcel inventory that can be used by an operational harvest platform.</w:t>
        <w:br/>
        <w:t>For TreeConnect, the tree state can be represented conceptually as:</w:t>
      </w:r>
    </w:p>
    <w:p>
      <w:pPr>
        <w:spacing w:before="80" w:after="80"/>
        <w:jc w:val="center"/>
      </w:pPr>
      <w:r>
        <w:rPr>
          <w:rFonts w:ascii="Times New Roman" w:hAnsi="Times New Roman"/>
          <w:i/>
          <w:sz w:val="20"/>
        </w:rPr>
        <w:t>T_i = {S_i, G_i, H_i, V_i, Q_i, L_i, C_i}</w:t>
      </w:r>
      <w:r>
        <w:rPr>
          <w:rFonts w:ascii="Times New Roman" w:hAnsi="Times New Roman"/>
          <w:b/>
        </w:rPr>
        <w:t xml:space="preserve">    (1)</w:t>
      </w:r>
    </w:p>
    <w:p>
      <w:pPr>
        <w:spacing w:after="60"/>
        <w:jc w:val="both"/>
      </w:pPr>
      <w:r>
        <w:rPr>
          <w:rFonts w:ascii="Times New Roman" w:hAnsi="Times New Roman"/>
          <w:sz w:val="20"/>
        </w:rPr>
        <w:t>where:</w:t>
        <w:br/>
        <w:t>• S_i represents the botanical and commercial species (e.g., Teak, Rosewood, Mahogany, Rubberwood),</w:t>
        <w:br/>
        <w:t>• G_i represents the girth at breast height (GBH, 1.37 m),</w:t>
        <w:br/>
        <w:t>• H_i represents merchantable bole height,</w:t>
        <w:br/>
        <w:t>• V_i represents estimated commercial timber volume (m^3),</w:t>
        <w:br/>
        <w:t>• Q_i represents timber grade or biological health state,</w:t>
        <w:br/>
        <w:t>• L_i represents parcel geospatial coordinates and terrain classification, and</w:t>
        <w:br/>
        <w:t>• C_i represents completed verification media (geo-tagged photos).</w:t>
        <w:br/>
        <w:t>The proposed representation is modular. Different implementations may use different dendrometric techniques to estimate volume and quality.</w:t>
      </w:r>
    </w:p>
    <w:p>
      <w:pPr>
        <w:spacing w:before="120" w:after="40"/>
        <w:jc w:val="left"/>
      </w:pPr>
      <w:r>
        <w:rPr>
          <w:rFonts w:ascii="Times New Roman" w:hAnsi="Times New Roman"/>
          <w:i/>
          <w:sz w:val="20"/>
        </w:rPr>
        <w:t>C. Contractor Field Assessment</w:t>
      </w:r>
    </w:p>
    <w:p>
      <w:pPr>
        <w:spacing w:after="60"/>
        <w:jc w:val="both"/>
      </w:pPr>
      <w:r>
        <w:rPr>
          <w:rFonts w:ascii="Times New Roman" w:hAnsi="Times New Roman"/>
          <w:sz w:val="20"/>
        </w:rPr>
        <w:t>Contractor inspection systems have an established history within forestry and logging operations. Such systems attempt to provide standardized operational planning using information about physical tree condition, property hazards, and extraction terrain [9].</w:t>
      </w:r>
    </w:p>
    <w:p>
      <w:pPr>
        <w:spacing w:after="60"/>
        <w:jc w:val="both"/>
      </w:pPr>
      <w:r>
        <w:rPr>
          <w:rFonts w:ascii="Times New Roman" w:hAnsi="Times New Roman"/>
          <w:sz w:val="20"/>
        </w:rPr>
        <w:t>A meta-analysis by Ma et al. investigated the relationship between structured assessment protocols and operational performance across multiple field studies [5]. These findings provide background for considering contractor inspection as one critical component of a broader harvest management environment.</w:t>
      </w:r>
    </w:p>
    <w:p>
      <w:pPr>
        <w:spacing w:after="60"/>
        <w:jc w:val="both"/>
      </w:pPr>
      <w:r>
        <w:rPr>
          <w:rFonts w:ascii="Times New Roman" w:hAnsi="Times New Roman"/>
          <w:sz w:val="20"/>
        </w:rPr>
        <w:t>In TreeConnect, contractor inspection assistance is treated as a supporting verification component rather than an informal, unrecorded transaction.</w:t>
      </w:r>
    </w:p>
    <w:p>
      <w:pPr>
        <w:spacing w:before="120" w:after="40"/>
        <w:jc w:val="left"/>
      </w:pPr>
      <w:r>
        <w:rPr>
          <w:rFonts w:ascii="Times New Roman" w:hAnsi="Times New Roman"/>
          <w:i/>
          <w:sz w:val="20"/>
        </w:rPr>
        <w:t>D. Retrieval-Augmented Valuation</w:t>
      </w:r>
    </w:p>
    <w:p>
      <w:pPr>
        <w:spacing w:after="60"/>
        <w:jc w:val="both"/>
      </w:pPr>
      <w:r>
        <w:rPr>
          <w:rFonts w:ascii="Times New Roman" w:hAnsi="Times New Roman"/>
          <w:sz w:val="20"/>
        </w:rPr>
        <w:t>Retrieval-Augmented Valuation combines reference market rate retrieval with algorithmic price computation [6]. A simplified retrieval workflow can be expressed as:</w:t>
      </w:r>
    </w:p>
    <w:p>
      <w:pPr>
        <w:spacing w:before="80" w:after="80"/>
        <w:jc w:val="center"/>
      </w:pPr>
      <w:r>
        <w:rPr>
          <w:rFonts w:ascii="Times New Roman" w:hAnsi="Times New Roman"/>
          <w:i/>
          <w:sz w:val="20"/>
        </w:rPr>
        <w:t>D = R(q, K)</w:t>
      </w:r>
      <w:r>
        <w:rPr>
          <w:rFonts w:ascii="Times New Roman" w:hAnsi="Times New Roman"/>
          <w:b/>
        </w:rPr>
        <w:t xml:space="preserve">    (2)</w:t>
      </w:r>
    </w:p>
    <w:p>
      <w:pPr>
        <w:spacing w:after="60"/>
        <w:jc w:val="both"/>
      </w:pPr>
      <w:r>
        <w:rPr>
          <w:rFonts w:ascii="Times New Roman" w:hAnsi="Times New Roman"/>
          <w:sz w:val="20"/>
        </w:rPr>
        <w:t>where q represents the property and species query, K represents the indexed statutory knowledge base of forestry market rates, R represents the retrieval operation, and D represents the retrieved price context.</w:t>
      </w:r>
    </w:p>
    <w:p>
      <w:pPr>
        <w:spacing w:after="60"/>
        <w:jc w:val="both"/>
      </w:pPr>
      <w:r>
        <w:rPr>
          <w:rFonts w:ascii="Times New Roman" w:hAnsi="Times New Roman"/>
          <w:sz w:val="20"/>
        </w:rPr>
        <w:t>The generated commercial quotation can then be represented as:</w:t>
      </w:r>
    </w:p>
    <w:p>
      <w:pPr>
        <w:spacing w:before="80" w:after="80"/>
        <w:jc w:val="center"/>
      </w:pPr>
      <w:r>
        <w:rPr>
          <w:rFonts w:ascii="Times New Roman" w:hAnsi="Times New Roman"/>
          <w:i/>
          <w:sz w:val="20"/>
        </w:rPr>
        <w:t>a = G(q, D)</w:t>
      </w:r>
      <w:r>
        <w:rPr>
          <w:rFonts w:ascii="Times New Roman" w:hAnsi="Times New Roman"/>
          <w:b/>
        </w:rPr>
        <w:t xml:space="preserve">    (3)</w:t>
      </w:r>
    </w:p>
    <w:p>
      <w:pPr>
        <w:spacing w:after="60"/>
        <w:jc w:val="both"/>
      </w:pPr>
      <w:r>
        <w:rPr>
          <w:rFonts w:ascii="Times New Roman" w:hAnsi="Times New Roman"/>
          <w:sz w:val="20"/>
        </w:rPr>
        <w:t>where G represents the quotation generation process and a represents the resulting commercial proposal.</w:t>
        <w:br/>
        <w:t>For TreeConnect, the knowledge base is intended to contain district-specific timber market reference schedules supplied by authorized forestry administrators. Recent research on domain-specific retrieval systems has examined its use across agricultural applications and identified retrieval, pricing models, contextual grounding, and evaluation as important components of the process [7].</w:t>
      </w:r>
    </w:p>
    <w:p>
      <w:pPr>
        <w:spacing w:after="60"/>
        <w:jc w:val="both"/>
      </w:pPr>
      <w:r>
        <w:rPr>
          <w:rFonts w:ascii="Times New Roman" w:hAnsi="Times New Roman"/>
          <w:sz w:val="20"/>
        </w:rPr>
        <w:t>Rate retrieval should not be considered an absolute guarantee of transaction finality. Inaccurate field entry, incomplete market schedules, or extreme terrain difficulties may still necessitate manual adjustment. Therefore, quotation grounding and retrieval accuracy should be evaluated independently.</w:t>
      </w:r>
    </w:p>
    <w:p>
      <w:pPr>
        <w:spacing w:before="180" w:after="40"/>
        <w:jc w:val="center"/>
      </w:pPr>
      <w:r>
        <w:rPr>
          <w:rFonts w:ascii="Times New Roman" w:hAnsi="Times New Roman"/>
          <w:b/>
          <w:sz w:val="20"/>
        </w:rPr>
        <w:t>III. RELATED WORK</w:t>
      </w:r>
    </w:p>
    <w:p>
      <w:pPr>
        <w:spacing w:after="60"/>
        <w:jc w:val="both"/>
      </w:pPr>
      <w:r>
        <w:rPr>
          <w:rFonts w:ascii="Times New Roman" w:hAnsi="Times New Roman"/>
          <w:sz w:val="20"/>
        </w:rPr>
        <w:t>Gligorea et al. conducted a literature review of digital transformation in natural resource systems and identified inventory modeling, recommendation systems, machine learning, and predictive analytics as important mechanisms for operational efficiency [1].</w:t>
      </w:r>
    </w:p>
    <w:p>
      <w:pPr>
        <w:spacing w:after="60"/>
        <w:jc w:val="both"/>
      </w:pPr>
      <w:r>
        <w:rPr>
          <w:rFonts w:ascii="Times New Roman" w:hAnsi="Times New Roman"/>
          <w:sz w:val="20"/>
        </w:rPr>
        <w:t>Kabudi et al. conducted a systematic mapping study of AI- and informatics-enabled resource management research and classified existing work across physical asset modelling, operational coordination, automated assessment, and predictive analytics [2].</w:t>
      </w:r>
    </w:p>
    <w:p>
      <w:pPr>
        <w:spacing w:after="60"/>
        <w:jc w:val="both"/>
      </w:pPr>
      <w:r>
        <w:rPr>
          <w:rFonts w:ascii="Times New Roman" w:hAnsi="Times New Roman"/>
          <w:sz w:val="20"/>
        </w:rPr>
        <w:t>Wang et al. conducted a meta-analysis of digital agricultural market systems using studies published between 2010 and 2022 [4]. Their work provides empirical synthesis concerning the relationship between digital supply chain integration and producer outcomes.</w:t>
      </w:r>
    </w:p>
    <w:p>
      <w:pPr>
        <w:spacing w:after="60"/>
        <w:jc w:val="both"/>
      </w:pPr>
      <w:r>
        <w:rPr>
          <w:rFonts w:ascii="Times New Roman" w:hAnsi="Times New Roman"/>
          <w:sz w:val="20"/>
        </w:rPr>
        <w:t>Meylani examined contemporary research on digital agroforestry systems through a systematic review and qualitative synthesis [10]. The study highlights continuing challenges associated with the practical and responsible application of informatics in decentralized rural trade.</w:t>
      </w:r>
    </w:p>
    <w:p>
      <w:pPr>
        <w:spacing w:after="60"/>
        <w:jc w:val="both"/>
      </w:pPr>
      <w:r>
        <w:rPr>
          <w:rFonts w:ascii="Times New Roman" w:hAnsi="Times New Roman"/>
          <w:sz w:val="20"/>
        </w:rPr>
        <w:t>Research on computational intelligence in forestry has also identified several application areas, including tree health assessment, yield prediction, supply chain optimization, and contractor dispatch [3].</w:t>
      </w:r>
    </w:p>
    <w:p>
      <w:pPr>
        <w:spacing w:after="60"/>
        <w:jc w:val="both"/>
      </w:pPr>
      <w:r>
        <w:rPr>
          <w:rFonts w:ascii="Times New Roman" w:hAnsi="Times New Roman"/>
          <w:sz w:val="20"/>
        </w:rPr>
        <w:t>Logging inspection systems have been studied independently for many years. Alkhatlan and Kalita reviewed the development of field inspection support systems and their technological evolution [9]. Ma et al. provided a meta-analysis examining outcomes associated with structured operational workflows [5].</w:t>
      </w:r>
    </w:p>
    <w:p>
      <w:pPr>
        <w:spacing w:after="60"/>
        <w:jc w:val="both"/>
      </w:pPr>
      <w:r>
        <w:rPr>
          <w:rFonts w:ascii="Times New Roman" w:hAnsi="Times New Roman"/>
          <w:sz w:val="20"/>
        </w:rPr>
        <w:t>Supply chain analytics provides another relevant research direction. Siemens and Long described operational analytics as a means of using stakeholder-related data to understand and optimize production processes [11]. Ifenthaler and Yau further examined the use of analytics for supporting operational success and administrative decision-making [12].</w:t>
      </w:r>
    </w:p>
    <w:p>
      <w:pPr>
        <w:spacing w:after="60"/>
        <w:jc w:val="both"/>
      </w:pPr>
      <w:r>
        <w:rPr>
          <w:rFonts w:ascii="Times New Roman" w:hAnsi="Times New Roman"/>
          <w:sz w:val="20"/>
        </w:rPr>
        <w:t>Recent work has extended these directions toward retrieval-grounded decision models. RAG research in agricultural informatics has investigated the use of retrieved statutory knowledge to support automated estimations [7]. Research on human-centred systems and operational analytics has also emphasized considerations such as human control, trust, reliability, data security, and stakeholder involvement [13].</w:t>
      </w:r>
    </w:p>
    <w:p>
      <w:pPr>
        <w:spacing w:after="60"/>
        <w:jc w:val="both"/>
      </w:pPr>
      <w:r>
        <w:rPr>
          <w:rFonts w:ascii="Times New Roman" w:hAnsi="Times New Roman"/>
          <w:sz w:val="20"/>
        </w:rPr>
        <w:t>Although these research directions provide substantial individual contributions, the focus of TreeConnect is their integration into a single agroforestry harvest workflow.</w:t>
      </w:r>
    </w:p>
    <w:p>
      <w:pPr>
        <w:spacing w:before="180" w:after="40"/>
        <w:jc w:val="center"/>
      </w:pPr>
      <w:r>
        <w:rPr>
          <w:rFonts w:ascii="Times New Roman" w:hAnsi="Times New Roman"/>
          <w:b/>
          <w:sz w:val="20"/>
        </w:rPr>
        <w:t>IV. RESEARCH GAP</w:t>
      </w:r>
    </w:p>
    <w:p>
      <w:pPr>
        <w:spacing w:after="60"/>
        <w:jc w:val="both"/>
      </w:pPr>
      <w:r>
        <w:rPr>
          <w:rFonts w:ascii="Times New Roman" w:hAnsi="Times New Roman"/>
          <w:sz w:val="20"/>
        </w:rPr>
        <w:t>The reviewed literature indicates several areas that motivate the proposed research.</w:t>
        <w:br/>
        <w:t>First, digital forestry is frequently implemented through passive classified listings without necessarily providing a complete operational harvest cycle.</w:t>
        <w:br/>
        <w:t>Second, tree inventory modeling, contractor field inspection, commercial assessment, and supply chain analytics are often treated as distinct capabilities.</w:t>
        <w:br/>
        <w:t>Third, general-purpose valuation calculators introduce a risk that generated price estimates may not correspond directly to the specific statutory schedules used in a district.</w:t>
        <w:br/>
        <w:t>Fourth, although retrieval mechanisms provide a basis for grounding valuation using external market schedules, their integration with tree-specific operational adaptation remains an area requiring further investigation [6], [7].</w:t>
      </w:r>
    </w:p>
    <w:p>
      <w:pPr>
        <w:spacing w:after="60"/>
        <w:jc w:val="both"/>
      </w:pPr>
      <w:r>
        <w:rPr>
          <w:rFonts w:ascii="Times New Roman" w:hAnsi="Times New Roman"/>
          <w:sz w:val="20"/>
        </w:rPr>
        <w:t>The research gap addressed by this study can therefore be formulated as the need for an integrated harvest management environment in which:</w:t>
        <w:br/>
        <w:t>1) tree inventory measurements contribute to a persistent tree model;</w:t>
        <w:br/>
        <w:t>2) the tree model influences subsequent harvesting, inspection, and assessment decisions;</w:t>
        <w:br/>
        <w:t>3) assessment results provide feedback to the operational adaptation process;</w:t>
        <w:br/>
        <w:t>4) platform analytics provides evidence about harvest progress; and</w:t>
        <w:br/>
        <w:t>5) system-generated commercial quotations are grounded in retrieved reference market resources.</w:t>
        <w:br/>
        <w:t>This integration-oriented gap is consistent with the limitations identified in the literature review prepared for this research.</w:t>
      </w:r>
    </w:p>
    <w:p>
      <w:pPr>
        <w:spacing w:before="180" w:after="40"/>
        <w:jc w:val="center"/>
      </w:pPr>
      <w:r>
        <w:rPr>
          <w:rFonts w:ascii="Times New Roman" w:hAnsi="Times New Roman"/>
          <w:b/>
          <w:sz w:val="20"/>
        </w:rPr>
        <w:t>V. PROPOSED TREECONNECT FRAMEWORK</w:t>
      </w:r>
    </w:p>
    <w:p>
      <w:pPr>
        <w:spacing w:after="60"/>
        <w:jc w:val="both"/>
      </w:pPr>
      <w:r>
        <w:rPr>
          <w:rFonts w:ascii="Times New Roman" w:hAnsi="Times New Roman"/>
          <w:sz w:val="20"/>
        </w:rPr>
        <w:t>TreeConnect is proposed as an integrated agroforestry harvest management environment rather than a collection of independent tools.</w:t>
        <w:br/>
        <w:t>The framework contains five principal components:</w:t>
        <w:br/>
        <w:t>1) Tree Inventory Model</w:t>
        <w:br/>
        <w:t>2) Harvest Operational Engine</w:t>
        <w:br/>
        <w:t>3) Assessment Engine</w:t>
        <w:br/>
        <w:t>4) Retrieval-Augmented Valuation Engine</w:t>
        <w:br/>
        <w:t>5) Supply Chain Analytics and Feedback</w:t>
        <w:br/>
        <w:t>These components form a feedback cycle. Landowner tree registrations generate inventory records, the records update the tree model, the updated model influences contractor matching and inspection scheduling, and completed assessments generate additional operational evidence.</w:t>
      </w:r>
    </w:p>
    <w:p>
      <w:pPr>
        <w:spacing w:before="120" w:after="40"/>
        <w:jc w:val="center"/>
      </w:pPr>
      <w:r>
        <w:rPr>
          <w:b/>
          <w:sz w:val="17"/>
        </w:rPr>
        <w:t>TABLE I</w:t>
        <w:br/>
        <w:t>FUNCTIONAL COMPONENTS OF TREECONNECT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left w:val="none"/>
          <w:right w:val="none"/>
          <w:insideV w:val="none"/>
        </w:tblBorders>
      </w:tblPr>
      <w:tblGrid>
        <w:gridCol w:w="5040"/>
        <w:gridCol w:w="5040"/>
      </w:tblGrid>
      <w:tr>
        <w:tc>
          <w:tcPr>
            <w:tcW w:type="dxa" w:w="5040"/>
            <w:shd w:fill="F2F2F2"/>
            <w:tcMar>
              <w:top w:w="60" w:type="dxa"/>
              <w:bottom w:w="60" w:type="dxa"/>
              <w:left w:w="80" w:type="dxa"/>
              <w:right w:w="80" w:type="dxa"/>
            </w:tcMar>
          </w:tcPr>
          <w:p>
            <w:r>
              <w:rPr>
                <w:b/>
                <w:sz w:val="17"/>
              </w:rPr>
              <w:t>Component</w:t>
            </w:r>
          </w:p>
        </w:tc>
        <w:tc>
          <w:tcPr>
            <w:tcW w:type="dxa" w:w="5040"/>
            <w:shd w:fill="F2F2F2"/>
            <w:tcMar>
              <w:top w:w="60" w:type="dxa"/>
              <w:bottom w:w="60" w:type="dxa"/>
              <w:left w:w="80" w:type="dxa"/>
              <w:right w:w="80" w:type="dxa"/>
            </w:tcMar>
          </w:tcPr>
          <w:p>
            <w:r>
              <w:rPr>
                <w:b/>
                <w:sz w:val="17"/>
              </w:rPr>
              <w:t>Primary Function</w:t>
            </w:r>
          </w:p>
        </w:tc>
      </w:tr>
      <w:tr>
        <w:tc>
          <w:tcPr>
            <w:tcW w:type="dxa" w:w="5040"/>
            <w:tcMar>
              <w:top w:w="50" w:type="dxa"/>
              <w:bottom w:w="50" w:type="dxa"/>
              <w:left w:w="80" w:type="dxa"/>
              <w:right w:w="80" w:type="dxa"/>
            </w:tcMar>
          </w:tcPr>
          <w:p>
            <w:r>
              <w:rPr>
                <w:b/>
                <w:sz w:val="17"/>
              </w:rPr>
              <w:t>Tree Inventory Model</w:t>
            </w:r>
          </w:p>
        </w:tc>
        <w:tc>
          <w:tcPr>
            <w:tcW w:type="dxa" w:w="5040"/>
            <w:tcMar>
              <w:top w:w="50" w:type="dxa"/>
              <w:bottom w:w="50" w:type="dxa"/>
              <w:left w:w="80" w:type="dxa"/>
              <w:right w:w="80" w:type="dxa"/>
            </w:tcMar>
          </w:tcPr>
          <w:p>
            <w:r>
              <w:rPr>
                <w:sz w:val="17"/>
              </w:rPr>
              <w:t>Maintains property parcels, tree species, dendrometric measures (GBH, height), and visual health status.</w:t>
            </w:r>
          </w:p>
        </w:tc>
      </w:tr>
      <w:tr>
        <w:tc>
          <w:tcPr>
            <w:tcW w:type="dxa" w:w="5040"/>
            <w:tcMar>
              <w:top w:w="50" w:type="dxa"/>
              <w:bottom w:w="50" w:type="dxa"/>
              <w:left w:w="80" w:type="dxa"/>
              <w:right w:w="80" w:type="dxa"/>
            </w:tcMar>
          </w:tcPr>
          <w:p>
            <w:r>
              <w:rPr>
                <w:b/>
                <w:sz w:val="17"/>
              </w:rPr>
              <w:t>Harvest Operations Engine</w:t>
            </w:r>
          </w:p>
        </w:tc>
        <w:tc>
          <w:tcPr>
            <w:tcW w:type="dxa" w:w="5040"/>
            <w:tcMar>
              <w:top w:w="50" w:type="dxa"/>
              <w:bottom w:w="50" w:type="dxa"/>
              <w:left w:w="80" w:type="dxa"/>
              <w:right w:w="80" w:type="dxa"/>
            </w:tcMar>
          </w:tcPr>
          <w:p>
            <w:r>
              <w:rPr>
                <w:sz w:val="17"/>
              </w:rPr>
              <w:t>Uses tree-state information to coordinate contractor assignment, inspection scheduling, and operational transitions.</w:t>
            </w:r>
          </w:p>
        </w:tc>
      </w:tr>
      <w:tr>
        <w:tc>
          <w:tcPr>
            <w:tcW w:type="dxa" w:w="5040"/>
            <w:tcMar>
              <w:top w:w="50" w:type="dxa"/>
              <w:bottom w:w="50" w:type="dxa"/>
              <w:left w:w="80" w:type="dxa"/>
              <w:right w:w="80" w:type="dxa"/>
            </w:tcMar>
          </w:tcPr>
          <w:p>
            <w:r>
              <w:rPr>
                <w:b/>
                <w:sz w:val="17"/>
              </w:rPr>
              <w:t>Assessment Engine</w:t>
            </w:r>
          </w:p>
        </w:tc>
        <w:tc>
          <w:tcPr>
            <w:tcW w:type="dxa" w:w="5040"/>
            <w:tcMar>
              <w:top w:w="50" w:type="dxa"/>
              <w:bottom w:w="50" w:type="dxa"/>
              <w:left w:w="80" w:type="dxa"/>
              <w:right w:w="80" w:type="dxa"/>
            </w:tcMar>
          </w:tcPr>
          <w:p>
            <w:r>
              <w:rPr>
                <w:sz w:val="17"/>
              </w:rPr>
              <w:t>Provides on-site inspection checklists and records contractor proposals, risk evaluations, and itemized quotations.</w:t>
            </w:r>
          </w:p>
        </w:tc>
      </w:tr>
      <w:tr>
        <w:tc>
          <w:tcPr>
            <w:tcW w:type="dxa" w:w="5040"/>
            <w:tcMar>
              <w:top w:w="50" w:type="dxa"/>
              <w:bottom w:w="50" w:type="dxa"/>
              <w:left w:w="80" w:type="dxa"/>
              <w:right w:w="80" w:type="dxa"/>
            </w:tcMar>
          </w:tcPr>
          <w:p>
            <w:r>
              <w:rPr>
                <w:b/>
                <w:sz w:val="17"/>
              </w:rPr>
              <w:t>RAG Valuation Engine</w:t>
            </w:r>
          </w:p>
        </w:tc>
        <w:tc>
          <w:tcPr>
            <w:tcW w:type="dxa" w:w="5040"/>
            <w:tcMar>
              <w:top w:w="50" w:type="dxa"/>
              <w:bottom w:w="50" w:type="dxa"/>
              <w:left w:w="80" w:type="dxa"/>
              <w:right w:w="80" w:type="dxa"/>
            </w:tcMar>
          </w:tcPr>
          <w:p>
            <w:r>
              <w:rPr>
                <w:sz w:val="17"/>
              </w:rPr>
              <w:t>Retrieves relevant forestry department rate schedules and uses retrieved context to support automated timber valuations.</w:t>
            </w:r>
          </w:p>
        </w:tc>
      </w:tr>
      <w:tr>
        <w:tc>
          <w:tcPr>
            <w:tcW w:type="dxa" w:w="5040"/>
            <w:tcMar>
              <w:top w:w="50" w:type="dxa"/>
              <w:bottom w:w="50" w:type="dxa"/>
              <w:left w:w="80" w:type="dxa"/>
              <w:right w:w="80" w:type="dxa"/>
            </w:tcMar>
          </w:tcPr>
          <w:p>
            <w:r>
              <w:rPr>
                <w:b/>
                <w:sz w:val="17"/>
              </w:rPr>
              <w:t>Analytics</w:t>
            </w:r>
          </w:p>
        </w:tc>
        <w:tc>
          <w:tcPr>
            <w:tcW w:type="dxa" w:w="5040"/>
            <w:tcMar>
              <w:top w:w="50" w:type="dxa"/>
              <w:bottom w:w="50" w:type="dxa"/>
              <w:left w:w="80" w:type="dxa"/>
              <w:right w:w="80" w:type="dxa"/>
            </w:tcMar>
          </w:tcPr>
          <w:p>
            <w:r>
              <w:rPr>
                <w:sz w:val="17"/>
              </w:rPr>
              <w:t>Summarizes operational progress and provides information that can support stakeholder and administrative decisions.</w:t>
            </w:r>
          </w:p>
        </w:tc>
      </w:tr>
    </w:tbl>
    <w:p>
      <w:pPr>
        <w:spacing w:before="180" w:after="40"/>
        <w:jc w:val="center"/>
      </w:pPr>
      <w:r>
        <w:rPr>
          <w:rFonts w:ascii="Times New Roman" w:hAnsi="Times New Roman"/>
          <w:b/>
          <w:sz w:val="20"/>
        </w:rPr>
        <w:t>VI. SYSTEM ARCHITECTURE</w:t>
      </w:r>
    </w:p>
    <w:p>
      <w:pPr>
        <w:spacing w:after="60"/>
        <w:jc w:val="both"/>
      </w:pPr>
      <w:r>
        <w:rPr>
          <w:rFonts w:ascii="Times New Roman" w:hAnsi="Times New Roman"/>
          <w:sz w:val="20"/>
        </w:rPr>
        <w:t>The conceptual architecture of TreeConnect is organized into four logical layers:</w:t>
        <w:br/>
        <w:t>1) Presentation Layer</w:t>
        <w:br/>
        <w:t>2) Application and Workflow Layer</w:t>
        <w:br/>
        <w:t>3) Computational and Retrieval Layer</w:t>
        <w:br/>
        <w:t>4) Data Layer</w:t>
        <w:br/>
        <w:t>The presentation layer provides access to property inventory, harvest requests, inspection checklists, commercial proposals, progress dashboards, and valuation tools.</w:t>
        <w:br/>
        <w:t>The application layer manages user profiles, property registrations, assessment scheduling, and state-machine transitions.</w:t>
      </w:r>
    </w:p>
    <w:p>
      <w:pPr>
        <w:spacing w:after="60"/>
        <w:jc w:val="both"/>
      </w:pPr>
      <w:r>
        <w:rPr>
          <w:rFonts w:ascii="Times New Roman" w:hAnsi="Times New Roman"/>
          <w:sz w:val="20"/>
        </w:rPr>
        <w:t>The computational and retrieval layer manages rate schedule retrieval and market-grounded quotation generation.</w:t>
        <w:br/>
        <w:t>The data layer stores tree information, parcel geometries, assessment records, and operational activity data.</w:t>
      </w:r>
    </w:p>
    <w:p>
      <w:pPr>
        <w:spacing w:before="80" w:after="40"/>
        <w:jc w:val="center"/>
      </w:pPr>
      <w:r>
        <w:rPr>
          <w:rFonts w:ascii="Consolas" w:hAnsi="Consolas"/>
          <w:sz w:val="16"/>
        </w:rPr>
        <w:t>TreeConnect Harvest Architecture</w:t>
        <w:br/>
        <w:t>Landowner / User</w:t>
        <w:br/>
        <w:t>↓</w:t>
        <w:br/>
        <w:t>Operational Interface</w:t>
        <w:br/>
        <w:t>↓</w:t>
        <w:br/>
        <w:t>Tree Inventory Model</w:t>
        <w:br/>
        <w:t>↔</w:t>
        <w:br/>
        <w:t>Harvest Operations Engine</w:t>
        <w:br/>
        <w:t>↓</w:t>
        <w:br/>
        <w:t>Harvest Content / Assessment</w:t>
        <w:br/>
        <w:t>↓</w:t>
        <w:br/>
        <w:t>Operational Feedback</w:t>
        <w:br/>
        <w:t>Forestry Market Schedules</w:t>
        <w:br/>
        <w:t>→ Document Processing → Retrieval Index → Relevant Context → Valuation Engine → Stakeholders</w:t>
      </w:r>
    </w:p>
    <w:p>
      <w:pPr>
        <w:spacing w:after="120"/>
        <w:jc w:val="center"/>
      </w:pPr>
      <w:r>
        <w:rPr>
          <w:i/>
          <w:sz w:val="17"/>
        </w:rPr>
        <w:t>Fig. 1. Conceptual architecture of the proposed TreeConnect framework.</w:t>
      </w:r>
    </w:p>
    <w:p>
      <w:pPr>
        <w:spacing w:before="180" w:after="40"/>
        <w:jc w:val="center"/>
      </w:pPr>
      <w:r>
        <w:rPr>
          <w:rFonts w:ascii="Times New Roman" w:hAnsi="Times New Roman"/>
          <w:b/>
          <w:sz w:val="20"/>
        </w:rPr>
        <w:t>VII. HARVEST MANAGEMENT PROCESS</w:t>
      </w:r>
    </w:p>
    <w:p>
      <w:pPr>
        <w:spacing w:after="60"/>
        <w:jc w:val="both"/>
      </w:pPr>
      <w:r>
        <w:rPr>
          <w:rFonts w:ascii="Times New Roman" w:hAnsi="Times New Roman"/>
          <w:sz w:val="20"/>
        </w:rPr>
        <w:t>The proposed operational process consists of tree observation, volume state estimation, contractor activity selection, and feedback.</w:t>
      </w:r>
    </w:p>
    <w:p>
      <w:pPr>
        <w:spacing w:before="40" w:after="80"/>
        <w:ind w:left="144" w:right="144"/>
      </w:pPr>
      <w:r>
        <w:rPr>
          <w:b/>
          <w:sz w:val="17"/>
        </w:rPr>
        <w:t>Algorithm 1 TreeConnect Harvest Management Cycle</w:t>
        <w:br/>
      </w:r>
      <w:r>
        <w:rPr>
          <w:rFonts w:ascii="Consolas" w:hAnsi="Consolas"/>
          <w:sz w:val="16"/>
        </w:rPr>
        <w:t xml:space="preserve"> 1: Initialize property profile and tree inventory T</w:t>
        <w:br/>
        <w:t xml:space="preserve"> 2: Collect initial dendrometric information</w:t>
        <w:br/>
        <w:t xml:space="preserve"> 3: Estimate current merchantable timber volume</w:t>
        <w:br/>
        <w:t xml:space="preserve"> 4: Identify harvesting requirements</w:t>
        <w:br/>
        <w:t xml:space="preserve"> 5: Select appropriate licensed contractor</w:t>
        <w:br/>
        <w:t xml:space="preserve"> 6: Present site inspection checklist or assessment</w:t>
        <w:br/>
        <w:t xml:space="preserve"> 7: Record contractor inspection response</w:t>
        <w:br/>
        <w:t xml:space="preserve"> 8: Update tree and property model</w:t>
        <w:br/>
        <w:t xml:space="preserve"> 9: Recalculate operational requirements</w:t>
        <w:br/>
        <w:t>10: Repeat until the harvesting objective is completed</w:t>
      </w:r>
    </w:p>
    <w:p>
      <w:pPr>
        <w:spacing w:after="60"/>
        <w:jc w:val="both"/>
      </w:pPr>
      <w:r>
        <w:rPr>
          <w:rFonts w:ascii="Times New Roman" w:hAnsi="Times New Roman"/>
          <w:sz w:val="20"/>
        </w:rPr>
        <w:t>The cycle allows the system to incorporate new field evidence instead of treating the initial tree registration as static.</w:t>
      </w:r>
    </w:p>
    <w:p>
      <w:pPr>
        <w:spacing w:before="180" w:after="40"/>
        <w:jc w:val="center"/>
      </w:pPr>
      <w:r>
        <w:rPr>
          <w:rFonts w:ascii="Times New Roman" w:hAnsi="Times New Roman"/>
          <w:b/>
          <w:sz w:val="20"/>
        </w:rPr>
        <w:t>VIII. ADAPTIVE CONTRACTOR SELECTION</w:t>
      </w:r>
    </w:p>
    <w:p>
      <w:pPr>
        <w:spacing w:after="60"/>
        <w:jc w:val="both"/>
      </w:pPr>
      <w:r>
        <w:rPr>
          <w:rFonts w:ascii="Times New Roman" w:hAnsi="Times New Roman"/>
          <w:sz w:val="20"/>
        </w:rPr>
        <w:t>The operational engine evaluates candidate contractors according to the current tree inventory and parcel state.</w:t>
        <w:br/>
        <w:t>For parcel l and candidate contractor c, a conceptual relevance function can be expressed as:</w:t>
      </w:r>
    </w:p>
    <w:p>
      <w:pPr>
        <w:spacing w:before="80" w:after="80"/>
        <w:jc w:val="center"/>
      </w:pPr>
      <w:r>
        <w:rPr>
          <w:rFonts w:ascii="Times New Roman" w:hAnsi="Times New Roman"/>
          <w:i/>
          <w:sz w:val="20"/>
        </w:rPr>
        <w:t>S(c, l) = w_1 K(c, l) + w_2 P(c, l) + w_3 R(c, l)</w:t>
      </w:r>
      <w:r>
        <w:rPr>
          <w:rFonts w:ascii="Times New Roman" w:hAnsi="Times New Roman"/>
          <w:b/>
        </w:rPr>
        <w:t xml:space="preserve">    (4)</w:t>
      </w:r>
    </w:p>
    <w:p>
      <w:pPr>
        <w:spacing w:after="60"/>
        <w:jc w:val="both"/>
      </w:pPr>
      <w:r>
        <w:rPr>
          <w:rFonts w:ascii="Times New Roman" w:hAnsi="Times New Roman"/>
          <w:sz w:val="20"/>
        </w:rPr>
        <w:t>where:</w:t>
        <w:br/>
        <w:t>• K(c, l) represents geographic proximity to the property location;</w:t>
        <w:br/>
        <w:t>• P(c, l) represents relevance to observed past contractor performance;</w:t>
        <w:br/>
        <w:t>• R(c, l) represents relevance to identified equipment and labor requirements; and</w:t>
        <w:br/>
        <w:t>• w_1, w_2, and w_3 represent configurable weights.</w:t>
        <w:br/>
        <w:t>This formulation describes the proposed decision model. The weights must be determined and validated experimentally rather than being treated as established optimal parameters.</w:t>
      </w:r>
    </w:p>
    <w:p>
      <w:pPr>
        <w:spacing w:before="180" w:after="40"/>
        <w:jc w:val="center"/>
      </w:pPr>
      <w:r>
        <w:rPr>
          <w:rFonts w:ascii="Times New Roman" w:hAnsi="Times New Roman"/>
          <w:b/>
          <w:sz w:val="20"/>
        </w:rPr>
        <w:t>IX. STANDARDIZED ASSESSMENT</w:t>
      </w:r>
    </w:p>
    <w:p>
      <w:pPr>
        <w:spacing w:after="60"/>
        <w:jc w:val="both"/>
      </w:pPr>
      <w:r>
        <w:rPr>
          <w:rFonts w:ascii="Times New Roman" w:hAnsi="Times New Roman"/>
          <w:sz w:val="20"/>
        </w:rPr>
        <w:t>Assessment provides evidence about physical parcel conditions, terrain hazards, and supplies feedback to the operational engine.</w:t>
        <w:br/>
        <w:t>For an on-site inspection containing n items, a normalized performance or feasibility measure can be calculated as:</w:t>
      </w:r>
    </w:p>
    <w:p>
      <w:pPr>
        <w:spacing w:before="80" w:after="80"/>
        <w:jc w:val="center"/>
      </w:pPr>
      <w:r>
        <w:rPr>
          <w:rFonts w:ascii="Times New Roman" w:hAnsi="Times New Roman"/>
          <w:i/>
          <w:sz w:val="20"/>
        </w:rPr>
        <w:t>P_t = SUM_{j=1}^n s_j / SUM_{j=1}^n m_j</w:t>
      </w:r>
      <w:r>
        <w:rPr>
          <w:rFonts w:ascii="Times New Roman" w:hAnsi="Times New Roman"/>
          <w:b/>
        </w:rPr>
        <w:t xml:space="preserve">    (5)</w:t>
      </w:r>
    </w:p>
    <w:p>
      <w:pPr>
        <w:spacing w:after="60"/>
        <w:jc w:val="both"/>
      </w:pPr>
      <w:r>
        <w:rPr>
          <w:rFonts w:ascii="Times New Roman" w:hAnsi="Times New Roman"/>
          <w:sz w:val="20"/>
        </w:rPr>
        <w:t>where s_j represents the score obtained for inspection item j and m_j represents the maximum possible score.</w:t>
        <w:br/>
        <w:t>The resulting measure can be combined with previous inventory information to reduce the influence of unverified landowner self-reporting.</w:t>
        <w:br/>
        <w:t>When an inspection demonstrates site difficulty (e.g., steep terrain, power-line proximity), the system can prioritize specialized extraction equipment and additional safety measures. Consistent verification can support progression toward commercial agreement and felling.</w:t>
        <w:br/>
        <w:t>The effectiveness of the adaptation policy requires empirical evaluation.</w:t>
      </w:r>
    </w:p>
    <w:p>
      <w:pPr>
        <w:spacing w:before="180" w:after="40"/>
        <w:jc w:val="center"/>
      </w:pPr>
      <w:r>
        <w:rPr>
          <w:rFonts w:ascii="Times New Roman" w:hAnsi="Times New Roman"/>
          <w:b/>
          <w:sz w:val="20"/>
        </w:rPr>
        <w:t>X. RAG-BASED VALUATION ENGINE</w:t>
      </w:r>
    </w:p>
    <w:p>
      <w:pPr>
        <w:spacing w:after="60"/>
        <w:jc w:val="both"/>
      </w:pPr>
      <w:r>
        <w:rPr>
          <w:rFonts w:ascii="Times New Roman" w:hAnsi="Times New Roman"/>
          <w:sz w:val="20"/>
        </w:rPr>
        <w:t>The valuation engine provides automated commercial estimation while maintaining a connection with government-approved market resources.</w:t>
      </w:r>
    </w:p>
    <w:p>
      <w:pPr>
        <w:spacing w:before="120" w:after="40"/>
        <w:jc w:val="left"/>
      </w:pPr>
      <w:r>
        <w:rPr>
          <w:rFonts w:ascii="Times New Roman" w:hAnsi="Times New Roman"/>
          <w:i/>
          <w:sz w:val="20"/>
        </w:rPr>
        <w:t>A. Knowledge Ingestion</w:t>
      </w:r>
    </w:p>
    <w:p>
      <w:pPr>
        <w:spacing w:after="60"/>
        <w:jc w:val="both"/>
      </w:pPr>
      <w:r>
        <w:rPr>
          <w:rFonts w:ascii="Times New Roman" w:hAnsi="Times New Roman"/>
          <w:sz w:val="20"/>
        </w:rPr>
        <w:t>Authorized timber price schedules are processed before becoming available to the retrieval system. The conceptual process is:</w:t>
      </w:r>
    </w:p>
    <w:p>
      <w:pPr>
        <w:spacing w:before="80" w:after="80"/>
        <w:jc w:val="center"/>
      </w:pPr>
      <w:r>
        <w:rPr>
          <w:rFonts w:ascii="Times New Roman" w:hAnsi="Times New Roman"/>
          <w:i/>
          <w:sz w:val="20"/>
        </w:rPr>
        <w:t>D -&gt; C -&gt; E -&gt; I</w:t>
      </w:r>
      <w:r>
        <w:rPr>
          <w:rFonts w:ascii="Times New Roman" w:hAnsi="Times New Roman"/>
          <w:b/>
        </w:rPr>
        <w:t xml:space="preserve">    (6)</w:t>
      </w:r>
    </w:p>
    <w:p>
      <w:pPr>
        <w:spacing w:after="60"/>
        <w:jc w:val="both"/>
      </w:pPr>
      <w:r>
        <w:rPr>
          <w:rFonts w:ascii="Times New Roman" w:hAnsi="Times New Roman"/>
          <w:sz w:val="20"/>
        </w:rPr>
        <w:t>where:</w:t>
        <w:br/>
        <w:t>• D represents source statutory price documents,</w:t>
        <w:br/>
        <w:t>• C represents document rate chunks,</w:t>
        <w:br/>
        <w:t>• E represents vector embeddings, and</w:t>
        <w:br/>
        <w:t>• I represents the retrieval index.</w:t>
      </w:r>
    </w:p>
    <w:p>
      <w:pPr>
        <w:spacing w:before="120" w:after="40"/>
        <w:jc w:val="left"/>
      </w:pPr>
      <w:r>
        <w:rPr>
          <w:rFonts w:ascii="Times New Roman" w:hAnsi="Times New Roman"/>
          <w:i/>
          <w:sz w:val="20"/>
        </w:rPr>
        <w:t>B. Query Processing</w:t>
      </w:r>
    </w:p>
    <w:p>
      <w:pPr>
        <w:spacing w:after="60"/>
        <w:jc w:val="both"/>
      </w:pPr>
      <w:r>
        <w:rPr>
          <w:rFonts w:ascii="Times New Roman" w:hAnsi="Times New Roman"/>
          <w:sz w:val="20"/>
        </w:rPr>
        <w:t>When a valuation request is submitted, the parcel location and species query is converted into a representation suitable for retrieval. Relevant rate entries are then identified from the indexed schedules:</w:t>
      </w:r>
    </w:p>
    <w:p>
      <w:pPr>
        <w:spacing w:before="80" w:after="80"/>
        <w:jc w:val="center"/>
      </w:pPr>
      <w:r>
        <w:rPr>
          <w:rFonts w:ascii="Times New Roman" w:hAnsi="Times New Roman"/>
          <w:i/>
          <w:sz w:val="20"/>
        </w:rPr>
        <w:t>D_k = TopK( R(q, I) )</w:t>
      </w:r>
      <w:r>
        <w:rPr>
          <w:rFonts w:ascii="Times New Roman" w:hAnsi="Times New Roman"/>
          <w:b/>
        </w:rPr>
        <w:t xml:space="preserve">    (7)</w:t>
      </w:r>
    </w:p>
    <w:p>
      <w:pPr>
        <w:spacing w:after="60"/>
        <w:jc w:val="both"/>
      </w:pPr>
      <w:r>
        <w:rPr>
          <w:rFonts w:ascii="Times New Roman" w:hAnsi="Times New Roman"/>
          <w:sz w:val="20"/>
        </w:rPr>
        <w:t>The selected rate contexts are supplied to the quotation generation component.</w:t>
      </w:r>
    </w:p>
    <w:p>
      <w:pPr>
        <w:spacing w:before="120" w:after="40"/>
        <w:jc w:val="left"/>
      </w:pPr>
      <w:r>
        <w:rPr>
          <w:rFonts w:ascii="Times New Roman" w:hAnsi="Times New Roman"/>
          <w:i/>
          <w:sz w:val="20"/>
        </w:rPr>
        <w:t>C. Commercial Quote Generation</w:t>
      </w:r>
    </w:p>
    <w:p>
      <w:pPr>
        <w:spacing w:after="60"/>
        <w:jc w:val="both"/>
      </w:pPr>
      <w:r>
        <w:rPr>
          <w:rFonts w:ascii="Times New Roman" w:hAnsi="Times New Roman"/>
          <w:sz w:val="20"/>
        </w:rPr>
        <w:t>The generated quotation can be represented as:</w:t>
      </w:r>
    </w:p>
    <w:p>
      <w:pPr>
        <w:spacing w:before="80" w:after="80"/>
        <w:jc w:val="center"/>
      </w:pPr>
      <w:r>
        <w:rPr>
          <w:rFonts w:ascii="Times New Roman" w:hAnsi="Times New Roman"/>
          <w:i/>
          <w:sz w:val="20"/>
        </w:rPr>
        <w:t>A = G(Q, D_k)</w:t>
      </w:r>
      <w:r>
        <w:rPr>
          <w:rFonts w:ascii="Times New Roman" w:hAnsi="Times New Roman"/>
          <w:b/>
        </w:rPr>
        <w:t xml:space="preserve">    (8)</w:t>
      </w:r>
    </w:p>
    <w:p>
      <w:pPr>
        <w:spacing w:after="60"/>
        <w:jc w:val="both"/>
      </w:pPr>
      <w:r>
        <w:rPr>
          <w:rFonts w:ascii="Times New Roman" w:hAnsi="Times New Roman"/>
          <w:sz w:val="20"/>
        </w:rPr>
        <w:t>where Q represents the harvest query, D_k represents retrieved rate context, and G represents the valuation generation process.</w:t>
        <w:br/>
        <w:t>The design objective is to increase the relationship between the commercial quotation and the statutory resources associated with the district.</w:t>
        <w:br/>
        <w:t>However, retrieval grounding does not guarantee universal acceptance. Discrepancies can still arise from retrieval failure, outdated schedules, or extreme log defect behavior. Consequently, the evaluation should separately measure retrieval relevance and quote grounding.</w:t>
      </w:r>
    </w:p>
    <w:p>
      <w:pPr>
        <w:spacing w:before="180" w:after="40"/>
        <w:jc w:val="center"/>
      </w:pPr>
      <w:r>
        <w:rPr>
          <w:rFonts w:ascii="Times New Roman" w:hAnsi="Times New Roman"/>
          <w:b/>
          <w:sz w:val="20"/>
        </w:rPr>
        <w:t>XI. SUPPLY CHAIN ANALYTICS</w:t>
      </w:r>
    </w:p>
    <w:p>
      <w:pPr>
        <w:spacing w:after="60"/>
        <w:jc w:val="both"/>
      </w:pPr>
      <w:r>
        <w:rPr>
          <w:rFonts w:ascii="Times New Roman" w:hAnsi="Times New Roman"/>
          <w:sz w:val="20"/>
        </w:rPr>
        <w:t>Supply chain analytics provides information about harvesting activity and operational performance that can support decision-making [11], [12].</w:t>
        <w:br/>
        <w:t>TreeConnect can record indicators including:</w:t>
        <w:br/>
        <w:t>• assessment completion rates;</w:t>
        <w:br/>
        <w:t>• species harvest volumes;</w:t>
        <w:br/>
        <w:t>• operational milestones completed;</w:t>
        <w:br/>
        <w:t>• repeated quotation revisions;</w:t>
        <w:br/>
        <w:t>• lifecycle workflow progression;</w:t>
        <w:br/>
        <w:t>• interaction with valuation tools; and</w:t>
        <w:br/>
        <w:t>• changes in transaction velocity over time.</w:t>
        <w:br/>
        <w:t>The analytics component therefore functions as part of the adaptive feedback loop rather than solely as a visualization mechanism.</w:t>
      </w:r>
    </w:p>
    <w:p>
      <w:pPr>
        <w:spacing w:before="180" w:after="40"/>
        <w:jc w:val="center"/>
      </w:pPr>
      <w:r>
        <w:rPr>
          <w:rFonts w:ascii="Times New Roman" w:hAnsi="Times New Roman"/>
          <w:b/>
          <w:sz w:val="20"/>
        </w:rPr>
        <w:t>XII. RESEARCH METHODOLOGY</w:t>
      </w:r>
    </w:p>
    <w:p>
      <w:pPr>
        <w:spacing w:after="60"/>
        <w:jc w:val="both"/>
      </w:pPr>
      <w:r>
        <w:rPr>
          <w:rFonts w:ascii="Times New Roman" w:hAnsi="Times New Roman"/>
          <w:sz w:val="20"/>
        </w:rPr>
        <w:t>The research follows a design-and-evaluation methodology. The first stage identifies limitations in existing agroforestry timber trading through literature analysis. The second stage develops the proposed architecture based on the identified requirements. The third stage implements the system components. The final stage evaluates the system using predefined technical and operational measures.</w:t>
      </w:r>
    </w:p>
    <w:p>
      <w:pPr>
        <w:spacing w:before="120" w:after="40"/>
        <w:jc w:val="left"/>
      </w:pPr>
      <w:r>
        <w:rPr>
          <w:rFonts w:ascii="Times New Roman" w:hAnsi="Times New Roman"/>
          <w:i/>
          <w:sz w:val="20"/>
        </w:rPr>
        <w:t>A. Research Objectives</w:t>
      </w:r>
    </w:p>
    <w:p>
      <w:pPr>
        <w:spacing w:after="60"/>
        <w:jc w:val="both"/>
      </w:pPr>
      <w:r>
        <w:rPr>
          <w:rFonts w:ascii="Times New Roman" w:hAnsi="Times New Roman"/>
          <w:sz w:val="20"/>
        </w:rPr>
        <w:t>The study aims to:</w:t>
        <w:br/>
        <w:t>1) develop an integrated architecture for digital agroforestry harvest management;</w:t>
        <w:br/>
        <w:t>2) represent tree inventory attributes in a form that can influence subsequent harvesting activities;</w:t>
        <w:br/>
        <w:t>3) integrate retrieval-grounded valuation assistance with district-specific market resources;</w:t>
        <w:br/>
        <w:t>4) investigate adaptive site assessment and milestone-based agreement workflows; and</w:t>
        <w:br/>
        <w:t>5) establish measurable criteria for evaluating the resulting system.</w:t>
      </w:r>
    </w:p>
    <w:p>
      <w:pPr>
        <w:spacing w:before="180" w:after="40"/>
        <w:jc w:val="center"/>
      </w:pPr>
      <w:r>
        <w:rPr>
          <w:rFonts w:ascii="Times New Roman" w:hAnsi="Times New Roman"/>
          <w:b/>
          <w:sz w:val="20"/>
        </w:rPr>
        <w:t>XIII. RESEARCH QUESTIONS</w:t>
      </w:r>
    </w:p>
    <w:p>
      <w:pPr>
        <w:spacing w:after="60"/>
        <w:jc w:val="both"/>
      </w:pPr>
      <w:r>
        <w:rPr>
          <w:rFonts w:ascii="Times New Roman" w:hAnsi="Times New Roman"/>
          <w:sz w:val="20"/>
        </w:rPr>
        <w:t>The proposed research is guided by the following questions:</w:t>
        <w:br/>
        <w:t>RQ1: How can tree inventory information be incorporated into a continuous harvest management process?</w:t>
        <w:br/>
        <w:t>RQ2: How can retrieval-augmented generation be integrated with statutory price schedules to support commercial valuation assistance?</w:t>
        <w:br/>
        <w:t>RQ3: To what extent can tree inventory and site assessment influence subsequent contractor and quotation selection?</w:t>
        <w:br/>
        <w:t>RQ4: What measurable differences can be observed between digital and traditional timber harvest workflows?</w:t>
      </w:r>
    </w:p>
    <w:p>
      <w:pPr>
        <w:spacing w:before="180" w:after="40"/>
        <w:jc w:val="center"/>
      </w:pPr>
      <w:r>
        <w:rPr>
          <w:rFonts w:ascii="Times New Roman" w:hAnsi="Times New Roman"/>
          <w:b/>
          <w:sz w:val="20"/>
        </w:rPr>
        <w:t>XIV. EVALUATION FRAMEWORK</w:t>
      </w:r>
    </w:p>
    <w:p>
      <w:pPr>
        <w:spacing w:after="60"/>
        <w:jc w:val="both"/>
      </w:pPr>
      <w:r>
        <w:rPr>
          <w:rFonts w:ascii="Times New Roman" w:hAnsi="Times New Roman"/>
          <w:sz w:val="20"/>
        </w:rPr>
        <w:t>The evaluation should distinguish between technical system performance and operational outcomes.</w:t>
      </w:r>
    </w:p>
    <w:p>
      <w:pPr>
        <w:spacing w:before="120" w:after="40"/>
        <w:jc w:val="center"/>
      </w:pPr>
      <w:r>
        <w:rPr>
          <w:b/>
          <w:sz w:val="17"/>
        </w:rPr>
        <w:t>TABLE II</w:t>
        <w:br/>
        <w:t>PROPOSED EVALUATION MEASURES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left w:val="none"/>
          <w:right w:val="none"/>
          <w:insideV w:val="none"/>
        </w:tblBorders>
      </w:tblPr>
      <w:tblGrid>
        <w:gridCol w:w="5040"/>
        <w:gridCol w:w="5040"/>
      </w:tblGrid>
      <w:tr>
        <w:tc>
          <w:tcPr>
            <w:tcW w:type="dxa" w:w="5040"/>
            <w:shd w:fill="F2F2F2"/>
            <w:tcMar>
              <w:top w:w="60" w:type="dxa"/>
              <w:bottom w:w="60" w:type="dxa"/>
              <w:left w:w="80" w:type="dxa"/>
              <w:right w:w="80" w:type="dxa"/>
            </w:tcMar>
          </w:tcPr>
          <w:p>
            <w:r>
              <w:rPr>
                <w:b/>
                <w:sz w:val="17"/>
              </w:rPr>
              <w:t>Measure</w:t>
            </w:r>
          </w:p>
        </w:tc>
        <w:tc>
          <w:tcPr>
            <w:tcW w:type="dxa" w:w="5040"/>
            <w:shd w:fill="F2F2F2"/>
            <w:tcMar>
              <w:top w:w="60" w:type="dxa"/>
              <w:bottom w:w="60" w:type="dxa"/>
              <w:left w:w="80" w:type="dxa"/>
              <w:right w:w="80" w:type="dxa"/>
            </w:tcMar>
          </w:tcPr>
          <w:p>
            <w:r>
              <w:rPr>
                <w:b/>
                <w:sz w:val="17"/>
              </w:rPr>
              <w:t>Purpose</w:t>
            </w:r>
          </w:p>
        </w:tc>
      </w:tr>
      <w:tr>
        <w:tc>
          <w:tcPr>
            <w:tcW w:type="dxa" w:w="5040"/>
            <w:tcMar>
              <w:top w:w="50" w:type="dxa"/>
              <w:bottom w:w="50" w:type="dxa"/>
              <w:left w:w="80" w:type="dxa"/>
              <w:right w:w="80" w:type="dxa"/>
            </w:tcMar>
          </w:tcPr>
          <w:p>
            <w:r>
              <w:rPr>
                <w:b/>
                <w:sz w:val="17"/>
              </w:rPr>
              <w:t>Recommendation Relevance</w:t>
            </w:r>
          </w:p>
        </w:tc>
        <w:tc>
          <w:tcPr>
            <w:tcW w:type="dxa" w:w="5040"/>
            <w:tcMar>
              <w:top w:w="50" w:type="dxa"/>
              <w:bottom w:w="50" w:type="dxa"/>
              <w:left w:w="80" w:type="dxa"/>
              <w:right w:w="80" w:type="dxa"/>
            </w:tcMar>
          </w:tcPr>
          <w:p>
            <w:r>
              <w:rPr>
                <w:sz w:val="17"/>
              </w:rPr>
              <w:t>Determines whether selected contractors correspond to identified parcel requirements.</w:t>
            </w:r>
          </w:p>
        </w:tc>
      </w:tr>
      <w:tr>
        <w:tc>
          <w:tcPr>
            <w:tcW w:type="dxa" w:w="5040"/>
            <w:tcMar>
              <w:top w:w="50" w:type="dxa"/>
              <w:bottom w:w="50" w:type="dxa"/>
              <w:left w:w="80" w:type="dxa"/>
              <w:right w:w="80" w:type="dxa"/>
            </w:tcMar>
          </w:tcPr>
          <w:p>
            <w:r>
              <w:rPr>
                <w:b/>
                <w:sz w:val="17"/>
              </w:rPr>
              <w:t>Assessment Adaptation</w:t>
            </w:r>
          </w:p>
        </w:tc>
        <w:tc>
          <w:tcPr>
            <w:tcW w:type="dxa" w:w="5040"/>
            <w:tcMar>
              <w:top w:w="50" w:type="dxa"/>
              <w:bottom w:w="50" w:type="dxa"/>
              <w:left w:w="80" w:type="dxa"/>
              <w:right w:w="80" w:type="dxa"/>
            </w:tcMar>
          </w:tcPr>
          <w:p>
            <w:r>
              <w:rPr>
                <w:sz w:val="17"/>
              </w:rPr>
              <w:t>Examines whether subsequent proposals respond to field inspection performance.</w:t>
            </w:r>
          </w:p>
        </w:tc>
      </w:tr>
      <w:tr>
        <w:tc>
          <w:tcPr>
            <w:tcW w:type="dxa" w:w="5040"/>
            <w:tcMar>
              <w:top w:w="50" w:type="dxa"/>
              <w:bottom w:w="50" w:type="dxa"/>
              <w:left w:w="80" w:type="dxa"/>
              <w:right w:w="80" w:type="dxa"/>
            </w:tcMar>
          </w:tcPr>
          <w:p>
            <w:r>
              <w:rPr>
                <w:b/>
                <w:sz w:val="17"/>
              </w:rPr>
              <w:t>Retrieval Relevance</w:t>
            </w:r>
          </w:p>
        </w:tc>
        <w:tc>
          <w:tcPr>
            <w:tcW w:type="dxa" w:w="5040"/>
            <w:tcMar>
              <w:top w:w="50" w:type="dxa"/>
              <w:bottom w:w="50" w:type="dxa"/>
              <w:left w:w="80" w:type="dxa"/>
              <w:right w:w="80" w:type="dxa"/>
            </w:tcMar>
          </w:tcPr>
          <w:p>
            <w:r>
              <w:rPr>
                <w:sz w:val="17"/>
              </w:rPr>
              <w:t>Measures the relevance of retrieved price schedule passages to the parcel query.</w:t>
            </w:r>
          </w:p>
        </w:tc>
      </w:tr>
      <w:tr>
        <w:tc>
          <w:tcPr>
            <w:tcW w:type="dxa" w:w="5040"/>
            <w:tcMar>
              <w:top w:w="50" w:type="dxa"/>
              <w:bottom w:w="50" w:type="dxa"/>
              <w:left w:w="80" w:type="dxa"/>
              <w:right w:w="80" w:type="dxa"/>
            </w:tcMar>
          </w:tcPr>
          <w:p>
            <w:r>
              <w:rPr>
                <w:b/>
                <w:sz w:val="17"/>
              </w:rPr>
              <w:t>Answer Grounding</w:t>
            </w:r>
          </w:p>
        </w:tc>
        <w:tc>
          <w:tcPr>
            <w:tcW w:type="dxa" w:w="5040"/>
            <w:tcMar>
              <w:top w:w="50" w:type="dxa"/>
              <w:bottom w:w="50" w:type="dxa"/>
              <w:left w:w="80" w:type="dxa"/>
              <w:right w:w="80" w:type="dxa"/>
            </w:tcMar>
          </w:tcPr>
          <w:p>
            <w:r>
              <w:rPr>
                <w:sz w:val="17"/>
              </w:rPr>
              <w:t>Examines whether generated commercial quotes are supported by retrieved market material.</w:t>
            </w:r>
          </w:p>
        </w:tc>
      </w:tr>
      <w:tr>
        <w:tc>
          <w:tcPr>
            <w:tcW w:type="dxa" w:w="5040"/>
            <w:tcMar>
              <w:top w:w="50" w:type="dxa"/>
              <w:bottom w:w="50" w:type="dxa"/>
              <w:left w:w="80" w:type="dxa"/>
              <w:right w:w="80" w:type="dxa"/>
            </w:tcMar>
          </w:tcPr>
          <w:p>
            <w:r>
              <w:rPr>
                <w:b/>
                <w:sz w:val="17"/>
              </w:rPr>
              <w:t>Response Relevance</w:t>
            </w:r>
          </w:p>
        </w:tc>
        <w:tc>
          <w:tcPr>
            <w:tcW w:type="dxa" w:w="5040"/>
            <w:tcMar>
              <w:top w:w="50" w:type="dxa"/>
              <w:bottom w:w="50" w:type="dxa"/>
              <w:left w:w="80" w:type="dxa"/>
              <w:right w:w="80" w:type="dxa"/>
            </w:tcMar>
          </w:tcPr>
          <w:p>
            <w:r>
              <w:rPr>
                <w:sz w:val="17"/>
              </w:rPr>
              <w:t>Evaluates the usefulness and fairness of system-generated valuations.</w:t>
            </w:r>
          </w:p>
        </w:tc>
      </w:tr>
      <w:tr>
        <w:tc>
          <w:tcPr>
            <w:tcW w:type="dxa" w:w="5040"/>
            <w:tcMar>
              <w:top w:w="50" w:type="dxa"/>
              <w:bottom w:w="50" w:type="dxa"/>
              <w:left w:w="80" w:type="dxa"/>
              <w:right w:w="80" w:type="dxa"/>
            </w:tcMar>
          </w:tcPr>
          <w:p>
            <w:r>
              <w:rPr>
                <w:b/>
                <w:sz w:val="17"/>
              </w:rPr>
              <w:t>Operational Gain</w:t>
            </w:r>
          </w:p>
        </w:tc>
        <w:tc>
          <w:tcPr>
            <w:tcW w:type="dxa" w:w="5040"/>
            <w:tcMar>
              <w:top w:w="50" w:type="dxa"/>
              <w:bottom w:w="50" w:type="dxa"/>
              <w:left w:w="80" w:type="dxa"/>
              <w:right w:w="80" w:type="dxa"/>
            </w:tcMar>
          </w:tcPr>
          <w:p>
            <w:r>
              <w:rPr>
                <w:sz w:val="17"/>
              </w:rPr>
              <w:t>Compares transaction efficiency and net realization before and after the intervention.</w:t>
            </w:r>
          </w:p>
        </w:tc>
      </w:tr>
      <w:tr>
        <w:tc>
          <w:tcPr>
            <w:tcW w:type="dxa" w:w="5040"/>
            <w:tcMar>
              <w:top w:w="50" w:type="dxa"/>
              <w:bottom w:w="50" w:type="dxa"/>
              <w:left w:w="80" w:type="dxa"/>
              <w:right w:w="80" w:type="dxa"/>
            </w:tcMar>
          </w:tcPr>
          <w:p>
            <w:r>
              <w:rPr>
                <w:b/>
                <w:sz w:val="17"/>
              </w:rPr>
              <w:t>Engagement</w:t>
            </w:r>
          </w:p>
        </w:tc>
        <w:tc>
          <w:tcPr>
            <w:tcW w:type="dxa" w:w="5040"/>
            <w:tcMar>
              <w:top w:w="50" w:type="dxa"/>
              <w:bottom w:w="50" w:type="dxa"/>
              <w:left w:w="80" w:type="dxa"/>
              <w:right w:w="80" w:type="dxa"/>
            </w:tcMar>
          </w:tcPr>
          <w:p>
            <w:r>
              <w:rPr>
                <w:sz w:val="17"/>
              </w:rPr>
              <w:t>Measures interaction with platform workflows and tools during the study.</w:t>
            </w:r>
          </w:p>
        </w:tc>
      </w:tr>
    </w:tbl>
    <w:p>
      <w:pPr>
        <w:spacing w:before="120" w:after="40"/>
        <w:jc w:val="left"/>
      </w:pPr>
      <w:r>
        <w:rPr>
          <w:rFonts w:ascii="Times New Roman" w:hAnsi="Times New Roman"/>
          <w:i/>
          <w:sz w:val="20"/>
        </w:rPr>
        <w:t>A. Experimental Comparison</w:t>
      </w:r>
    </w:p>
    <w:p>
      <w:pPr>
        <w:spacing w:after="60"/>
        <w:jc w:val="both"/>
      </w:pPr>
      <w:r>
        <w:rPr>
          <w:rFonts w:ascii="Times New Roman" w:hAnsi="Times New Roman"/>
          <w:sz w:val="20"/>
        </w:rPr>
        <w:t>Where experimental participants are available, a digital harvest group can be compared with a baseline group using traditional intermediary trading. Let:</w:t>
      </w:r>
    </w:p>
    <w:p>
      <w:pPr>
        <w:spacing w:before="80" w:after="80"/>
        <w:jc w:val="center"/>
      </w:pPr>
      <w:r>
        <w:rPr>
          <w:rFonts w:ascii="Times New Roman" w:hAnsi="Times New Roman"/>
          <w:i/>
          <w:sz w:val="20"/>
        </w:rPr>
        <w:t>G = PostTest - PreTest</w:t>
      </w:r>
      <w:r>
        <w:rPr>
          <w:rFonts w:ascii="Times New Roman" w:hAnsi="Times New Roman"/>
          <w:b/>
        </w:rPr>
        <w:t xml:space="preserve">    (9)</w:t>
      </w:r>
    </w:p>
    <w:p>
      <w:pPr>
        <w:spacing w:after="60"/>
        <w:jc w:val="both"/>
      </w:pPr>
      <w:r>
        <w:rPr>
          <w:rFonts w:ascii="Times New Roman" w:hAnsi="Times New Roman"/>
          <w:sz w:val="20"/>
        </w:rPr>
        <w:t>where G represents the observed operational gain. For two groups, the difference in mean gain can be expressed as:</w:t>
      </w:r>
    </w:p>
    <w:p>
      <w:pPr>
        <w:spacing w:before="80" w:after="80"/>
        <w:jc w:val="center"/>
      </w:pPr>
      <w:r>
        <w:rPr>
          <w:rFonts w:ascii="Times New Roman" w:hAnsi="Times New Roman"/>
          <w:i/>
          <w:sz w:val="20"/>
        </w:rPr>
        <w:t>Delta G = G_platform - G_baseline</w:t>
      </w:r>
      <w:r>
        <w:rPr>
          <w:rFonts w:ascii="Times New Roman" w:hAnsi="Times New Roman"/>
          <w:b/>
        </w:rPr>
        <w:t xml:space="preserve">    (10)</w:t>
      </w:r>
    </w:p>
    <w:p>
      <w:pPr>
        <w:spacing w:after="60"/>
        <w:jc w:val="both"/>
      </w:pPr>
      <w:r>
        <w:rPr>
          <w:rFonts w:ascii="Times New Roman" w:hAnsi="Times New Roman"/>
          <w:sz w:val="20"/>
        </w:rPr>
        <w:t>The statistical significance and practical significance of the difference should be assessed using an appropriate statistical procedure after examining the characteristics of the collected data.</w:t>
        <w:br/>
        <w:t>No numerical experimental results are reported in this paper until the experiment has been conducted.</w:t>
      </w:r>
    </w:p>
    <w:p>
      <w:pPr>
        <w:spacing w:before="180" w:after="40"/>
        <w:jc w:val="center"/>
      </w:pPr>
      <w:r>
        <w:rPr>
          <w:rFonts w:ascii="Times New Roman" w:hAnsi="Times New Roman"/>
          <w:b/>
          <w:sz w:val="20"/>
        </w:rPr>
        <w:t>XV. EXPECTED CONTRIBUTION</w:t>
      </w:r>
    </w:p>
    <w:p>
      <w:pPr>
        <w:spacing w:after="60"/>
        <w:jc w:val="both"/>
      </w:pPr>
      <w:r>
        <w:rPr>
          <w:rFonts w:ascii="Times New Roman" w:hAnsi="Times New Roman"/>
          <w:sz w:val="20"/>
        </w:rPr>
        <w:t>The primary contribution of this work is architectural rather than the assertion of a predetermined economic effect.</w:t>
        <w:br/>
        <w:t>TreeConnect provides a framework in which tree inventory information, on-site assessment, adaptive contractor selection, analytics, and retrieval-grounded valuation assistance participate in the same operational cycle.</w:t>
        <w:br/>
        <w:t>This integration provides a basis for investigating relationships that cannot be adequately examined when the components are deployed independently. Tree inventory data can be considered not only as a cataloging outcome but also as information that can influence subsequent contractor and pricing selection. Similarly, the valuation engine can be evaluated not only according to general arithmetic accuracy but also according to its relationship with the statutory market schedules retrieved for a particular query.</w:t>
      </w:r>
    </w:p>
    <w:p>
      <w:pPr>
        <w:spacing w:before="180" w:after="40"/>
        <w:jc w:val="center"/>
      </w:pPr>
      <w:r>
        <w:rPr>
          <w:rFonts w:ascii="Times New Roman" w:hAnsi="Times New Roman"/>
          <w:b/>
          <w:sz w:val="20"/>
        </w:rPr>
        <w:t>XVI. DISCUSSION</w:t>
      </w:r>
    </w:p>
    <w:p>
      <w:pPr>
        <w:spacing w:after="60"/>
        <w:jc w:val="both"/>
      </w:pPr>
      <w:r>
        <w:rPr>
          <w:rFonts w:ascii="Times New Roman" w:hAnsi="Times New Roman"/>
          <w:sz w:val="20"/>
        </w:rPr>
        <w:t>The proposed framework addresses the integration problem identified in the reviewed literature by treating agroforestry harvest management as a continuous process. The tree inventory model represents the current state, field assessment provides evidence, analytics summarizes operational activity, and the operations engine uses these signals to determine subsequent activities.</w:t>
        <w:br/>
        <w:t>The RAG component introduces contextual market assistance. Instead of operating as a generic spreadsheet calculator, the proposed valuation engine can retrieve information from statutory schedules associated with the relevant district before generating a response.</w:t>
        <w:br/>
        <w:t>Recent work on human-centred analytics and digital platforms has emphasized considerations including human control, reliability, trustworthiness, privacy, and stakeholder involvement [13]. These considerations are relevant to TreeConnect because inventory data and platform-generated valuations can influence landowner livelihoods and contractor viability.</w:t>
        <w:br/>
        <w:t>The proposed framework should therefore be evaluated not only for technical performance but also for transparency, reliability, and stakeholder interaction.</w:t>
        <w:br/>
        <w:t>Improved retrieval performance does not automatically imply improved financial outcomes. Similarly, a compliant quotation does not necessarily guarantee zero operational risk. These distinctions motivate the multi-dimensional evaluation framework proposed in this study.</w:t>
      </w:r>
    </w:p>
    <w:p>
      <w:pPr>
        <w:spacing w:before="180" w:after="40"/>
        <w:jc w:val="center"/>
      </w:pPr>
      <w:r>
        <w:rPr>
          <w:rFonts w:ascii="Times New Roman" w:hAnsi="Times New Roman"/>
          <w:b/>
          <w:sz w:val="20"/>
        </w:rPr>
        <w:t>XVII. LIMITATIONS</w:t>
      </w:r>
    </w:p>
    <w:p>
      <w:pPr>
        <w:spacing w:after="60"/>
        <w:jc w:val="both"/>
      </w:pPr>
      <w:r>
        <w:rPr>
          <w:rFonts w:ascii="Times New Roman" w:hAnsi="Times New Roman"/>
          <w:sz w:val="20"/>
        </w:rPr>
        <w:t>Several limitations should be considered.</w:t>
        <w:br/>
        <w:t>First, operational decisions depend on the quality and quantity of tree inventory data. Limited measurement history may reduce the reliability of tree-state estimation.</w:t>
        <w:br/>
        <w:t>Second, the RAG component depends on the quality, coverage, and organization of the statutory price resources. Missing data in the knowledge base cannot necessarily be recovered through retrieval.</w:t>
        <w:br/>
        <w:t>Third, computational models can introduce errors even when relevant context has been retrieved. Retrieval grounding reduces reliance on static assumptions but does not completely eliminate miscalculation.</w:t>
        <w:br/>
        <w:t>Fourth, operational outcomes may be influenced by factors beyond the software system, including timber market volatility, regional weather, transport access, labor availability, and road regulations.</w:t>
        <w:br/>
        <w:t>Finally, the proposed architecture requires empirical validation before conclusions about supply chain effectiveness can be generalized to larger farming populations.</w:t>
      </w:r>
    </w:p>
    <w:p>
      <w:pPr>
        <w:spacing w:before="180" w:after="40"/>
        <w:jc w:val="center"/>
      </w:pPr>
      <w:r>
        <w:rPr>
          <w:rFonts w:ascii="Times New Roman" w:hAnsi="Times New Roman"/>
          <w:b/>
          <w:sz w:val="20"/>
        </w:rPr>
        <w:t>XVIII. FUTURE WORK</w:t>
      </w:r>
    </w:p>
    <w:p>
      <w:pPr>
        <w:spacing w:after="60"/>
        <w:jc w:val="both"/>
      </w:pPr>
      <w:r>
        <w:rPr>
          <w:rFonts w:ascii="Times New Roman" w:hAnsi="Times New Roman"/>
          <w:sz w:val="20"/>
        </w:rPr>
        <w:t>Future work will focus on empirical evaluation of TreeConnect using controlled experimental or quasi-experimental designs.</w:t>
        <w:br/>
        <w:t>More sophisticated dendrometric methods can be investigated to estimate trunk taper and heartwood quality. Retrieval and reranking strategies can also be evaluated to determine their effects on quotation accuracy.</w:t>
        <w:br/>
        <w:t>Explainability mechanisms can be incorporated so that landowners and contractors can understand the factors contributing to particular valuation or contractor recommendations.</w:t>
        <w:br/>
        <w:t>Privacy-preserving mechanisms should also be investigated because operational systems require the collection and processing of parcel property deeds and financial data.</w:t>
        <w:br/>
        <w:t>Finally, longitudinal studies can examine whether platform decisions remain effective as regional timber market dynamics change over time.</w:t>
      </w:r>
    </w:p>
    <w:p>
      <w:pPr>
        <w:spacing w:before="180" w:after="40"/>
        <w:jc w:val="center"/>
      </w:pPr>
      <w:r>
        <w:rPr>
          <w:rFonts w:ascii="Times New Roman" w:hAnsi="Times New Roman"/>
          <w:b/>
          <w:sz w:val="20"/>
        </w:rPr>
        <w:t>XIX. CONCLUSION</w:t>
      </w:r>
    </w:p>
    <w:p>
      <w:pPr>
        <w:spacing w:after="60"/>
        <w:jc w:val="both"/>
      </w:pPr>
      <w:r>
        <w:rPr>
          <w:rFonts w:ascii="Times New Roman" w:hAnsi="Times New Roman"/>
          <w:sz w:val="20"/>
        </w:rPr>
        <w:t>This paper presented TreeConnect, a digital agroforestry framework that integrates tree inventory modelling, structured harvest operations, assessment, supply chain analytics, and retrieval-augmented valuation assistance.</w:t>
        <w:br/>
        <w:t>The central design principle is to treat tree inventory data as an ongoing source of operational evidence rather than as an isolated listing. Information generated through field activities can update the tree model and subsequently influence the selection of contractors and commercial quotation activities.</w:t>
        <w:br/>
        <w:t>The RAG component provides a complementary mechanism for region-specific valuation assistance by retrieving relevant statutory price resources before generating quotations. This establishes a connection between digital estimations and the official economic schedules associated with a jurisdiction.</w:t>
        <w:br/>
        <w:t>Existing literature provides substantial evidence concerning individual agro-informatics components, including inventory modeling, logistics coordination, operational analytics, and automated valuation. The proposed work focuses on integrating these components into a common harvest workflow.</w:t>
        <w:br/>
        <w:t>The next stage of the research is empirical evaluation. Measured evidence is required to determine whether the proposed approach improves operational outcomes, contractor recommendation relevance, stakeholder engagement, and the quality of digital harvest coordination.</w:t>
      </w:r>
    </w:p>
    <w:p>
      <w:pPr>
        <w:spacing w:before="180" w:after="40"/>
        <w:jc w:val="center"/>
      </w:pPr>
      <w:r>
        <w:rPr>
          <w:rFonts w:ascii="Times New Roman" w:hAnsi="Times New Roman"/>
          <w:b/>
          <w:sz w:val="20"/>
        </w:rPr>
        <w:t>ACKNOWLEDGMENT</w:t>
      </w:r>
    </w:p>
    <w:p>
      <w:pPr>
        <w:spacing w:after="60"/>
        <w:jc w:val="both"/>
      </w:pPr>
      <w:r>
        <w:rPr>
          <w:rFonts w:ascii="Times New Roman" w:hAnsi="Times New Roman"/>
          <w:sz w:val="20"/>
        </w:rPr>
        <w:t>The author acknowledges the academic guidance and institutional support provided during the development of this research work.</w:t>
      </w:r>
    </w:p>
    <w:p>
      <w:pPr>
        <w:spacing w:before="180" w:after="40"/>
        <w:jc w:val="center"/>
      </w:pPr>
      <w:r>
        <w:rPr>
          <w:rFonts w:ascii="Times New Roman" w:hAnsi="Times New Roman"/>
          <w:b/>
          <w:sz w:val="20"/>
        </w:rPr>
        <w:t>REFERENCES</w:t>
      </w:r>
    </w:p>
    <w:p>
      <w:pPr>
        <w:spacing w:after="40"/>
        <w:ind w:left="288" w:hanging="288"/>
        <w:jc w:val="both"/>
      </w:pPr>
      <w:r>
        <w:rPr>
          <w:rFonts w:ascii="Times New Roman" w:hAnsi="Times New Roman"/>
          <w:sz w:val="16"/>
        </w:rPr>
        <w:t>[1] I. Gligorea, M. Cioca, R. Oancea, A.-T. Gorski, H. Gorski, and P. Tudorache, "Adaptive resource management using artificial intelligence in agriculture: A literature review," Agriculture &amp; Forestry Informatics, vol. 13, no. 12, p. 1216, 2023.</w:t>
      </w:r>
    </w:p>
    <w:p>
      <w:pPr>
        <w:spacing w:after="40"/>
        <w:ind w:left="288" w:hanging="288"/>
        <w:jc w:val="both"/>
      </w:pPr>
      <w:r>
        <w:rPr>
          <w:rFonts w:ascii="Times New Roman" w:hAnsi="Times New Roman"/>
          <w:sz w:val="16"/>
        </w:rPr>
        <w:t>[2] T. Kabudi, I. Pappas, and D. H. Olsen, "Digital agroforestry and supply chain systems: A systematic mapping of the literature," Computers and Electronics in Agriculture, vol. 2, p. 100017, 2021.</w:t>
      </w:r>
    </w:p>
    <w:p>
      <w:pPr>
        <w:spacing w:after="40"/>
        <w:ind w:left="288" w:hanging="288"/>
        <w:jc w:val="both"/>
      </w:pPr>
      <w:r>
        <w:rPr>
          <w:rFonts w:ascii="Times New Roman" w:hAnsi="Times New Roman"/>
          <w:sz w:val="16"/>
        </w:rPr>
        <w:t>[3] O. Zawacki-Richter, V. I. Marin, M. Bond, and F. Gouverneur, "Systematic review of computational intelligence applications in rural asset management," International Journal of Agricultural Sustainability, vol. 16, p. 39, 2019.</w:t>
      </w:r>
    </w:p>
    <w:p>
      <w:pPr>
        <w:spacing w:after="40"/>
        <w:ind w:left="288" w:hanging="288"/>
        <w:jc w:val="both"/>
      </w:pPr>
      <w:r>
        <w:rPr>
          <w:rFonts w:ascii="Times New Roman" w:hAnsi="Times New Roman"/>
          <w:sz w:val="16"/>
        </w:rPr>
        <w:t>[4] X. Wang, R. T. Huang, M. Sommer, B. Pei, P. Shidfar, M. S. Rehman, A. D. Ritzhaupt, and F. Martin, "The efficacy of digital agricultural market platforms from 2010 to 2022 on smallholder producer outcomes: A meta-analysis," Journal of Rural Economics and Technology, 2024.</w:t>
      </w:r>
    </w:p>
    <w:p>
      <w:pPr>
        <w:spacing w:after="40"/>
        <w:ind w:left="288" w:hanging="288"/>
        <w:jc w:val="both"/>
      </w:pPr>
      <w:r>
        <w:rPr>
          <w:rFonts w:ascii="Times New Roman" w:hAnsi="Times New Roman"/>
          <w:sz w:val="16"/>
        </w:rPr>
        <w:t>[5] W. Ma, O. O. Adesope, J. C. Nesbit, and Q. Liu, "Standardized field inspection workflows and operational outcomes: A meta-analysis," Journal of Supply Chain &amp; Operations Management, vol. 106, no. 4, pp. 901–918, 2014.</w:t>
      </w:r>
    </w:p>
    <w:p>
      <w:pPr>
        <w:spacing w:after="40"/>
        <w:ind w:left="288" w:hanging="288"/>
        <w:jc w:val="both"/>
      </w:pPr>
      <w:r>
        <w:rPr>
          <w:rFonts w:ascii="Times New Roman" w:hAnsi="Times New Roman"/>
          <w:sz w:val="16"/>
        </w:rPr>
        <w:t>[6] P. Lewis, E. Perez, A. Piktus, F. Petroni, V. Karpukhin, N. Goyal, H. Kuttler, M. Lewis, W.-t. Yih, T. Rocktaschel, S. Riedel, and D. Kiela, "Retrieval-augmented generation for knowledge-intensive nlp tasks," in Advances in Neural Information Processing Systems, vol. 33, 2020.</w:t>
      </w:r>
    </w:p>
    <w:p>
      <w:pPr>
        <w:spacing w:after="40"/>
        <w:ind w:left="288" w:hanging="288"/>
        <w:jc w:val="both"/>
      </w:pPr>
      <w:r>
        <w:rPr>
          <w:rFonts w:ascii="Times New Roman" w:hAnsi="Times New Roman"/>
          <w:sz w:val="16"/>
        </w:rPr>
        <w:t>[7] Z. Li, Z. Wang, W. Wang, K. Hung, H. Xie, and F. L. Wang, "Retrieval-augmented systems for agricultural and natural resource decision support: A systematic survey," Computers and Electronics in Agriculture, vol. 8, p. 100417, 2025.</w:t>
      </w:r>
    </w:p>
    <w:p>
      <w:pPr>
        <w:spacing w:after="40"/>
        <w:ind w:left="288" w:hanging="288"/>
        <w:jc w:val="both"/>
      </w:pPr>
      <w:r>
        <w:rPr>
          <w:rFonts w:ascii="Times New Roman" w:hAnsi="Times New Roman"/>
          <w:sz w:val="16"/>
        </w:rPr>
        <w:t>[8] "Digital agroforestry platforms: Architecture, implementation, and deployment review," Computers and Electronics in Agriculture, vol. 9, p. 100429, 2025.</w:t>
      </w:r>
    </w:p>
    <w:p>
      <w:pPr>
        <w:spacing w:after="40"/>
        <w:ind w:left="288" w:hanging="288"/>
        <w:jc w:val="both"/>
      </w:pPr>
      <w:r>
        <w:rPr>
          <w:rFonts w:ascii="Times New Roman" w:hAnsi="Times New Roman"/>
          <w:sz w:val="16"/>
        </w:rPr>
        <w:t>[9] A. Alkhatlan and J. Kalita, "Field inspection and operational support systems: A comprehensive historical survey with recent developments," arXiv preprint arXiv:1812.09628, 2018.</w:t>
      </w:r>
    </w:p>
    <w:p>
      <w:pPr>
        <w:spacing w:after="40"/>
        <w:ind w:left="288" w:hanging="288"/>
        <w:jc w:val="both"/>
      </w:pPr>
      <w:r>
        <w:rPr>
          <w:rFonts w:ascii="Times New Roman" w:hAnsi="Times New Roman"/>
          <w:sz w:val="16"/>
        </w:rPr>
        <w:t>[10] R. Meylani, "A critical glance at digital forestry management systems: A systematic review and qualitative synthesis of contemporary research literature," Forest Policy and Economics, 2024.</w:t>
      </w:r>
    </w:p>
    <w:p>
      <w:pPr>
        <w:spacing w:after="40"/>
        <w:ind w:left="288" w:hanging="288"/>
        <w:jc w:val="both"/>
      </w:pPr>
      <w:r>
        <w:rPr>
          <w:rFonts w:ascii="Times New Roman" w:hAnsi="Times New Roman"/>
          <w:sz w:val="16"/>
        </w:rPr>
        <w:t>[11] G. Siemens and P. Long, "Penetrating the fog: Analytics in decentralized natural resource logistics," Operations Management Review, vol. 46, no. 5, pp. 30–40, 2011.</w:t>
      </w:r>
    </w:p>
    <w:p>
      <w:pPr>
        <w:spacing w:after="40"/>
        <w:ind w:left="288" w:hanging="288"/>
        <w:jc w:val="both"/>
      </w:pPr>
      <w:r>
        <w:rPr>
          <w:rFonts w:ascii="Times New Roman" w:hAnsi="Times New Roman"/>
          <w:sz w:val="16"/>
        </w:rPr>
        <w:t>[12] D. Ifenthaler and J. Y.-K. Yau, "Utilising operational analytics for supply chain success: Reflections on current empirical findings," Research and Practice in Logistics Systems, vol. 12, p. 26, 2017.</w:t>
      </w:r>
    </w:p>
    <w:p>
      <w:pPr>
        <w:spacing w:after="40"/>
        <w:ind w:left="288" w:hanging="288"/>
        <w:jc w:val="both"/>
      </w:pPr>
      <w:r>
        <w:rPr>
          <w:rFonts w:ascii="Times New Roman" w:hAnsi="Times New Roman"/>
          <w:sz w:val="16"/>
        </w:rPr>
        <w:t>[13] R. Alfredo, V. Echeverria, Y. Jin, L. Yan, Z. Swiecki, D. Gasevic, and R. Martinez-Maldonado, "Human-centred operational analytics and digital trust in agricultural supply chains: A systematic literature review," Computers and Electronics in Agriculture, vol. 6, p. 100215, 2024.</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