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77F14D7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Hatfield, 2024</w:t>
      </w:r>
    </w:p>
    <w:p w14:paraId="27285371" w14:textId="77777777" w:rsidR="00E418AB" w:rsidRPr="00E418AB" w:rsidRDefault="00E418AB" w:rsidP="00E418AB">
      <w:pPr>
        <w:rPr>
          <w:rFonts w:ascii="Calibri" w:hAnsi="Calibri" w:cs="Calibri"/>
        </w:rPr>
      </w:pPr>
      <w:r w:rsidRPr="00E418AB">
        <w:rPr>
          <w:rFonts w:ascii="Calibri" w:hAnsi="Calibri" w:cs="Calibri"/>
        </w:rPr>
        <w:lastRenderedPageBreak/>
        <w:t>Contents Page Goes here</w:t>
      </w:r>
    </w:p>
    <w:p w14:paraId="2B166D12" w14:textId="77777777" w:rsidR="00585D77" w:rsidRDefault="00585D77">
      <w:pPr>
        <w:rPr>
          <w:rFonts w:ascii="Calibri" w:hAnsi="Calibri" w:cs="Calibri"/>
        </w:rPr>
      </w:pP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34B7532E" w14:textId="372E2E2E" w:rsidR="6086472D" w:rsidRPr="00E418AB" w:rsidRDefault="6086472D" w:rsidP="00E418AB">
      <w:pPr>
        <w:rP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1. Introduction</w:t>
      </w:r>
      <w:r w:rsidR="12DFAEB8"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1.1. Problem statement and research motivation</w:t>
      </w:r>
      <w:r w:rsidR="00E418AB" w:rsidRPr="00E418AB">
        <w:rPr>
          <w:rStyle w:val="Heading2Char"/>
          <w:rFonts w:ascii="Calibri" w:hAnsi="Calibri" w:cs="Calibri"/>
        </w:rPr>
        <w:t xml:space="preserve"> (100 Words)</w:t>
      </w:r>
      <w:r w:rsidRPr="00E418AB">
        <w:rPr>
          <w:rStyle w:val="Heading2Char"/>
          <w:rFonts w:ascii="Calibri" w:hAnsi="Calibri" w:cs="Calibri"/>
        </w:rPr>
        <w:br/>
        <w:t>1.2. The data set</w:t>
      </w:r>
      <w:r w:rsidR="00E418AB" w:rsidRPr="00E418AB">
        <w:rPr>
          <w:rStyle w:val="Heading2Char"/>
          <w:rFonts w:ascii="Calibri" w:hAnsi="Calibri" w:cs="Calibri"/>
        </w:rPr>
        <w:t xml:space="preserve"> (75 Words)</w:t>
      </w:r>
      <w:r w:rsidRPr="00E418AB">
        <w:rPr>
          <w:rStyle w:val="Heading2Char"/>
          <w:rFonts w:ascii="Calibri" w:hAnsi="Calibri" w:cs="Calibri"/>
        </w:rPr>
        <w:br/>
        <w:t>1.3. Research question</w:t>
      </w:r>
      <w:r w:rsidR="00E418AB" w:rsidRPr="00E418AB">
        <w:rPr>
          <w:rStyle w:val="Heading2Char"/>
          <w:rFonts w:ascii="Calibri" w:hAnsi="Calibri" w:cs="Calibri"/>
        </w:rPr>
        <w:t xml:space="preserve"> (50 Words)</w:t>
      </w:r>
      <w:r w:rsidRPr="00E418AB">
        <w:rPr>
          <w:rStyle w:val="Heading2Char"/>
          <w:rFonts w:ascii="Calibri" w:hAnsi="Calibri" w:cs="Calibri"/>
        </w:rPr>
        <w:br/>
        <w:t>1.4. Null hypothesis and alternative hypothesis (H0/H1)</w:t>
      </w:r>
      <w:r w:rsidR="00E418AB" w:rsidRPr="00E418AB">
        <w:rPr>
          <w:rStyle w:val="Heading2Char"/>
          <w:rFonts w:ascii="Calibri" w:hAnsi="Calibri" w:cs="Calibri"/>
        </w:rPr>
        <w:t xml:space="preserve"> (100 Words)</w:t>
      </w: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2. Background research (Lewis)</w:t>
      </w:r>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D14F9D" w:rsidP="00D14F9D">
      <w:pPr>
        <w:ind w:left="7920"/>
      </w:pPr>
      <w:sdt>
        <w:sdtPr>
          <w:id w:val="-1141574456"/>
          <w:citation/>
        </w:sdtPr>
        <w:sdtContent>
          <w:r>
            <w:fldChar w:fldCharType="begin"/>
          </w:r>
          <w:r>
            <w:instrText xml:space="preserve"> CITATION Gee24 \l 2057 </w:instrText>
          </w:r>
          <w:r>
            <w:fldChar w:fldCharType="separate"/>
          </w:r>
          <w:r w:rsidRPr="00D14F9D">
            <w:rPr>
              <w:noProof/>
            </w:rPr>
            <w:t>(Geeq, 2024)</w:t>
          </w:r>
          <w:r>
            <w:fldChar w:fldCharType="end"/>
          </w:r>
        </w:sdtContent>
      </w:sdt>
    </w:p>
    <w:p w14:paraId="083BF61B" w14:textId="446835E9" w:rsidR="00D14F9D" w:rsidRDefault="00D14F9D" w:rsidP="00D14F9D">
      <w:r>
        <w:t xml:space="preserve">The 2018 whitepaper for the GEEQ project </w:t>
      </w:r>
      <w:sdt>
        <w:sdtPr>
          <w:id w:val="-980767822"/>
          <w:citation/>
        </w:sdtPr>
        <w:sdtContent>
          <w:r>
            <w:fldChar w:fldCharType="begin"/>
          </w:r>
          <w:r>
            <w:instrText xml:space="preserve">CITATION Joh18 \y  \l 2057 </w:instrText>
          </w:r>
          <w:r>
            <w:fldChar w:fldCharType="separate"/>
          </w:r>
          <w:r w:rsidRPr="00D14F9D">
            <w:rPr>
              <w:noProof/>
            </w:rPr>
            <w:t>(Conley)</w:t>
          </w:r>
          <w:r>
            <w:fldChar w:fldCharType="end"/>
          </w:r>
        </w:sdtContent>
      </w:sdt>
      <w:r>
        <w:t xml:space="preserve"> </w:t>
      </w:r>
      <w:r>
        <w:t xml:space="preserve">highlights additional use cases. These include enabling payments for smart city for services such as parking or paying a toll to auctions on sites such as </w:t>
      </w:r>
      <w:r>
        <w:t>eBay</w:t>
      </w:r>
      <w:r>
        <w:t xml:space="preserve">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lastRenderedPageBreak/>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Default="00B72AAB" w:rsidP="00E418AB">
      <w:pPr>
        <w:rPr>
          <w:rFonts w:ascii="Calibri" w:hAnsi="Calibri" w:cs="Calibri"/>
        </w:rPr>
      </w:pPr>
      <w:r>
        <w:rPr>
          <w:rFonts w:ascii="Calibri" w:hAnsi="Calibri" w:cs="Calibri"/>
        </w:rPr>
        <w:t xml:space="preserve">The research question is of interest because whilst similar papers have concluded that there are not many regular patterns in cryptocurrencies </w:t>
      </w:r>
      <w:r w:rsidR="00200735">
        <w:rPr>
          <w:rFonts w:ascii="Calibri" w:hAnsi="Calibri" w:cs="Calibri"/>
        </w:rPr>
        <w:t>in terms of trading volume and returns it might be different for the GEEQ coin. There are however research gaps when it comes to coins that have low transactional costs and can be used regularly for micropayments. Researching the monthly volume of</w:t>
      </w:r>
      <w:r w:rsidR="007043FB">
        <w:rPr>
          <w:rFonts w:ascii="Calibri" w:hAnsi="Calibri" w:cs="Calibri"/>
        </w:rPr>
        <w:t xml:space="preserve"> the</w:t>
      </w:r>
      <w:r w:rsidR="00200735">
        <w:rPr>
          <w:rFonts w:ascii="Calibri" w:hAnsi="Calibri" w:cs="Calibri"/>
        </w:rPr>
        <w:t xml:space="preserve"> GEEQ </w:t>
      </w:r>
      <w:r w:rsidR="007043FB">
        <w:rPr>
          <w:rFonts w:ascii="Calibri" w:hAnsi="Calibri" w:cs="Calibri"/>
        </w:rPr>
        <w:t xml:space="preserve">coin </w:t>
      </w:r>
      <w:r w:rsidR="00200735">
        <w:rPr>
          <w:rFonts w:ascii="Calibri" w:hAnsi="Calibri" w:cs="Calibri"/>
        </w:rPr>
        <w:t>might</w:t>
      </w:r>
      <w:r w:rsidR="007043FB">
        <w:rPr>
          <w:rFonts w:ascii="Calibri" w:hAnsi="Calibri" w:cs="Calibri"/>
        </w:rPr>
        <w:t xml:space="preserve"> show regular trading behaviours</w:t>
      </w:r>
      <w:r w:rsidR="00200735">
        <w:rPr>
          <w:rFonts w:ascii="Calibri" w:hAnsi="Calibri" w:cs="Calibri"/>
        </w:rPr>
        <w:t xml:space="preserve"> </w:t>
      </w:r>
      <w:r w:rsidR="007043FB">
        <w:rPr>
          <w:rFonts w:ascii="Calibri" w:hAnsi="Calibri" w:cs="Calibri"/>
        </w:rPr>
        <w:t xml:space="preserve">across certain months or it might be like other papers where there was no regular pattern when it comes to trading. </w:t>
      </w:r>
    </w:p>
    <w:p w14:paraId="2465BF5D" w14:textId="44B9323F"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r w:rsidRPr="00E418AB">
        <w:rPr>
          <w:rStyle w:val="Heading2Char"/>
          <w:rFonts w:ascii="Calibri" w:hAnsi="Calibri" w:cs="Calibri"/>
        </w:rPr>
        <w:br/>
        <w:t>3.2. Additional information relating to understanding the data (optional)</w:t>
      </w:r>
      <w:r w:rsidR="00E418AB" w:rsidRPr="00E418AB">
        <w:rPr>
          <w:rStyle w:val="Heading2Char"/>
          <w:rFonts w:ascii="Calibri" w:hAnsi="Calibri" w:cs="Calibri"/>
        </w:rPr>
        <w:t xml:space="preserve"> (50 Words)</w:t>
      </w:r>
      <w:r w:rsidRPr="00E418AB">
        <w:rPr>
          <w:rStyle w:val="Heading2Char"/>
          <w:rFonts w:ascii="Calibri" w:hAnsi="Calibri" w:cs="Calibri"/>
        </w:rPr>
        <w:br/>
        <w:t>3.3. Useful information for the data understanding</w:t>
      </w:r>
      <w:r w:rsidR="00E418AB" w:rsidRPr="00E418AB">
        <w:rPr>
          <w:rStyle w:val="Heading2Char"/>
          <w:rFonts w:ascii="Calibri" w:hAnsi="Calibri" w:cs="Calibri"/>
        </w:rPr>
        <w:t xml:space="preserve"> (50 Words)</w:t>
      </w:r>
    </w:p>
    <w:p w14:paraId="09ACF88C" w14:textId="3F890ABC"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A62E189" w14:textId="4F4C1D3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5. Evaluation – group’s experience at 7COM1079 (</w:t>
      </w:r>
      <w:proofErr w:type="spellStart"/>
      <w:r w:rsidRPr="00585D77">
        <w:rPr>
          <w:rStyle w:val="Heading1Char"/>
          <w:rFonts w:ascii="Calibri" w:hAnsi="Calibri" w:cs="Calibri"/>
          <w:sz w:val="44"/>
          <w:szCs w:val="44"/>
        </w:rPr>
        <w:t>Vishua</w:t>
      </w:r>
      <w:proofErr w:type="spellEnd"/>
      <w:r w:rsidRPr="00585D77">
        <w:rPr>
          <w:rStyle w:val="Heading1Char"/>
          <w:rFonts w:ascii="Calibri" w:hAnsi="Calibri" w:cs="Calibri"/>
          <w:sz w:val="44"/>
          <w:szCs w:val="44"/>
        </w:rPr>
        <w:t>)</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r w:rsidRPr="00E418AB">
        <w:rPr>
          <w:rStyle w:val="Heading2Char"/>
          <w:rFonts w:ascii="Calibri" w:hAnsi="Calibri" w:cs="Calibri"/>
        </w:rPr>
        <w:br/>
      </w:r>
      <w:r w:rsidRPr="00E418AB">
        <w:rPr>
          <w:rStyle w:val="Heading2Char"/>
          <w:rFonts w:ascii="Calibri" w:hAnsi="Calibri" w:cs="Calibri"/>
        </w:rPr>
        <w:lastRenderedPageBreak/>
        <w:t>5.4. Project’s overall judgement</w:t>
      </w:r>
      <w:r w:rsidR="00E418AB" w:rsidRPr="00E418AB">
        <w:rPr>
          <w:rStyle w:val="Heading2Char"/>
          <w:rFonts w:ascii="Calibri" w:hAnsi="Calibri" w:cs="Calibri"/>
        </w:rPr>
        <w:t xml:space="preserve"> (50 Words)</w:t>
      </w:r>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p>
    <w:p w14:paraId="5A376016" w14:textId="00477BFB"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1Char"/>
          <w:rFonts w:ascii="Calibri" w:hAnsi="Calibri" w:cs="Calibri"/>
        </w:rPr>
        <w:br/>
      </w: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r w:rsidRPr="00E418AB">
        <w:rPr>
          <w:rStyle w:val="Heading2Char"/>
          <w:rFonts w:ascii="Calibri" w:hAnsi="Calibri" w:cs="Calibri"/>
        </w:rPr>
        <w:br/>
        <w:t>6.3. Reasons and/or implications for future work, limitations of your stud</w:t>
      </w:r>
      <w:r w:rsidR="00E418AB" w:rsidRPr="00E418AB">
        <w:rPr>
          <w:rStyle w:val="Heading2Char"/>
          <w:rFonts w:ascii="Calibri" w:hAnsi="Calibri" w:cs="Calibri"/>
        </w:rPr>
        <w:t xml:space="preserve"> (50 Words)</w:t>
      </w:r>
    </w:p>
    <w:p w14:paraId="4DB675C8" w14:textId="77777777" w:rsidR="007043FB" w:rsidRPr="00E418AB" w:rsidRDefault="6086472D" w:rsidP="00E418AB">
      <w:pPr>
        <w:rPr>
          <w:rFonts w:ascii="Calibri" w:hAnsi="Calibri" w:cs="Calibri"/>
        </w:rPr>
      </w:pPr>
      <w:r w:rsidRPr="00585D77">
        <w:rPr>
          <w:rFonts w:ascii="Calibri" w:hAnsi="Calibri" w:cs="Calibri"/>
          <w:sz w:val="44"/>
          <w:szCs w:val="44"/>
        </w:rPr>
        <w:br/>
      </w:r>
    </w:p>
    <w:sdt>
      <w:sdtPr>
        <w:id w:val="-1760204541"/>
        <w:docPartObj>
          <w:docPartGallery w:val="Bibliographies"/>
          <w:docPartUnique/>
        </w:docPartObj>
      </w:sdtPr>
      <w:sdtEndPr>
        <w:rPr>
          <w:rFonts w:asciiTheme="minorHAnsi" w:eastAsiaTheme="minorEastAsia" w:hAnsiTheme="minorHAnsi" w:cstheme="minorBidi"/>
          <w:color w:val="auto"/>
          <w:sz w:val="24"/>
          <w:szCs w:val="24"/>
        </w:rPr>
      </w:sdtEndPr>
      <w:sdtContent>
        <w:p w14:paraId="6BD16780" w14:textId="59CA3240" w:rsidR="007043FB" w:rsidRDefault="007043FB">
          <w:pPr>
            <w:pStyle w:val="Heading1"/>
          </w:pPr>
          <w:r>
            <w:t>7.0 References</w:t>
          </w:r>
        </w:p>
        <w:sdt>
          <w:sdtPr>
            <w:id w:val="-573587230"/>
            <w:bibliography/>
          </w:sdtPr>
          <w:sdtContent>
            <w:p w14:paraId="415BA042" w14:textId="77777777" w:rsidR="007043FB" w:rsidRDefault="007043FB" w:rsidP="007043FB">
              <w:pPr>
                <w:pStyle w:val="Bibliography"/>
                <w:rPr>
                  <w:noProof/>
                </w:rPr>
              </w:pPr>
              <w:r>
                <w:fldChar w:fldCharType="begin"/>
              </w:r>
              <w:r>
                <w:instrText xml:space="preserve"> BIBLIOGRAPHY </w:instrText>
              </w:r>
              <w:r>
                <w:fldChar w:fldCharType="separate"/>
              </w:r>
              <w:r>
                <w:rPr>
                  <w:noProof/>
                </w:rPr>
                <w:t xml:space="preserve">Conley, J. P., 2018. </w:t>
              </w:r>
              <w:r>
                <w:rPr>
                  <w:i/>
                  <w:iCs/>
                  <w:noProof/>
                </w:rPr>
                <w:t xml:space="preserve">The Geeq Project White paper Version 2.0. </w:t>
              </w:r>
              <w:r>
                <w:rPr>
                  <w:noProof/>
                </w:rPr>
                <w:t xml:space="preserve">[Online] </w:t>
              </w:r>
              <w:r>
                <w:rPr>
                  <w:noProof/>
                </w:rPr>
                <w:br/>
                <w:t xml:space="preserve">Available at: </w:t>
              </w:r>
              <w:r>
                <w:rPr>
                  <w:noProof/>
                  <w:u w:val="single"/>
                </w:rPr>
                <w:t>https://geeq.io/wp-content/uploads/2018/08/White-paper.pdf</w:t>
              </w:r>
              <w:r>
                <w:rPr>
                  <w:noProof/>
                </w:rPr>
                <w:br/>
                <w:t>[Accessed 31 12 2024].</w:t>
              </w:r>
            </w:p>
            <w:p w14:paraId="731FD545" w14:textId="77777777" w:rsidR="007043FB" w:rsidRDefault="007043FB" w:rsidP="007043FB">
              <w:pPr>
                <w:pStyle w:val="Bibliography"/>
                <w:rPr>
                  <w:noProof/>
                </w:rPr>
              </w:pPr>
              <w:r>
                <w:rPr>
                  <w:noProof/>
                </w:rPr>
                <w:t xml:space="preserve">Conley, J. P., 2019. </w:t>
              </w:r>
              <w:r>
                <w:rPr>
                  <w:i/>
                  <w:iCs/>
                  <w:noProof/>
                </w:rPr>
                <w:t xml:space="preserve">The Geeq™ White Paper. </w:t>
              </w:r>
              <w:r>
                <w:rPr>
                  <w:noProof/>
                </w:rPr>
                <w:t xml:space="preserve">[Online] </w:t>
              </w:r>
              <w:r>
                <w:rPr>
                  <w:noProof/>
                </w:rPr>
                <w:br/>
                <w:t xml:space="preserve">Available at: </w:t>
              </w:r>
              <w:r>
                <w:rPr>
                  <w:noProof/>
                  <w:u w:val="single"/>
                </w:rPr>
                <w:t>https://geeq.io/geeq-white-paper-2/</w:t>
              </w:r>
              <w:r>
                <w:rPr>
                  <w:noProof/>
                </w:rPr>
                <w:br/>
                <w:t>[Accessed 31 12 2024].</w:t>
              </w:r>
            </w:p>
            <w:p w14:paraId="2745BB58" w14:textId="77777777" w:rsidR="007043FB" w:rsidRDefault="007043FB" w:rsidP="007043FB">
              <w:pPr>
                <w:pStyle w:val="Bibliography"/>
                <w:rPr>
                  <w:noProof/>
                </w:rPr>
              </w:pPr>
              <w:r>
                <w:rPr>
                  <w:noProof/>
                </w:rPr>
                <w:t xml:space="preserve">Drik G. Baur, D. C. K. G. Z. (. L., 2019. Bitcoin time-of-day, day-of-week and month-of-year effects in returns and trading volume. </w:t>
              </w:r>
              <w:r>
                <w:rPr>
                  <w:i/>
                  <w:iCs/>
                  <w:noProof/>
                </w:rPr>
                <w:t xml:space="preserve">Finance Research Letters , </w:t>
              </w:r>
              <w:r>
                <w:rPr>
                  <w:noProof/>
                </w:rPr>
                <w:t>Volume 31, pp. 78-92.</w:t>
              </w:r>
            </w:p>
            <w:p w14:paraId="3930DB70" w14:textId="77777777" w:rsidR="007043FB" w:rsidRDefault="007043FB" w:rsidP="007043FB">
              <w:pPr>
                <w:pStyle w:val="Bibliography"/>
                <w:rPr>
                  <w:noProof/>
                </w:rPr>
              </w:pPr>
              <w:r>
                <w:rPr>
                  <w:noProof/>
                </w:rPr>
                <w:t xml:space="preserve">Geeq, 2024. </w:t>
              </w:r>
              <w:r>
                <w:rPr>
                  <w:i/>
                  <w:iCs/>
                  <w:noProof/>
                </w:rPr>
                <w:t xml:space="preserve">Powered by Geeq. </w:t>
              </w:r>
              <w:r>
                <w:rPr>
                  <w:noProof/>
                </w:rPr>
                <w:t xml:space="preserve">[Online] </w:t>
              </w:r>
              <w:r>
                <w:rPr>
                  <w:noProof/>
                </w:rPr>
                <w:br/>
                <w:t xml:space="preserve">Available at: </w:t>
              </w:r>
              <w:r>
                <w:rPr>
                  <w:noProof/>
                  <w:u w:val="single"/>
                </w:rPr>
                <w:t>https://geeq.io/tokenomics-update-as-of-testnet-v1/</w:t>
              </w:r>
              <w:r>
                <w:rPr>
                  <w:noProof/>
                </w:rPr>
                <w:br/>
                <w:t>[Accessed 31 12 2024].</w:t>
              </w:r>
            </w:p>
            <w:p w14:paraId="225F2192" w14:textId="77777777" w:rsidR="007043FB" w:rsidRDefault="007043FB" w:rsidP="007043FB">
              <w:pPr>
                <w:pStyle w:val="Bibliography"/>
                <w:rPr>
                  <w:noProof/>
                </w:rPr>
              </w:pPr>
              <w:r>
                <w:rPr>
                  <w:noProof/>
                </w:rPr>
                <w:t xml:space="preserve">Kaiser, L., 2019. Seasonality in cryptocurrencies. </w:t>
              </w:r>
              <w:r>
                <w:rPr>
                  <w:i/>
                  <w:iCs/>
                  <w:noProof/>
                </w:rPr>
                <w:t xml:space="preserve">Finance Research Letters, </w:t>
              </w:r>
              <w:r>
                <w:rPr>
                  <w:noProof/>
                </w:rPr>
                <w:t>Volume 31, pp. 232-238.</w:t>
              </w:r>
            </w:p>
            <w:p w14:paraId="5B7C7E47" w14:textId="4880F00C" w:rsidR="007043FB" w:rsidRDefault="007043FB" w:rsidP="007043FB">
              <w:r>
                <w:rPr>
                  <w:b/>
                  <w:bCs/>
                  <w:noProof/>
                </w:rPr>
                <w:fldChar w:fldCharType="end"/>
              </w:r>
            </w:p>
          </w:sdtContent>
        </w:sdt>
      </w:sdtContent>
    </w:sdt>
    <w:p w14:paraId="11275957" w14:textId="3F5C29A5" w:rsidR="6086472D" w:rsidRPr="00E418AB" w:rsidRDefault="6086472D" w:rsidP="00E418AB">
      <w:pPr>
        <w:rPr>
          <w:rFonts w:ascii="Calibri" w:hAnsi="Calibri" w:cs="Calibri"/>
        </w:rPr>
      </w:pPr>
    </w:p>
    <w:p w14:paraId="74434561" w14:textId="759CDDDE" w:rsidR="6086472D" w:rsidRPr="00E418AB" w:rsidRDefault="6086472D" w:rsidP="00E418AB">
      <w:pPr>
        <w:rP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7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F0540"/>
    <w:rsid w:val="00200735"/>
    <w:rsid w:val="00252CDB"/>
    <w:rsid w:val="002F4C45"/>
    <w:rsid w:val="00503C6F"/>
    <w:rsid w:val="00585D77"/>
    <w:rsid w:val="006B7FEE"/>
    <w:rsid w:val="006D54CF"/>
    <w:rsid w:val="007043FB"/>
    <w:rsid w:val="00836602"/>
    <w:rsid w:val="00841112"/>
    <w:rsid w:val="00B11BA4"/>
    <w:rsid w:val="00B72AAB"/>
    <w:rsid w:val="00D14F9D"/>
    <w:rsid w:val="00E418AB"/>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chartTrackingRefBased/>
  <w15:docId w15:val="{9D958F0F-34BE-4B81-B02A-E4EFC959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D182C2FA-0980-4F73-9F8D-78FA4BE6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lewis bailey</cp:lastModifiedBy>
  <cp:revision>6</cp:revision>
  <dcterms:created xsi:type="dcterms:W3CDTF">2024-12-24T15:05:00Z</dcterms:created>
  <dcterms:modified xsi:type="dcterms:W3CDTF">2025-01-02T15:07:00Z</dcterms:modified>
</cp:coreProperties>
</file>