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Calibri" w:hAnsi="Calibri"/>
          <w:b/>
          <w:color w:val="1E3A8A"/>
          <w:sz w:val="48"/>
        </w:rPr>
        <w:t>Phishing URL &amp; Domain Attack Detection System</w:t>
      </w:r>
    </w:p>
    <w:p>
      <w:pPr>
        <w:spacing w:after="320"/>
      </w:pPr>
      <w:r>
        <w:rPr>
          <w:rFonts w:ascii="Calibri" w:hAnsi="Calibri"/>
          <w:color w:val="0284C7"/>
          <w:sz w:val="26"/>
        </w:rPr>
        <w:t>Comprehensive Engineering Master Specification &amp; Project Guide (HLD, LLD, DPR &amp; Architecture)</w:t>
      </w:r>
    </w:p>
    <w:tbl>
      <w:tblPr>
        <w:tblW w:type="auto" w:w="0"/>
        <w:jc w:val="center"/>
        <w:tblLook w:firstColumn="1" w:firstRow="1" w:lastColumn="0" w:lastRow="0" w:noHBand="0" w:noVBand="1" w:val="04A0"/>
      </w:tblPr>
      <w:tblGrid>
        <w:gridCol w:w="3312"/>
        <w:gridCol w:w="3312"/>
        <w:gridCol w:w="3312"/>
      </w:tblGrid>
      <w:tr>
        <w:tc>
          <w:tcPr>
            <w:tcW w:type="dxa" w:w="3312"/>
            <w:shd w:fill="F1F5F9"/>
            <w:tcMar>
              <w:top w:w="80" w:type="dxa"/>
              <w:bottom w:w="80" w:type="dxa"/>
              <w:left w:w="100" w:type="dxa"/>
              <w:right w:w="100" w:type="dxa"/>
            </w:tcMar>
          </w:tcPr>
          <w:p>
            <w:pPr>
              <w:spacing w:after="0"/>
            </w:pPr>
            <w:r>
              <w:rPr>
                <w:b/>
                <w:color w:val="64748B"/>
                <w:sz w:val="18"/>
              </w:rPr>
              <w:t>Project Category</w:t>
              <w:br/>
            </w:r>
            <w:r>
              <w:rPr>
                <w:b/>
                <w:color w:val="1E3A8A"/>
                <w:sz w:val="20"/>
              </w:rPr>
              <w:t>Cybersecurity &amp; Applied AI</w:t>
            </w:r>
          </w:p>
        </w:tc>
        <w:tc>
          <w:tcPr>
            <w:tcW w:type="dxa" w:w="3312"/>
            <w:shd w:fill="F1F5F9"/>
            <w:tcMar>
              <w:top w:w="80" w:type="dxa"/>
              <w:bottom w:w="80" w:type="dxa"/>
              <w:left w:w="100" w:type="dxa"/>
              <w:right w:w="100" w:type="dxa"/>
            </w:tcMar>
          </w:tcPr>
          <w:p>
            <w:pPr>
              <w:spacing w:after="0"/>
            </w:pPr>
            <w:r>
              <w:rPr>
                <w:b/>
                <w:color w:val="64748B"/>
                <w:sz w:val="18"/>
              </w:rPr>
              <w:t>Model Architecture</w:t>
              <w:br/>
            </w:r>
            <w:r>
              <w:rPr>
                <w:b/>
                <w:color w:val="1E3A8A"/>
                <w:sz w:val="20"/>
              </w:rPr>
              <w:t>Multilayer Perceptron (MLP)</w:t>
            </w:r>
          </w:p>
        </w:tc>
        <w:tc>
          <w:tcPr>
            <w:tcW w:type="dxa" w:w="3312"/>
            <w:shd w:fill="F1F5F9"/>
            <w:tcMar>
              <w:top w:w="80" w:type="dxa"/>
              <w:bottom w:w="80" w:type="dxa"/>
              <w:left w:w="100" w:type="dxa"/>
              <w:right w:w="100" w:type="dxa"/>
            </w:tcMar>
          </w:tcPr>
          <w:p>
            <w:pPr>
              <w:spacing w:after="0"/>
            </w:pPr>
            <w:r>
              <w:rPr>
                <w:b/>
                <w:color w:val="64748B"/>
                <w:sz w:val="18"/>
              </w:rPr>
              <w:t>Training Dataset</w:t>
              <w:br/>
            </w:r>
            <w:r>
              <w:rPr>
                <w:b/>
                <w:color w:val="1E3A8A"/>
                <w:sz w:val="20"/>
              </w:rPr>
              <w:t>450k+ Kaggle (SMOTE: 600k)</w:t>
            </w:r>
          </w:p>
        </w:tc>
      </w:tr>
      <w:tr>
        <w:tc>
          <w:tcPr>
            <w:tcW w:type="dxa" w:w="3312"/>
            <w:shd w:fill="F1F5F9"/>
            <w:tcMar>
              <w:top w:w="80" w:type="dxa"/>
              <w:bottom w:w="80" w:type="dxa"/>
              <w:left w:w="100" w:type="dxa"/>
              <w:right w:w="100" w:type="dxa"/>
            </w:tcMar>
          </w:tcPr>
          <w:p>
            <w:pPr>
              <w:spacing w:after="0"/>
            </w:pPr>
            <w:r>
              <w:rPr>
                <w:b/>
                <w:color w:val="64748B"/>
                <w:sz w:val="18"/>
              </w:rPr>
              <w:t>Target Accuracy</w:t>
              <w:br/>
            </w:r>
            <w:r>
              <w:rPr>
                <w:b/>
                <w:color w:val="1E3A8A"/>
                <w:sz w:val="20"/>
              </w:rPr>
              <w:t>99.1% Test Accuracy</w:t>
            </w:r>
          </w:p>
        </w:tc>
        <w:tc>
          <w:tcPr>
            <w:tcW w:type="dxa" w:w="3312"/>
            <w:shd w:fill="F1F5F9"/>
            <w:tcMar>
              <w:top w:w="80" w:type="dxa"/>
              <w:bottom w:w="80" w:type="dxa"/>
              <w:left w:w="100" w:type="dxa"/>
              <w:right w:w="100" w:type="dxa"/>
            </w:tcMar>
          </w:tcPr>
          <w:p>
            <w:pPr>
              <w:spacing w:after="0"/>
            </w:pPr>
            <w:r>
              <w:rPr>
                <w:b/>
                <w:color w:val="64748B"/>
                <w:sz w:val="18"/>
              </w:rPr>
              <w:t>Inference Speed</w:t>
              <w:br/>
            </w:r>
            <w:r>
              <w:rPr>
                <w:b/>
                <w:color w:val="1E3A8A"/>
                <w:sz w:val="20"/>
              </w:rPr>
              <w:t>&lt; 50ms Lexical Extraction</w:t>
            </w:r>
          </w:p>
        </w:tc>
        <w:tc>
          <w:tcPr>
            <w:tcW w:type="dxa" w:w="3312"/>
            <w:shd w:fill="F1F5F9"/>
            <w:tcMar>
              <w:top w:w="80" w:type="dxa"/>
              <w:bottom w:w="80" w:type="dxa"/>
              <w:left w:w="100" w:type="dxa"/>
              <w:right w:w="100" w:type="dxa"/>
            </w:tcMar>
          </w:tcPr>
          <w:p>
            <w:pPr>
              <w:spacing w:after="0"/>
            </w:pPr>
            <w:r>
              <w:rPr>
                <w:b/>
                <w:color w:val="64748B"/>
                <w:sz w:val="18"/>
              </w:rPr>
              <w:t>Deployment Target</w:t>
              <w:br/>
            </w:r>
            <w:r>
              <w:rPr>
                <w:b/>
                <w:color w:val="1E3A8A"/>
                <w:sz w:val="20"/>
              </w:rPr>
              <w:t>REST API &amp; Modern Web UI</w:t>
            </w:r>
          </w:p>
        </w:tc>
      </w:tr>
    </w:tbl>
    <w:p>
      <w:pPr>
        <w:spacing w:after="240"/>
      </w:pPr>
    </w:p>
    <w:p>
      <w:pPr>
        <w:keepNext/>
        <w:spacing w:before="360" w:after="120"/>
      </w:pPr>
      <w:r>
        <w:rPr>
          <w:rFonts w:ascii="Calibri" w:hAnsi="Calibri"/>
          <w:b/>
          <w:color w:val="1E3A8A"/>
          <w:sz w:val="32"/>
        </w:rPr>
        <w:t>1. Executive Summary</w:t>
      </w:r>
    </w:p>
    <w:p>
      <w:pPr>
        <w:spacing w:after="160"/>
      </w:pPr>
      <w:r>
        <w:t>Phishing remains the preeminent attack vector responsible for the vast majority of cybersecurity breaches worldwide. Attackers disguise malicious hyperlinks as legitimate organizations to deceive users into surrendering credentials, private tokens, or banking information. This project implements a fully autonomous, high-throughput machine learning system designed to inspect and classify URLs as benign or malicious in real-time.</w:t>
      </w:r>
    </w:p>
    <w:p>
      <w:pPr>
        <w:spacing w:after="160"/>
      </w:pPr>
      <w:r>
        <w:t>Unlike conventional signature-based blacklists or reactive antivirus scanners that require visiting the target site (exposing client endpoints to drive-by malware), our system performs pure static lexical and syntactic feature extraction. Operating on 16 discrete URL structural dimensions, the classification engine leverages a 4-layer Deep Neural Network (Multilayer Perceptron) trained across 600,000 balanced instances, achieving 99.1% detection accuracy.</w:t>
      </w:r>
    </w:p>
    <w:p>
      <w:pPr>
        <w:keepNext/>
        <w:spacing w:before="360" w:after="120"/>
      </w:pPr>
      <w:r>
        <w:rPr>
          <w:rFonts w:ascii="Calibri" w:hAnsi="Calibri"/>
          <w:b/>
          <w:color w:val="1E3A8A"/>
          <w:sz w:val="32"/>
        </w:rPr>
        <w:t>2. Threat Landscape &amp; Problem Statement (HLD Analysis)</w:t>
      </w:r>
    </w:p>
    <w:p>
      <w:pPr>
        <w:keepNext/>
        <w:spacing w:before="240" w:after="80"/>
      </w:pPr>
      <w:r>
        <w:rPr>
          <w:rFonts w:ascii="Calibri" w:hAnsi="Calibri"/>
          <w:b/>
          <w:color w:val="0284C7"/>
          <w:sz w:val="26"/>
        </w:rPr>
        <w:t>2.1 The Growing Phishing Threat</w:t>
      </w:r>
    </w:p>
    <w:p>
      <w:r>
        <w:t>Modern enterprise workflows have transitioned toward cloud services and remote communication, expanding the attack surface exponentially. Statistical findings highlight the urgency of autonomous ML-driven URL filtering:</w:t>
      </w:r>
    </w:p>
    <w:p>
      <w:pPr>
        <w:spacing w:after="60"/>
        <w:ind w:left="360"/>
      </w:pPr>
      <w:r>
        <w:rPr>
          <w:b/>
          <w:color w:val="1E3A8A"/>
        </w:rPr>
        <w:t xml:space="preserve">•  Employee Vulnerability: </w:t>
      </w:r>
      <w:r>
        <w:rPr>
          <w:color w:val="334155"/>
        </w:rPr>
        <w:t>Research from Tessian establishes that an average enterprise employee receives 14 malicious emails annually, with 96% of phishing attacks originating through email.</w:t>
      </w:r>
    </w:p>
    <w:p>
      <w:pPr>
        <w:spacing w:after="60"/>
        <w:ind w:left="360"/>
      </w:pPr>
      <w:r>
        <w:rPr>
          <w:b/>
          <w:color w:val="1E3A8A"/>
        </w:rPr>
        <w:t xml:space="preserve">•  Training Failure Rate: </w:t>
      </w:r>
      <w:r>
        <w:rPr>
          <w:color w:val="334155"/>
        </w:rPr>
        <w:t>According to Terranova Security benchmarks, nearly 20% of corporate employees open phishing links, and 67.5% of those go on to submit sensitive credentials on fake landing pages.</w:t>
      </w:r>
    </w:p>
    <w:p>
      <w:pPr>
        <w:spacing w:after="60"/>
        <w:ind w:left="360"/>
      </w:pPr>
      <w:r>
        <w:rPr>
          <w:b/>
          <w:color w:val="1E3A8A"/>
        </w:rPr>
        <w:t xml:space="preserve">•  Financial Damage: </w:t>
      </w:r>
      <w:r>
        <w:rPr>
          <w:color w:val="334155"/>
        </w:rPr>
        <w:t>IBM Security's Cost of a Data Breach Report identifies phishing as the second costliest initial breach vector, incurring an average organizational expense of $4.65 Million per incident.</w:t>
      </w:r>
    </w:p>
    <w:p>
      <w:pPr>
        <w:spacing w:after="60"/>
        <w:ind w:left="360"/>
      </w:pPr>
      <w:r>
        <w:rPr>
          <w:b/>
          <w:color w:val="1E3A8A"/>
        </w:rPr>
        <w:t xml:space="preserve">•  Corporate Valuation Impact: </w:t>
      </w:r>
      <w:r>
        <w:rPr>
          <w:color w:val="334155"/>
        </w:rPr>
        <w:t>Verizon forensic studies reveal companies suffer an immediate 5% decline in equity valuation across the six months following a publicly disclosed breach.</w:t>
      </w:r>
    </w:p>
    <w:p>
      <w:pPr>
        <w:spacing w:after="60"/>
        <w:ind w:left="360"/>
      </w:pPr>
      <w:r>
        <w:rPr>
          <w:b/>
          <w:color w:val="1E3A8A"/>
        </w:rPr>
        <w:t xml:space="preserve">•  Human as Last Line of Defense: </w:t>
      </w:r>
      <w:r>
        <w:rPr>
          <w:color w:val="334155"/>
        </w:rPr>
        <w:t>Legacy anti-spam filters and static blocklists fail against zero-day phishing domains registered minutes prior to an attack. Relying on employee vigilance is provenly insufficient; automated machine defense is imperative.</w:t>
      </w:r>
    </w:p>
    <w:p>
      <w:pPr>
        <w:keepNext/>
        <w:spacing w:before="360" w:after="120"/>
      </w:pPr>
      <w:r>
        <w:rPr>
          <w:rFonts w:ascii="Calibri" w:hAnsi="Calibri"/>
          <w:b/>
          <w:color w:val="1E3A8A"/>
          <w:sz w:val="32"/>
        </w:rPr>
        <w:t>3. System Architecture &amp; Component Interaction</w:t>
      </w:r>
    </w:p>
    <w:p>
      <w:r>
        <w:t>The application is structured as a modular, decoupled architecture supporting both interactive end-user scanning and programmatic microservice integration:</w:t>
      </w:r>
    </w:p>
    <w:tbl>
      <w:tblPr>
        <w:tblW w:type="auto" w:w="0"/>
        <w:jc w:val="center"/>
        <w:tblLook w:firstColumn="1" w:firstRow="1" w:lastColumn="0" w:lastRow="0" w:noHBand="0" w:noVBand="1" w:val="04A0"/>
      </w:tblPr>
      <w:tblGrid>
        <w:gridCol w:w="3312"/>
        <w:gridCol w:w="3312"/>
        <w:gridCol w:w="3312"/>
      </w:tblGrid>
      <w:tr>
        <w:tc>
          <w:tcPr>
            <w:tcW w:type="dxa" w:w="3312"/>
            <w:shd w:fill="0F172A"/>
          </w:tcPr>
          <w:p>
            <w:r>
              <w:rPr>
                <w:b/>
                <w:color w:val="FFFFFF"/>
                <w:sz w:val="20"/>
              </w:rPr>
              <w:t>Tier / Layer</w:t>
            </w:r>
          </w:p>
        </w:tc>
        <w:tc>
          <w:tcPr>
            <w:tcW w:type="dxa" w:w="3312"/>
            <w:shd w:fill="0F172A"/>
          </w:tcPr>
          <w:p>
            <w:r>
              <w:rPr>
                <w:b/>
                <w:color w:val="FFFFFF"/>
                <w:sz w:val="20"/>
              </w:rPr>
              <w:t>Component Technology</w:t>
            </w:r>
          </w:p>
        </w:tc>
        <w:tc>
          <w:tcPr>
            <w:tcW w:type="dxa" w:w="3312"/>
            <w:shd w:fill="0F172A"/>
          </w:tcPr>
          <w:p>
            <w:r>
              <w:rPr>
                <w:b/>
                <w:color w:val="FFFFFF"/>
                <w:sz w:val="20"/>
              </w:rPr>
              <w:t>Core Responsibility</w:t>
            </w:r>
          </w:p>
        </w:tc>
      </w:tr>
      <w:tr>
        <w:tc>
          <w:tcPr>
            <w:tcW w:type="dxa" w:w="3312"/>
            <w:shd w:fill="F8FAFC"/>
            <w:tcMar>
              <w:top w:w="70" w:type="dxa"/>
              <w:bottom w:w="70" w:type="dxa"/>
              <w:left w:w="90" w:type="dxa"/>
              <w:right w:w="90" w:type="dxa"/>
            </w:tcMar>
          </w:tcPr>
          <w:p>
            <w:r>
              <w:rPr>
                <w:sz w:val="19"/>
              </w:rPr>
              <w:t>Presentation Layer</w:t>
            </w:r>
          </w:p>
        </w:tc>
        <w:tc>
          <w:tcPr>
            <w:tcW w:type="dxa" w:w="3312"/>
            <w:shd w:fill="F8FAFC"/>
            <w:tcMar>
              <w:top w:w="70" w:type="dxa"/>
              <w:bottom w:w="70" w:type="dxa"/>
              <w:left w:w="90" w:type="dxa"/>
              <w:right w:w="90" w:type="dxa"/>
            </w:tcMar>
          </w:tcPr>
          <w:p>
            <w:r>
              <w:rPr>
                <w:sz w:val="19"/>
              </w:rPr>
              <w:t>Modern Responsive Web UI (HTML5 / CSS3 / Vanilla JS)</w:t>
            </w:r>
          </w:p>
        </w:tc>
        <w:tc>
          <w:tcPr>
            <w:tcW w:type="dxa" w:w="3312"/>
            <w:shd w:fill="F8FAFC"/>
            <w:tcMar>
              <w:top w:w="70" w:type="dxa"/>
              <w:bottom w:w="70" w:type="dxa"/>
              <w:left w:w="90" w:type="dxa"/>
              <w:right w:w="90" w:type="dxa"/>
            </w:tcMar>
          </w:tcPr>
          <w:p>
            <w:r>
              <w:rPr>
                <w:sz w:val="19"/>
              </w:rPr>
              <w:t>Provides a modern, high-aesthetic interface with real-time risk gauges, instant feedback, and security breakdown.</w:t>
            </w:r>
          </w:p>
        </w:tc>
      </w:tr>
      <w:tr>
        <w:tc>
          <w:tcPr>
            <w:tcW w:type="dxa" w:w="3312"/>
            <w:shd w:fill="FFFFFF"/>
            <w:tcMar>
              <w:top w:w="70" w:type="dxa"/>
              <w:bottom w:w="70" w:type="dxa"/>
              <w:left w:w="90" w:type="dxa"/>
              <w:right w:w="90" w:type="dxa"/>
            </w:tcMar>
          </w:tcPr>
          <w:p>
            <w:r>
              <w:rPr>
                <w:sz w:val="19"/>
              </w:rPr>
              <w:t>Microservice REST API</w:t>
            </w:r>
          </w:p>
        </w:tc>
        <w:tc>
          <w:tcPr>
            <w:tcW w:type="dxa" w:w="3312"/>
            <w:shd w:fill="FFFFFF"/>
            <w:tcMar>
              <w:top w:w="70" w:type="dxa"/>
              <w:bottom w:w="70" w:type="dxa"/>
              <w:left w:w="90" w:type="dxa"/>
              <w:right w:w="90" w:type="dxa"/>
            </w:tcMar>
          </w:tcPr>
          <w:p>
            <w:r>
              <w:rPr>
                <w:sz w:val="19"/>
              </w:rPr>
              <w:t>FastAPI / Python Web Engine (API.py)</w:t>
            </w:r>
          </w:p>
        </w:tc>
        <w:tc>
          <w:tcPr>
            <w:tcW w:type="dxa" w:w="3312"/>
            <w:shd w:fill="FFFFFF"/>
            <w:tcMar>
              <w:top w:w="70" w:type="dxa"/>
              <w:bottom w:w="70" w:type="dxa"/>
              <w:left w:w="90" w:type="dxa"/>
              <w:right w:w="90" w:type="dxa"/>
            </w:tcMar>
          </w:tcPr>
          <w:p>
            <w:r>
              <w:rPr>
                <w:sz w:val="19"/>
              </w:rPr>
              <w:t>Accepts JSON payload containing target URL, coordinates feature extraction pipeline, and formats response JSON with risk metrics.</w:t>
            </w:r>
          </w:p>
        </w:tc>
      </w:tr>
      <w:tr>
        <w:tc>
          <w:tcPr>
            <w:tcW w:type="dxa" w:w="3312"/>
            <w:shd w:fill="F8FAFC"/>
            <w:tcMar>
              <w:top w:w="70" w:type="dxa"/>
              <w:bottom w:w="70" w:type="dxa"/>
              <w:left w:w="90" w:type="dxa"/>
              <w:right w:w="90" w:type="dxa"/>
            </w:tcMar>
          </w:tcPr>
          <w:p>
            <w:r>
              <w:rPr>
                <w:sz w:val="19"/>
              </w:rPr>
              <w:t>Inference Engine</w:t>
            </w:r>
          </w:p>
        </w:tc>
        <w:tc>
          <w:tcPr>
            <w:tcW w:type="dxa" w:w="3312"/>
            <w:shd w:fill="F8FAFC"/>
            <w:tcMar>
              <w:top w:w="70" w:type="dxa"/>
              <w:bottom w:w="70" w:type="dxa"/>
              <w:left w:w="90" w:type="dxa"/>
              <w:right w:w="90" w:type="dxa"/>
            </w:tcMar>
          </w:tcPr>
          <w:p>
            <w:r>
              <w:rPr>
                <w:sz w:val="19"/>
              </w:rPr>
              <w:t>TensorFlow / Keras MLP (Malicious_URL_Prediction.h5)</w:t>
            </w:r>
          </w:p>
        </w:tc>
        <w:tc>
          <w:tcPr>
            <w:tcW w:type="dxa" w:w="3312"/>
            <w:shd w:fill="F8FAFC"/>
            <w:tcMar>
              <w:top w:w="70" w:type="dxa"/>
              <w:bottom w:w="70" w:type="dxa"/>
              <w:left w:w="90" w:type="dxa"/>
              <w:right w:w="90" w:type="dxa"/>
            </w:tcMar>
          </w:tcPr>
          <w:p>
            <w:r>
              <w:rPr>
                <w:sz w:val="19"/>
              </w:rPr>
              <w:t>Pre-trained deep neural network processing 16 normalized lexical features into a malicious probability distribution [0.0 - 1.0].</w:t>
            </w:r>
          </w:p>
        </w:tc>
      </w:tr>
    </w:tbl>
    <w:p>
      <w:pPr>
        <w:spacing w:after="160"/>
      </w:pPr>
    </w:p>
    <w:p>
      <w:pPr>
        <w:keepNext/>
        <w:spacing w:before="360" w:after="120"/>
      </w:pPr>
      <w:r>
        <w:rPr>
          <w:rFonts w:ascii="Calibri" w:hAnsi="Calibri"/>
          <w:b/>
          <w:color w:val="1E3A8A"/>
          <w:sz w:val="32"/>
        </w:rPr>
        <w:t>4. Feature Engineering &amp; Extraction Methodology (LLD)</w:t>
      </w:r>
    </w:p>
    <w:p>
      <w:r>
        <w:t>To safeguard the host machine and eliminate outbound network latency, zero network requests (such as DNS queries or HTTP requests to the attacker server) are conducted during feature extraction. Instead, 16 distinct syntactic, lexical, and structural metrics are parsed directly from the URL string.</w:t>
      </w:r>
    </w:p>
    <w:tbl>
      <w:tblPr>
        <w:tblW w:type="auto" w:w="0"/>
        <w:jc w:val="center"/>
        <w:tblLook w:firstColumn="1" w:firstRow="1" w:lastColumn="0" w:lastRow="0" w:noHBand="0" w:noVBand="1" w:val="04A0"/>
      </w:tblPr>
      <w:tblGrid>
        <w:gridCol w:w="3312"/>
        <w:gridCol w:w="3312"/>
        <w:gridCol w:w="3312"/>
      </w:tblGrid>
      <w:tr>
        <w:tc>
          <w:tcPr>
            <w:tcW w:type="dxa" w:w="3312"/>
            <w:shd w:fill="1E3A8A"/>
          </w:tcPr>
          <w:p>
            <w:r>
              <w:rPr>
                <w:b/>
                <w:color w:val="FFFFFF"/>
                <w:sz w:val="20"/>
              </w:rPr>
              <w:t>Feature Name</w:t>
            </w:r>
          </w:p>
        </w:tc>
        <w:tc>
          <w:tcPr>
            <w:tcW w:type="dxa" w:w="3312"/>
            <w:shd w:fill="1E3A8A"/>
          </w:tcPr>
          <w:p>
            <w:r>
              <w:rPr>
                <w:b/>
                <w:color w:val="FFFFFF"/>
                <w:sz w:val="20"/>
              </w:rPr>
              <w:t>Category</w:t>
            </w:r>
          </w:p>
        </w:tc>
        <w:tc>
          <w:tcPr>
            <w:tcW w:type="dxa" w:w="3312"/>
            <w:shd w:fill="1E3A8A"/>
          </w:tcPr>
          <w:p>
            <w:r>
              <w:rPr>
                <w:b/>
                <w:color w:val="FFFFFF"/>
                <w:sz w:val="20"/>
              </w:rPr>
              <w:t>Extraction Logic &amp; Security Rationale</w:t>
            </w:r>
          </w:p>
        </w:tc>
      </w:tr>
      <w:tr>
        <w:tc>
          <w:tcPr>
            <w:tcW w:type="dxa" w:w="3312"/>
            <w:shd w:fill="F8FAFC"/>
            <w:tcMar>
              <w:top w:w="50" w:type="dxa"/>
              <w:bottom w:w="50" w:type="dxa"/>
              <w:left w:w="70" w:type="dxa"/>
              <w:right w:w="70" w:type="dxa"/>
            </w:tcMar>
          </w:tcPr>
          <w:p>
            <w:r>
              <w:rPr>
                <w:b/>
                <w:sz w:val="18"/>
              </w:rPr>
              <w:t>hostname_length</w:t>
            </w:r>
          </w:p>
        </w:tc>
        <w:tc>
          <w:tcPr>
            <w:tcW w:type="dxa" w:w="3312"/>
            <w:shd w:fill="F8FAFC"/>
            <w:tcMar>
              <w:top w:w="50" w:type="dxa"/>
              <w:bottom w:w="50" w:type="dxa"/>
              <w:left w:w="70" w:type="dxa"/>
              <w:right w:w="70" w:type="dxa"/>
            </w:tcMar>
          </w:tcPr>
          <w:p>
            <w:r>
              <w:rPr>
                <w:sz w:val="18"/>
              </w:rPr>
              <w:t>Length-based</w:t>
            </w:r>
          </w:p>
        </w:tc>
        <w:tc>
          <w:tcPr>
            <w:tcW w:type="dxa" w:w="3312"/>
            <w:shd w:fill="F8FAFC"/>
            <w:tcMar>
              <w:top w:w="50" w:type="dxa"/>
              <w:bottom w:w="50" w:type="dxa"/>
              <w:left w:w="70" w:type="dxa"/>
              <w:right w:w="70" w:type="dxa"/>
            </w:tcMar>
          </w:tcPr>
          <w:p>
            <w:r>
              <w:rPr>
                <w:sz w:val="18"/>
              </w:rPr>
              <w:t>Character count of the network domain. Phishing domains frequently use unusually long domain strings to mimic authentic brand names.</w:t>
            </w:r>
          </w:p>
        </w:tc>
      </w:tr>
      <w:tr>
        <w:tc>
          <w:tcPr>
            <w:tcW w:type="dxa" w:w="3312"/>
            <w:shd w:fill="FFFFFF"/>
            <w:tcMar>
              <w:top w:w="50" w:type="dxa"/>
              <w:bottom w:w="50" w:type="dxa"/>
              <w:left w:w="70" w:type="dxa"/>
              <w:right w:w="70" w:type="dxa"/>
            </w:tcMar>
          </w:tcPr>
          <w:p>
            <w:r>
              <w:rPr>
                <w:b/>
                <w:sz w:val="18"/>
              </w:rPr>
              <w:t>path_length</w:t>
            </w:r>
          </w:p>
        </w:tc>
        <w:tc>
          <w:tcPr>
            <w:tcW w:type="dxa" w:w="3312"/>
            <w:shd w:fill="FFFFFF"/>
            <w:tcMar>
              <w:top w:w="50" w:type="dxa"/>
              <w:bottom w:w="50" w:type="dxa"/>
              <w:left w:w="70" w:type="dxa"/>
              <w:right w:w="70" w:type="dxa"/>
            </w:tcMar>
          </w:tcPr>
          <w:p>
            <w:r>
              <w:rPr>
                <w:sz w:val="18"/>
              </w:rPr>
              <w:t>Length-based</w:t>
            </w:r>
          </w:p>
        </w:tc>
        <w:tc>
          <w:tcPr>
            <w:tcW w:type="dxa" w:w="3312"/>
            <w:shd w:fill="FFFFFF"/>
            <w:tcMar>
              <w:top w:w="50" w:type="dxa"/>
              <w:bottom w:w="50" w:type="dxa"/>
              <w:left w:w="70" w:type="dxa"/>
              <w:right w:w="70" w:type="dxa"/>
            </w:tcMar>
          </w:tcPr>
          <w:p>
            <w:r>
              <w:rPr>
                <w:sz w:val="18"/>
              </w:rPr>
              <w:t>Total character count of the URL sub-path. Phishing kits construct deep token paths to evade heuristic detectors.</w:t>
            </w:r>
          </w:p>
        </w:tc>
      </w:tr>
      <w:tr>
        <w:tc>
          <w:tcPr>
            <w:tcW w:type="dxa" w:w="3312"/>
            <w:shd w:fill="F8FAFC"/>
            <w:tcMar>
              <w:top w:w="50" w:type="dxa"/>
              <w:bottom w:w="50" w:type="dxa"/>
              <w:left w:w="70" w:type="dxa"/>
              <w:right w:w="70" w:type="dxa"/>
            </w:tcMar>
          </w:tcPr>
          <w:p>
            <w:r>
              <w:rPr>
                <w:b/>
                <w:sz w:val="18"/>
              </w:rPr>
              <w:t>fd_length</w:t>
            </w:r>
          </w:p>
        </w:tc>
        <w:tc>
          <w:tcPr>
            <w:tcW w:type="dxa" w:w="3312"/>
            <w:shd w:fill="F8FAFC"/>
            <w:tcMar>
              <w:top w:w="50" w:type="dxa"/>
              <w:bottom w:w="50" w:type="dxa"/>
              <w:left w:w="70" w:type="dxa"/>
              <w:right w:w="70" w:type="dxa"/>
            </w:tcMar>
          </w:tcPr>
          <w:p>
            <w:r>
              <w:rPr>
                <w:sz w:val="18"/>
              </w:rPr>
              <w:t>Length-based</w:t>
            </w:r>
          </w:p>
        </w:tc>
        <w:tc>
          <w:tcPr>
            <w:tcW w:type="dxa" w:w="3312"/>
            <w:shd w:fill="F8FAFC"/>
            <w:tcMar>
              <w:top w:w="50" w:type="dxa"/>
              <w:bottom w:w="50" w:type="dxa"/>
              <w:left w:w="70" w:type="dxa"/>
              <w:right w:w="70" w:type="dxa"/>
            </w:tcMar>
          </w:tcPr>
          <w:p>
            <w:r>
              <w:rPr>
                <w:sz w:val="18"/>
              </w:rPr>
              <w:t>Length of the first directory in the path. Used to identify dynamic directory randomization.</w:t>
            </w:r>
          </w:p>
        </w:tc>
      </w:tr>
      <w:tr>
        <w:tc>
          <w:tcPr>
            <w:tcW w:type="dxa" w:w="3312"/>
            <w:shd w:fill="FFFFFF"/>
            <w:tcMar>
              <w:top w:w="50" w:type="dxa"/>
              <w:bottom w:w="50" w:type="dxa"/>
              <w:left w:w="70" w:type="dxa"/>
              <w:right w:w="70" w:type="dxa"/>
            </w:tcMar>
          </w:tcPr>
          <w:p>
            <w:r>
              <w:rPr>
                <w:b/>
                <w:sz w:val="18"/>
              </w:rPr>
              <w:t>count-</w:t>
            </w:r>
          </w:p>
        </w:tc>
        <w:tc>
          <w:tcPr>
            <w:tcW w:type="dxa" w:w="3312"/>
            <w:shd w:fill="FFFFFF"/>
            <w:tcMar>
              <w:top w:w="50" w:type="dxa"/>
              <w:bottom w:w="50" w:type="dxa"/>
              <w:left w:w="70" w:type="dxa"/>
              <w:right w:w="70" w:type="dxa"/>
            </w:tcMar>
          </w:tcPr>
          <w:p>
            <w:r>
              <w:rPr>
                <w:sz w:val="18"/>
              </w:rPr>
              <w:t>Count-based</w:t>
            </w:r>
          </w:p>
        </w:tc>
        <w:tc>
          <w:tcPr>
            <w:tcW w:type="dxa" w:w="3312"/>
            <w:shd w:fill="FFFFFF"/>
            <w:tcMar>
              <w:top w:w="50" w:type="dxa"/>
              <w:bottom w:w="50" w:type="dxa"/>
              <w:left w:w="70" w:type="dxa"/>
              <w:right w:w="70" w:type="dxa"/>
            </w:tcMar>
          </w:tcPr>
          <w:p>
            <w:r>
              <w:rPr>
                <w:sz w:val="18"/>
              </w:rPr>
              <w:t>Hyphen occurrences. Authentic brand domains rarely use multiple hyphens; phishing domains use them heavily (e.g., 'paypal-security-login').</w:t>
            </w:r>
          </w:p>
        </w:tc>
      </w:tr>
      <w:tr>
        <w:tc>
          <w:tcPr>
            <w:tcW w:type="dxa" w:w="3312"/>
            <w:shd w:fill="F8FAFC"/>
            <w:tcMar>
              <w:top w:w="50" w:type="dxa"/>
              <w:bottom w:w="50" w:type="dxa"/>
              <w:left w:w="70" w:type="dxa"/>
              <w:right w:w="70" w:type="dxa"/>
            </w:tcMar>
          </w:tcPr>
          <w:p>
            <w:r>
              <w:rPr>
                <w:b/>
                <w:sz w:val="18"/>
              </w:rPr>
              <w:t>count@</w:t>
            </w:r>
          </w:p>
        </w:tc>
        <w:tc>
          <w:tcPr>
            <w:tcW w:type="dxa" w:w="3312"/>
            <w:shd w:fill="F8FAFC"/>
            <w:tcMar>
              <w:top w:w="50" w:type="dxa"/>
              <w:bottom w:w="50" w:type="dxa"/>
              <w:left w:w="70" w:type="dxa"/>
              <w:right w:w="70" w:type="dxa"/>
            </w:tcMar>
          </w:tcPr>
          <w:p>
            <w:r>
              <w:rPr>
                <w:sz w:val="18"/>
              </w:rPr>
              <w:t>Count-based</w:t>
            </w:r>
          </w:p>
        </w:tc>
        <w:tc>
          <w:tcPr>
            <w:tcW w:type="dxa" w:w="3312"/>
            <w:shd w:fill="F8FAFC"/>
            <w:tcMar>
              <w:top w:w="50" w:type="dxa"/>
              <w:bottom w:w="50" w:type="dxa"/>
              <w:left w:w="70" w:type="dxa"/>
              <w:right w:w="70" w:type="dxa"/>
            </w:tcMar>
          </w:tcPr>
          <w:p>
            <w:r>
              <w:rPr>
                <w:sz w:val="18"/>
              </w:rPr>
              <w:t>Presence of '@' symbol. In standard URLs, '@' causes browsers to ignore everything preceding it, leading to domain spoofing.</w:t>
            </w:r>
          </w:p>
        </w:tc>
      </w:tr>
      <w:tr>
        <w:tc>
          <w:tcPr>
            <w:tcW w:type="dxa" w:w="3312"/>
            <w:shd w:fill="FFFFFF"/>
            <w:tcMar>
              <w:top w:w="50" w:type="dxa"/>
              <w:bottom w:w="50" w:type="dxa"/>
              <w:left w:w="70" w:type="dxa"/>
              <w:right w:w="70" w:type="dxa"/>
            </w:tcMar>
          </w:tcPr>
          <w:p>
            <w:r>
              <w:rPr>
                <w:b/>
                <w:sz w:val="18"/>
              </w:rPr>
              <w:t>count?</w:t>
            </w:r>
          </w:p>
        </w:tc>
        <w:tc>
          <w:tcPr>
            <w:tcW w:type="dxa" w:w="3312"/>
            <w:shd w:fill="FFFFFF"/>
            <w:tcMar>
              <w:top w:w="50" w:type="dxa"/>
              <w:bottom w:w="50" w:type="dxa"/>
              <w:left w:w="70" w:type="dxa"/>
              <w:right w:w="70" w:type="dxa"/>
            </w:tcMar>
          </w:tcPr>
          <w:p>
            <w:r>
              <w:rPr>
                <w:sz w:val="18"/>
              </w:rPr>
              <w:t>Count-based</w:t>
            </w:r>
          </w:p>
        </w:tc>
        <w:tc>
          <w:tcPr>
            <w:tcW w:type="dxa" w:w="3312"/>
            <w:shd w:fill="FFFFFF"/>
            <w:tcMar>
              <w:top w:w="50" w:type="dxa"/>
              <w:bottom w:w="50" w:type="dxa"/>
              <w:left w:w="70" w:type="dxa"/>
              <w:right w:w="70" w:type="dxa"/>
            </w:tcMar>
          </w:tcPr>
          <w:p>
            <w:r>
              <w:rPr>
                <w:sz w:val="18"/>
              </w:rPr>
              <w:t>Question marks. Indicates URL query parameter injection often used to pass session tracking tokens in attacks.</w:t>
            </w:r>
          </w:p>
        </w:tc>
      </w:tr>
      <w:tr>
        <w:tc>
          <w:tcPr>
            <w:tcW w:type="dxa" w:w="3312"/>
            <w:shd w:fill="F8FAFC"/>
            <w:tcMar>
              <w:top w:w="50" w:type="dxa"/>
              <w:bottom w:w="50" w:type="dxa"/>
              <w:left w:w="70" w:type="dxa"/>
              <w:right w:w="70" w:type="dxa"/>
            </w:tcMar>
          </w:tcPr>
          <w:p>
            <w:r>
              <w:rPr>
                <w:b/>
                <w:sz w:val="18"/>
              </w:rPr>
              <w:t>count%</w:t>
            </w:r>
          </w:p>
        </w:tc>
        <w:tc>
          <w:tcPr>
            <w:tcW w:type="dxa" w:w="3312"/>
            <w:shd w:fill="F8FAFC"/>
            <w:tcMar>
              <w:top w:w="50" w:type="dxa"/>
              <w:bottom w:w="50" w:type="dxa"/>
              <w:left w:w="70" w:type="dxa"/>
              <w:right w:w="70" w:type="dxa"/>
            </w:tcMar>
          </w:tcPr>
          <w:p>
            <w:r>
              <w:rPr>
                <w:sz w:val="18"/>
              </w:rPr>
              <w:t>Count-based</w:t>
            </w:r>
          </w:p>
        </w:tc>
        <w:tc>
          <w:tcPr>
            <w:tcW w:type="dxa" w:w="3312"/>
            <w:shd w:fill="F8FAFC"/>
            <w:tcMar>
              <w:top w:w="50" w:type="dxa"/>
              <w:bottom w:w="50" w:type="dxa"/>
              <w:left w:w="70" w:type="dxa"/>
              <w:right w:w="70" w:type="dxa"/>
            </w:tcMar>
          </w:tcPr>
          <w:p>
            <w:r>
              <w:rPr>
                <w:sz w:val="18"/>
              </w:rPr>
              <w:t>Percent encoding count. Heavy hexadecimal encoding (%20, %2F) is used to obscure malicious payloads from signature scanners.</w:t>
            </w:r>
          </w:p>
        </w:tc>
      </w:tr>
      <w:tr>
        <w:tc>
          <w:tcPr>
            <w:tcW w:type="dxa" w:w="3312"/>
            <w:shd w:fill="FFFFFF"/>
            <w:tcMar>
              <w:top w:w="50" w:type="dxa"/>
              <w:bottom w:w="50" w:type="dxa"/>
              <w:left w:w="70" w:type="dxa"/>
              <w:right w:w="70" w:type="dxa"/>
            </w:tcMar>
          </w:tcPr>
          <w:p>
            <w:r>
              <w:rPr>
                <w:b/>
                <w:sz w:val="18"/>
              </w:rPr>
              <w:t>count.</w:t>
            </w:r>
          </w:p>
        </w:tc>
        <w:tc>
          <w:tcPr>
            <w:tcW w:type="dxa" w:w="3312"/>
            <w:shd w:fill="FFFFFF"/>
            <w:tcMar>
              <w:top w:w="50" w:type="dxa"/>
              <w:bottom w:w="50" w:type="dxa"/>
              <w:left w:w="70" w:type="dxa"/>
              <w:right w:w="70" w:type="dxa"/>
            </w:tcMar>
          </w:tcPr>
          <w:p>
            <w:r>
              <w:rPr>
                <w:sz w:val="18"/>
              </w:rPr>
              <w:t>Count-based</w:t>
            </w:r>
          </w:p>
        </w:tc>
        <w:tc>
          <w:tcPr>
            <w:tcW w:type="dxa" w:w="3312"/>
            <w:shd w:fill="FFFFFF"/>
            <w:tcMar>
              <w:top w:w="50" w:type="dxa"/>
              <w:bottom w:w="50" w:type="dxa"/>
              <w:left w:w="70" w:type="dxa"/>
              <w:right w:w="70" w:type="dxa"/>
            </w:tcMar>
          </w:tcPr>
          <w:p>
            <w:r>
              <w:rPr>
                <w:sz w:val="18"/>
              </w:rPr>
              <w:t>Period/dot count. Phishing URLs frequently utilize excessive subdomains (e.g., 'login.microsoft.com.attacker.com').</w:t>
            </w:r>
          </w:p>
        </w:tc>
      </w:tr>
      <w:tr>
        <w:tc>
          <w:tcPr>
            <w:tcW w:type="dxa" w:w="3312"/>
            <w:shd w:fill="F8FAFC"/>
            <w:tcMar>
              <w:top w:w="50" w:type="dxa"/>
              <w:bottom w:w="50" w:type="dxa"/>
              <w:left w:w="70" w:type="dxa"/>
              <w:right w:w="70" w:type="dxa"/>
            </w:tcMar>
          </w:tcPr>
          <w:p>
            <w:r>
              <w:rPr>
                <w:b/>
                <w:sz w:val="18"/>
              </w:rPr>
              <w:t>count=</w:t>
            </w:r>
          </w:p>
        </w:tc>
        <w:tc>
          <w:tcPr>
            <w:tcW w:type="dxa" w:w="3312"/>
            <w:shd w:fill="F8FAFC"/>
            <w:tcMar>
              <w:top w:w="50" w:type="dxa"/>
              <w:bottom w:w="50" w:type="dxa"/>
              <w:left w:w="70" w:type="dxa"/>
              <w:right w:w="70" w:type="dxa"/>
            </w:tcMar>
          </w:tcPr>
          <w:p>
            <w:r>
              <w:rPr>
                <w:sz w:val="18"/>
              </w:rPr>
              <w:t>Count-based</w:t>
            </w:r>
          </w:p>
        </w:tc>
        <w:tc>
          <w:tcPr>
            <w:tcW w:type="dxa" w:w="3312"/>
            <w:shd w:fill="F8FAFC"/>
            <w:tcMar>
              <w:top w:w="50" w:type="dxa"/>
              <w:bottom w:w="50" w:type="dxa"/>
              <w:left w:w="70" w:type="dxa"/>
              <w:right w:w="70" w:type="dxa"/>
            </w:tcMar>
          </w:tcPr>
          <w:p>
            <w:r>
              <w:rPr>
                <w:sz w:val="18"/>
              </w:rPr>
              <w:t>Equals symbol count. Identifies parameter chaining and credential capture arguments.</w:t>
            </w:r>
          </w:p>
        </w:tc>
      </w:tr>
      <w:tr>
        <w:tc>
          <w:tcPr>
            <w:tcW w:type="dxa" w:w="3312"/>
            <w:shd w:fill="FFFFFF"/>
            <w:tcMar>
              <w:top w:w="50" w:type="dxa"/>
              <w:bottom w:w="50" w:type="dxa"/>
              <w:left w:w="70" w:type="dxa"/>
              <w:right w:w="70" w:type="dxa"/>
            </w:tcMar>
          </w:tcPr>
          <w:p>
            <w:r>
              <w:rPr>
                <w:b/>
                <w:sz w:val="18"/>
              </w:rPr>
              <w:t>count-http</w:t>
            </w:r>
          </w:p>
        </w:tc>
        <w:tc>
          <w:tcPr>
            <w:tcW w:type="dxa" w:w="3312"/>
            <w:shd w:fill="FFFFFF"/>
            <w:tcMar>
              <w:top w:w="50" w:type="dxa"/>
              <w:bottom w:w="50" w:type="dxa"/>
              <w:left w:w="70" w:type="dxa"/>
              <w:right w:w="70" w:type="dxa"/>
            </w:tcMar>
          </w:tcPr>
          <w:p>
            <w:r>
              <w:rPr>
                <w:sz w:val="18"/>
              </w:rPr>
              <w:t>Count-based</w:t>
            </w:r>
          </w:p>
        </w:tc>
        <w:tc>
          <w:tcPr>
            <w:tcW w:type="dxa" w:w="3312"/>
            <w:shd w:fill="FFFFFF"/>
            <w:tcMar>
              <w:top w:w="50" w:type="dxa"/>
              <w:bottom w:w="50" w:type="dxa"/>
              <w:left w:w="70" w:type="dxa"/>
              <w:right w:w="70" w:type="dxa"/>
            </w:tcMar>
          </w:tcPr>
          <w:p>
            <w:r>
              <w:rPr>
                <w:sz w:val="18"/>
              </w:rPr>
              <w:t>Frequency of 'http' string tokens inside the URL path (identifies embedded redirects).</w:t>
            </w:r>
          </w:p>
        </w:tc>
      </w:tr>
      <w:tr>
        <w:tc>
          <w:tcPr>
            <w:tcW w:type="dxa" w:w="3312"/>
            <w:shd w:fill="F8FAFC"/>
            <w:tcMar>
              <w:top w:w="50" w:type="dxa"/>
              <w:bottom w:w="50" w:type="dxa"/>
              <w:left w:w="70" w:type="dxa"/>
              <w:right w:w="70" w:type="dxa"/>
            </w:tcMar>
          </w:tcPr>
          <w:p>
            <w:r>
              <w:rPr>
                <w:b/>
                <w:sz w:val="18"/>
              </w:rPr>
              <w:t>count-https</w:t>
            </w:r>
          </w:p>
        </w:tc>
        <w:tc>
          <w:tcPr>
            <w:tcW w:type="dxa" w:w="3312"/>
            <w:shd w:fill="F8FAFC"/>
            <w:tcMar>
              <w:top w:w="50" w:type="dxa"/>
              <w:bottom w:w="50" w:type="dxa"/>
              <w:left w:w="70" w:type="dxa"/>
              <w:right w:w="70" w:type="dxa"/>
            </w:tcMar>
          </w:tcPr>
          <w:p>
            <w:r>
              <w:rPr>
                <w:sz w:val="18"/>
              </w:rPr>
              <w:t>Count-based</w:t>
            </w:r>
          </w:p>
        </w:tc>
        <w:tc>
          <w:tcPr>
            <w:tcW w:type="dxa" w:w="3312"/>
            <w:shd w:fill="F8FAFC"/>
            <w:tcMar>
              <w:top w:w="50" w:type="dxa"/>
              <w:bottom w:w="50" w:type="dxa"/>
              <w:left w:w="70" w:type="dxa"/>
              <w:right w:w="70" w:type="dxa"/>
            </w:tcMar>
          </w:tcPr>
          <w:p>
            <w:r>
              <w:rPr>
                <w:sz w:val="18"/>
              </w:rPr>
              <w:t>Frequency of 'https' string tokens embedded inside inner query arguments.</w:t>
            </w:r>
          </w:p>
        </w:tc>
      </w:tr>
      <w:tr>
        <w:tc>
          <w:tcPr>
            <w:tcW w:type="dxa" w:w="3312"/>
            <w:shd w:fill="FFFFFF"/>
            <w:tcMar>
              <w:top w:w="50" w:type="dxa"/>
              <w:bottom w:w="50" w:type="dxa"/>
              <w:left w:w="70" w:type="dxa"/>
              <w:right w:w="70" w:type="dxa"/>
            </w:tcMar>
          </w:tcPr>
          <w:p>
            <w:r>
              <w:rPr>
                <w:b/>
                <w:sz w:val="18"/>
              </w:rPr>
              <w:t>count-www</w:t>
            </w:r>
          </w:p>
        </w:tc>
        <w:tc>
          <w:tcPr>
            <w:tcW w:type="dxa" w:w="3312"/>
            <w:shd w:fill="FFFFFF"/>
            <w:tcMar>
              <w:top w:w="50" w:type="dxa"/>
              <w:bottom w:w="50" w:type="dxa"/>
              <w:left w:w="70" w:type="dxa"/>
              <w:right w:w="70" w:type="dxa"/>
            </w:tcMar>
          </w:tcPr>
          <w:p>
            <w:r>
              <w:rPr>
                <w:sz w:val="18"/>
              </w:rPr>
              <w:t>Count-based</w:t>
            </w:r>
          </w:p>
        </w:tc>
        <w:tc>
          <w:tcPr>
            <w:tcW w:type="dxa" w:w="3312"/>
            <w:shd w:fill="FFFFFF"/>
            <w:tcMar>
              <w:top w:w="50" w:type="dxa"/>
              <w:bottom w:w="50" w:type="dxa"/>
              <w:left w:w="70" w:type="dxa"/>
              <w:right w:w="70" w:type="dxa"/>
            </w:tcMar>
          </w:tcPr>
          <w:p>
            <w:r>
              <w:rPr>
                <w:sz w:val="18"/>
              </w:rPr>
              <w:t>Frequency of 'www'. Malicious domains often place 'www' within subdomain paths to deceive casual readers.</w:t>
            </w:r>
          </w:p>
        </w:tc>
      </w:tr>
      <w:tr>
        <w:tc>
          <w:tcPr>
            <w:tcW w:type="dxa" w:w="3312"/>
            <w:shd w:fill="F8FAFC"/>
            <w:tcMar>
              <w:top w:w="50" w:type="dxa"/>
              <w:bottom w:w="50" w:type="dxa"/>
              <w:left w:w="70" w:type="dxa"/>
              <w:right w:w="70" w:type="dxa"/>
            </w:tcMar>
          </w:tcPr>
          <w:p>
            <w:r>
              <w:rPr>
                <w:b/>
                <w:sz w:val="18"/>
              </w:rPr>
              <w:t>count-digits</w:t>
            </w:r>
          </w:p>
        </w:tc>
        <w:tc>
          <w:tcPr>
            <w:tcW w:type="dxa" w:w="3312"/>
            <w:shd w:fill="F8FAFC"/>
            <w:tcMar>
              <w:top w:w="50" w:type="dxa"/>
              <w:bottom w:w="50" w:type="dxa"/>
              <w:left w:w="70" w:type="dxa"/>
              <w:right w:w="70" w:type="dxa"/>
            </w:tcMar>
          </w:tcPr>
          <w:p>
            <w:r>
              <w:rPr>
                <w:sz w:val="18"/>
              </w:rPr>
              <w:t>Count-based</w:t>
            </w:r>
          </w:p>
        </w:tc>
        <w:tc>
          <w:tcPr>
            <w:tcW w:type="dxa" w:w="3312"/>
            <w:shd w:fill="F8FAFC"/>
            <w:tcMar>
              <w:top w:w="50" w:type="dxa"/>
              <w:bottom w:w="50" w:type="dxa"/>
              <w:left w:w="70" w:type="dxa"/>
              <w:right w:w="70" w:type="dxa"/>
            </w:tcMar>
          </w:tcPr>
          <w:p>
            <w:r>
              <w:rPr>
                <w:sz w:val="18"/>
              </w:rPr>
              <w:t>Numerical characters in the URL string. High digit counts correlate with randomized hashes and raw IP addresses.</w:t>
            </w:r>
          </w:p>
        </w:tc>
      </w:tr>
      <w:tr>
        <w:tc>
          <w:tcPr>
            <w:tcW w:type="dxa" w:w="3312"/>
            <w:shd w:fill="FFFFFF"/>
            <w:tcMar>
              <w:top w:w="50" w:type="dxa"/>
              <w:bottom w:w="50" w:type="dxa"/>
              <w:left w:w="70" w:type="dxa"/>
              <w:right w:w="70" w:type="dxa"/>
            </w:tcMar>
          </w:tcPr>
          <w:p>
            <w:r>
              <w:rPr>
                <w:b/>
                <w:sz w:val="18"/>
              </w:rPr>
              <w:t>count-letters</w:t>
            </w:r>
          </w:p>
        </w:tc>
        <w:tc>
          <w:tcPr>
            <w:tcW w:type="dxa" w:w="3312"/>
            <w:shd w:fill="FFFFFF"/>
            <w:tcMar>
              <w:top w:w="50" w:type="dxa"/>
              <w:bottom w:w="50" w:type="dxa"/>
              <w:left w:w="70" w:type="dxa"/>
              <w:right w:w="70" w:type="dxa"/>
            </w:tcMar>
          </w:tcPr>
          <w:p>
            <w:r>
              <w:rPr>
                <w:sz w:val="18"/>
              </w:rPr>
              <w:t>Count-based</w:t>
            </w:r>
          </w:p>
        </w:tc>
        <w:tc>
          <w:tcPr>
            <w:tcW w:type="dxa" w:w="3312"/>
            <w:shd w:fill="FFFFFF"/>
            <w:tcMar>
              <w:top w:w="50" w:type="dxa"/>
              <w:bottom w:w="50" w:type="dxa"/>
              <w:left w:w="70" w:type="dxa"/>
              <w:right w:w="70" w:type="dxa"/>
            </w:tcMar>
          </w:tcPr>
          <w:p>
            <w:r>
              <w:rPr>
                <w:sz w:val="18"/>
              </w:rPr>
              <w:t>Alphabetical character volume across the entire string.</w:t>
            </w:r>
          </w:p>
        </w:tc>
      </w:tr>
      <w:tr>
        <w:tc>
          <w:tcPr>
            <w:tcW w:type="dxa" w:w="3312"/>
            <w:shd w:fill="F8FAFC"/>
            <w:tcMar>
              <w:top w:w="50" w:type="dxa"/>
              <w:bottom w:w="50" w:type="dxa"/>
              <w:left w:w="70" w:type="dxa"/>
              <w:right w:w="70" w:type="dxa"/>
            </w:tcMar>
          </w:tcPr>
          <w:p>
            <w:r>
              <w:rPr>
                <w:b/>
                <w:sz w:val="18"/>
              </w:rPr>
              <w:t>count_dir</w:t>
            </w:r>
          </w:p>
        </w:tc>
        <w:tc>
          <w:tcPr>
            <w:tcW w:type="dxa" w:w="3312"/>
            <w:shd w:fill="F8FAFC"/>
            <w:tcMar>
              <w:top w:w="50" w:type="dxa"/>
              <w:bottom w:w="50" w:type="dxa"/>
              <w:left w:w="70" w:type="dxa"/>
              <w:right w:w="70" w:type="dxa"/>
            </w:tcMar>
          </w:tcPr>
          <w:p>
            <w:r>
              <w:rPr>
                <w:sz w:val="18"/>
              </w:rPr>
              <w:t>Count-based</w:t>
            </w:r>
          </w:p>
        </w:tc>
        <w:tc>
          <w:tcPr>
            <w:tcW w:type="dxa" w:w="3312"/>
            <w:shd w:fill="F8FAFC"/>
            <w:tcMar>
              <w:top w:w="50" w:type="dxa"/>
              <w:bottom w:w="50" w:type="dxa"/>
              <w:left w:w="70" w:type="dxa"/>
              <w:right w:w="70" w:type="dxa"/>
            </w:tcMar>
          </w:tcPr>
          <w:p>
            <w:r>
              <w:rPr>
                <w:sz w:val="18"/>
              </w:rPr>
              <w:t>Directory slash depth. Phishing sites often nest fake landing pages deeply inside folders.</w:t>
            </w:r>
          </w:p>
        </w:tc>
      </w:tr>
      <w:tr>
        <w:tc>
          <w:tcPr>
            <w:tcW w:type="dxa" w:w="3312"/>
            <w:shd w:fill="FFFFFF"/>
            <w:tcMar>
              <w:top w:w="50" w:type="dxa"/>
              <w:bottom w:w="50" w:type="dxa"/>
              <w:left w:w="70" w:type="dxa"/>
              <w:right w:w="70" w:type="dxa"/>
            </w:tcMar>
          </w:tcPr>
          <w:p>
            <w:r>
              <w:rPr>
                <w:b/>
                <w:sz w:val="18"/>
              </w:rPr>
              <w:t>use_of_ip</w:t>
            </w:r>
          </w:p>
        </w:tc>
        <w:tc>
          <w:tcPr>
            <w:tcW w:type="dxa" w:w="3312"/>
            <w:shd w:fill="FFFFFF"/>
            <w:tcMar>
              <w:top w:w="50" w:type="dxa"/>
              <w:bottom w:w="50" w:type="dxa"/>
              <w:left w:w="70" w:type="dxa"/>
              <w:right w:w="70" w:type="dxa"/>
            </w:tcMar>
          </w:tcPr>
          <w:p>
            <w:r>
              <w:rPr>
                <w:sz w:val="18"/>
              </w:rPr>
              <w:t>Binary Flag</w:t>
            </w:r>
          </w:p>
        </w:tc>
        <w:tc>
          <w:tcPr>
            <w:tcW w:type="dxa" w:w="3312"/>
            <w:shd w:fill="FFFFFF"/>
            <w:tcMar>
              <w:top w:w="50" w:type="dxa"/>
              <w:bottom w:w="50" w:type="dxa"/>
              <w:left w:w="70" w:type="dxa"/>
              <w:right w:w="70" w:type="dxa"/>
            </w:tcMar>
          </w:tcPr>
          <w:p>
            <w:r>
              <w:rPr>
                <w:sz w:val="18"/>
              </w:rPr>
              <w:t>Checks for IPv4 (dotted decimal or hex) and IPv6 address patterns. Legitimate web services rarely present bare IP URLs to consumers.</w:t>
            </w:r>
          </w:p>
        </w:tc>
      </w:tr>
    </w:tbl>
    <w:p>
      <w:pPr>
        <w:spacing w:after="160"/>
      </w:pPr>
    </w:p>
    <w:p>
      <w:pPr>
        <w:keepNext/>
        <w:spacing w:before="360" w:after="120"/>
      </w:pPr>
      <w:r>
        <w:rPr>
          <w:rFonts w:ascii="Calibri" w:hAnsi="Calibri"/>
          <w:b/>
          <w:color w:val="1E3A8A"/>
          <w:sz w:val="32"/>
        </w:rPr>
        <w:t>5. Machine Learning Models &amp; Empirical Evaluation</w:t>
      </w:r>
    </w:p>
    <w:p>
      <w:r>
        <w:t>A rigorous comparative study was conducted across three distinct machine learning model families using an 80/20 train-test partition over the 600,000 sample SMOTE-balanced dataset:</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20"/>
              </w:rPr>
              <w:t>Algorithm</w:t>
            </w:r>
          </w:p>
        </w:tc>
        <w:tc>
          <w:tcPr>
            <w:tcW w:type="dxa" w:w="2484"/>
            <w:shd w:fill="0F172A"/>
          </w:tcPr>
          <w:p>
            <w:r>
              <w:rPr>
                <w:b/>
                <w:color w:val="FFFFFF"/>
                <w:sz w:val="20"/>
              </w:rPr>
              <w:t>Training Accuracy</w:t>
            </w:r>
          </w:p>
        </w:tc>
        <w:tc>
          <w:tcPr>
            <w:tcW w:type="dxa" w:w="2484"/>
            <w:shd w:fill="0F172A"/>
          </w:tcPr>
          <w:p>
            <w:r>
              <w:rPr>
                <w:b/>
                <w:color w:val="FFFFFF"/>
                <w:sz w:val="20"/>
              </w:rPr>
              <w:t>Validation / Test Accuracy</w:t>
            </w:r>
          </w:p>
        </w:tc>
        <w:tc>
          <w:tcPr>
            <w:tcW w:type="dxa" w:w="2484"/>
            <w:shd w:fill="0F172A"/>
          </w:tcPr>
          <w:p>
            <w:r>
              <w:rPr>
                <w:b/>
                <w:color w:val="FFFFFF"/>
                <w:sz w:val="20"/>
              </w:rPr>
              <w:t>Inference &amp; Complexity Profile</w:t>
            </w:r>
          </w:p>
        </w:tc>
      </w:tr>
      <w:tr>
        <w:tc>
          <w:tcPr>
            <w:tcW w:type="dxa" w:w="2484"/>
            <w:shd w:fill="F8FAFC"/>
            <w:tcMar>
              <w:top w:w="60" w:type="dxa"/>
              <w:bottom w:w="60" w:type="dxa"/>
              <w:left w:w="80" w:type="dxa"/>
              <w:right w:w="80" w:type="dxa"/>
            </w:tcMar>
          </w:tcPr>
          <w:p>
            <w:r>
              <w:rPr>
                <w:sz w:val="19"/>
              </w:rPr>
              <w:t>Decision Tree (Depth=7)</w:t>
            </w:r>
          </w:p>
        </w:tc>
        <w:tc>
          <w:tcPr>
            <w:tcW w:type="dxa" w:w="2484"/>
            <w:shd w:fill="F8FAFC"/>
            <w:tcMar>
              <w:top w:w="60" w:type="dxa"/>
              <w:bottom w:w="60" w:type="dxa"/>
              <w:left w:w="80" w:type="dxa"/>
              <w:right w:w="80" w:type="dxa"/>
            </w:tcMar>
          </w:tcPr>
          <w:p>
            <w:r>
              <w:rPr>
                <w:sz w:val="19"/>
              </w:rPr>
              <w:t>84.3%</w:t>
            </w:r>
          </w:p>
        </w:tc>
        <w:tc>
          <w:tcPr>
            <w:tcW w:type="dxa" w:w="2484"/>
            <w:shd w:fill="F8FAFC"/>
            <w:tcMar>
              <w:top w:w="60" w:type="dxa"/>
              <w:bottom w:w="60" w:type="dxa"/>
              <w:left w:w="80" w:type="dxa"/>
              <w:right w:w="80" w:type="dxa"/>
            </w:tcMar>
          </w:tcPr>
          <w:p>
            <w:r>
              <w:rPr>
                <w:sz w:val="19"/>
              </w:rPr>
              <w:t>83.8%</w:t>
            </w:r>
          </w:p>
        </w:tc>
        <w:tc>
          <w:tcPr>
            <w:tcW w:type="dxa" w:w="2484"/>
            <w:shd w:fill="F8FAFC"/>
            <w:tcMar>
              <w:top w:w="60" w:type="dxa"/>
              <w:bottom w:w="60" w:type="dxa"/>
              <w:left w:w="80" w:type="dxa"/>
              <w:right w:w="80" w:type="dxa"/>
            </w:tcMar>
          </w:tcPr>
          <w:p>
            <w:r>
              <w:rPr>
                <w:sz w:val="19"/>
              </w:rPr>
              <w:t>Fast execution, highly interpretable, but suffers from high variance and decision boundary fragmentation on edge cases.</w:t>
            </w:r>
          </w:p>
        </w:tc>
      </w:tr>
      <w:tr>
        <w:tc>
          <w:tcPr>
            <w:tcW w:type="dxa" w:w="2484"/>
            <w:shd w:fill="FFFFFF"/>
            <w:tcMar>
              <w:top w:w="60" w:type="dxa"/>
              <w:bottom w:w="60" w:type="dxa"/>
              <w:left w:w="80" w:type="dxa"/>
              <w:right w:w="80" w:type="dxa"/>
            </w:tcMar>
          </w:tcPr>
          <w:p>
            <w:r>
              <w:rPr>
                <w:sz w:val="19"/>
              </w:rPr>
              <w:t>Random Forest (100 Trees, Depth=7)</w:t>
            </w:r>
          </w:p>
        </w:tc>
        <w:tc>
          <w:tcPr>
            <w:tcW w:type="dxa" w:w="2484"/>
            <w:shd w:fill="FFFFFF"/>
            <w:tcMar>
              <w:top w:w="60" w:type="dxa"/>
              <w:bottom w:w="60" w:type="dxa"/>
              <w:left w:w="80" w:type="dxa"/>
              <w:right w:w="80" w:type="dxa"/>
            </w:tcMar>
          </w:tcPr>
          <w:p>
            <w:r>
              <w:rPr>
                <w:sz w:val="19"/>
              </w:rPr>
              <w:t>88.9%</w:t>
            </w:r>
          </w:p>
        </w:tc>
        <w:tc>
          <w:tcPr>
            <w:tcW w:type="dxa" w:w="2484"/>
            <w:shd w:fill="FFFFFF"/>
            <w:tcMar>
              <w:top w:w="60" w:type="dxa"/>
              <w:bottom w:w="60" w:type="dxa"/>
              <w:left w:w="80" w:type="dxa"/>
              <w:right w:w="80" w:type="dxa"/>
            </w:tcMar>
          </w:tcPr>
          <w:p>
            <w:r>
              <w:rPr>
                <w:sz w:val="19"/>
              </w:rPr>
              <w:t>88.4%</w:t>
            </w:r>
          </w:p>
        </w:tc>
        <w:tc>
          <w:tcPr>
            <w:tcW w:type="dxa" w:w="2484"/>
            <w:shd w:fill="FFFFFF"/>
            <w:tcMar>
              <w:top w:w="60" w:type="dxa"/>
              <w:bottom w:w="60" w:type="dxa"/>
              <w:left w:w="80" w:type="dxa"/>
              <w:right w:w="80" w:type="dxa"/>
            </w:tcMar>
          </w:tcPr>
          <w:p>
            <w:r>
              <w:rPr>
                <w:sz w:val="19"/>
              </w:rPr>
              <w:t>Ensemble averaging reduces overfitting, robust feature importance scoring, moderate inference latency.</w:t>
            </w:r>
          </w:p>
        </w:tc>
      </w:tr>
      <w:tr>
        <w:tc>
          <w:tcPr>
            <w:tcW w:type="dxa" w:w="2484"/>
            <w:shd w:fill="ECFDF5"/>
            <w:tcMar>
              <w:top w:w="60" w:type="dxa"/>
              <w:bottom w:w="60" w:type="dxa"/>
              <w:left w:w="80" w:type="dxa"/>
              <w:right w:w="80" w:type="dxa"/>
            </w:tcMar>
          </w:tcPr>
          <w:p>
            <w:r>
              <w:rPr>
                <w:b/>
                <w:sz w:val="19"/>
              </w:rPr>
              <w:t>Multilayer Perceptron (MLP Deep Neural Net)</w:t>
            </w:r>
          </w:p>
        </w:tc>
        <w:tc>
          <w:tcPr>
            <w:tcW w:type="dxa" w:w="2484"/>
            <w:shd w:fill="ECFDF5"/>
            <w:tcMar>
              <w:top w:w="60" w:type="dxa"/>
              <w:bottom w:w="60" w:type="dxa"/>
              <w:left w:w="80" w:type="dxa"/>
              <w:right w:w="80" w:type="dxa"/>
            </w:tcMar>
          </w:tcPr>
          <w:p>
            <w:r>
              <w:rPr>
                <w:b/>
                <w:sz w:val="19"/>
              </w:rPr>
              <w:t>99.4%</w:t>
            </w:r>
          </w:p>
        </w:tc>
        <w:tc>
          <w:tcPr>
            <w:tcW w:type="dxa" w:w="2484"/>
            <w:shd w:fill="ECFDF5"/>
            <w:tcMar>
              <w:top w:w="60" w:type="dxa"/>
              <w:bottom w:w="60" w:type="dxa"/>
              <w:left w:w="80" w:type="dxa"/>
              <w:right w:w="80" w:type="dxa"/>
            </w:tcMar>
          </w:tcPr>
          <w:p>
            <w:r>
              <w:rPr>
                <w:b/>
                <w:sz w:val="19"/>
              </w:rPr>
              <w:t>99.1%</w:t>
            </w:r>
          </w:p>
        </w:tc>
        <w:tc>
          <w:tcPr>
            <w:tcW w:type="dxa" w:w="2484"/>
            <w:shd w:fill="ECFDF5"/>
            <w:tcMar>
              <w:top w:w="60" w:type="dxa"/>
              <w:bottom w:w="60" w:type="dxa"/>
              <w:left w:w="80" w:type="dxa"/>
              <w:right w:w="80" w:type="dxa"/>
            </w:tcMar>
          </w:tcPr>
          <w:p>
            <w:r>
              <w:rPr>
                <w:b/>
                <w:sz w:val="19"/>
              </w:rPr>
              <w:t>Outstanding non-linear feature correlation mapping, low inference latency (&lt;5ms), optimal production classifier.</w:t>
            </w:r>
          </w:p>
        </w:tc>
      </w:tr>
    </w:tbl>
    <w:p>
      <w:pPr>
        <w:keepNext/>
        <w:spacing w:before="240" w:after="80"/>
      </w:pPr>
      <w:r>
        <w:rPr>
          <w:rFonts w:ascii="Calibri" w:hAnsi="Calibri"/>
          <w:b/>
          <w:color w:val="0284C7"/>
          <w:sz w:val="26"/>
        </w:rPr>
        <w:t>5.1 MLP Neural Network Architecture Specifications</w:t>
      </w:r>
    </w:p>
    <w:p>
      <w:pPr>
        <w:spacing w:after="60"/>
        <w:ind w:left="360"/>
      </w:pPr>
      <w:r>
        <w:rPr>
          <w:b/>
          <w:color w:val="1E3A8A"/>
        </w:rPr>
        <w:t xml:space="preserve">•  Input Dimension: </w:t>
      </w:r>
      <w:r>
        <w:rPr>
          <w:color w:val="334155"/>
        </w:rPr>
        <w:t>16 features corresponding to the lexical URL extraction vector.</w:t>
      </w:r>
    </w:p>
    <w:p>
      <w:pPr>
        <w:spacing w:after="60"/>
        <w:ind w:left="360"/>
      </w:pPr>
      <w:r>
        <w:rPr>
          <w:b/>
          <w:color w:val="1E3A8A"/>
        </w:rPr>
        <w:t xml:space="preserve">•  Hidden Layer 1: </w:t>
      </w:r>
      <w:r>
        <w:rPr>
          <w:color w:val="334155"/>
        </w:rPr>
        <w:t>32 Dense neurons, ReLU activation function, He normal weight initialization.</w:t>
      </w:r>
    </w:p>
    <w:p>
      <w:pPr>
        <w:spacing w:after="60"/>
        <w:ind w:left="360"/>
      </w:pPr>
      <w:r>
        <w:rPr>
          <w:b/>
          <w:color w:val="1E3A8A"/>
        </w:rPr>
        <w:t xml:space="preserve">•  Hidden Layer 2: </w:t>
      </w:r>
      <w:r>
        <w:rPr>
          <w:color w:val="334155"/>
        </w:rPr>
        <w:t>16 Dense neurons, ReLU activation function.</w:t>
      </w:r>
    </w:p>
    <w:p>
      <w:pPr>
        <w:spacing w:after="60"/>
        <w:ind w:left="360"/>
      </w:pPr>
      <w:r>
        <w:rPr>
          <w:b/>
          <w:color w:val="1E3A8A"/>
        </w:rPr>
        <w:t xml:space="preserve">•  Hidden Layer 3: </w:t>
      </w:r>
      <w:r>
        <w:rPr>
          <w:color w:val="334155"/>
        </w:rPr>
        <w:t>8 Dense neurons, ReLU activation function.</w:t>
      </w:r>
    </w:p>
    <w:p>
      <w:pPr>
        <w:spacing w:after="60"/>
        <w:ind w:left="360"/>
      </w:pPr>
      <w:r>
        <w:rPr>
          <w:b/>
          <w:color w:val="1E3A8A"/>
        </w:rPr>
        <w:t xml:space="preserve">•  Output Layer: </w:t>
      </w:r>
      <w:r>
        <w:rPr>
          <w:color w:val="334155"/>
        </w:rPr>
        <w:t>1 Dense neuron with Sigmoid activation function yielding a probability scalar P ∈ [0.0, 1.0].</w:t>
      </w:r>
    </w:p>
    <w:p>
      <w:pPr>
        <w:spacing w:after="60"/>
        <w:ind w:left="360"/>
      </w:pPr>
      <w:r>
        <w:rPr>
          <w:b/>
          <w:color w:val="1E3A8A"/>
        </w:rPr>
        <w:t xml:space="preserve">•  Loss &amp; Optimization: </w:t>
      </w:r>
      <w:r>
        <w:rPr>
          <w:color w:val="334155"/>
        </w:rPr>
        <w:t>Binary Cross-Entropy Loss minimized with Adam Optimizer (learning rate α = 0.0001, batch size = 256).</w:t>
      </w:r>
    </w:p>
    <w:p>
      <w:pPr>
        <w:spacing w:after="60"/>
        <w:ind w:left="360"/>
      </w:pPr>
      <w:r>
        <w:rPr>
          <w:b/>
          <w:color w:val="1E3A8A"/>
        </w:rPr>
        <w:t xml:space="preserve">•  Early Stopping &amp; Regularization: </w:t>
      </w:r>
      <w:r>
        <w:rPr>
          <w:color w:val="334155"/>
        </w:rPr>
        <w:t>Monitored validation loss callback with threshold termination at val_loss &lt; 0.1 to avoid overfitting.</w:t>
      </w:r>
    </w:p>
    <w:p>
      <w:pPr>
        <w:keepNext/>
        <w:spacing w:before="360" w:after="120"/>
      </w:pPr>
      <w:r>
        <w:rPr>
          <w:rFonts w:ascii="Calibri" w:hAnsi="Calibri"/>
          <w:b/>
          <w:color w:val="1E3A8A"/>
          <w:sz w:val="32"/>
        </w:rPr>
        <w:t>6. Detailed Project Report (DPR) - Operations, Timeline &amp; Budget</w:t>
      </w:r>
    </w:p>
    <w:p>
      <w:pPr>
        <w:keepNext/>
        <w:spacing w:before="240" w:after="80"/>
      </w:pPr>
      <w:r>
        <w:rPr>
          <w:rFonts w:ascii="Calibri" w:hAnsi="Calibri"/>
          <w:b/>
          <w:color w:val="0284C7"/>
          <w:sz w:val="26"/>
        </w:rPr>
        <w:t>6.1 Developmental Work Breakdown &amp; Timeline</w:t>
      </w:r>
    </w:p>
    <w:p>
      <w:r>
        <w:t>The project engineering lifecycle is scheduled across 4 distinct iterations spanning 3 to 4 weeks:</w:t>
      </w:r>
    </w:p>
    <w:p>
      <w:pPr>
        <w:spacing w:after="60"/>
        <w:ind w:left="360"/>
      </w:pPr>
      <w:r>
        <w:rPr>
          <w:b/>
          <w:color w:val="1E3A8A"/>
        </w:rPr>
        <w:t xml:space="preserve">•  Phase 1: Data Acquisition &amp; Cleansing (Weeks 1-2): </w:t>
      </w:r>
      <w:r>
        <w:rPr>
          <w:color w:val="334155"/>
        </w:rPr>
        <w:t>Aggregation of 450k URLs from Kaggle and open security repositories; data hygiene and SMOTE oversampling.</w:t>
      </w:r>
    </w:p>
    <w:p>
      <w:pPr>
        <w:spacing w:after="60"/>
        <w:ind w:left="360"/>
      </w:pPr>
      <w:r>
        <w:rPr>
          <w:b/>
          <w:color w:val="1E3A8A"/>
        </w:rPr>
        <w:t xml:space="preserve">•  Phase 2: Feature Extraction Pipeline (Week 2): </w:t>
      </w:r>
      <w:r>
        <w:rPr>
          <w:color w:val="334155"/>
        </w:rPr>
        <w:t>Development of robust lexical parsing routines in Url_Features.py, benchmarking against zero-day URL anomalies.</w:t>
      </w:r>
    </w:p>
    <w:p>
      <w:pPr>
        <w:spacing w:after="60"/>
        <w:ind w:left="360"/>
      </w:pPr>
      <w:r>
        <w:rPr>
          <w:b/>
          <w:color w:val="1E3A8A"/>
        </w:rPr>
        <w:t xml:space="preserve">•  Phase 3: Model Training &amp; Hyperparameter Tuning (Week 3): </w:t>
      </w:r>
      <w:r>
        <w:rPr>
          <w:color w:val="334155"/>
        </w:rPr>
        <w:t>Benchmarking Decision Tree, Random Forest, and MLP Neural Networks; model checkpointing and serialization into .h5 format.</w:t>
      </w:r>
    </w:p>
    <w:p>
      <w:pPr>
        <w:spacing w:after="60"/>
        <w:ind w:left="360"/>
      </w:pPr>
      <w:r>
        <w:rPr>
          <w:b/>
          <w:color w:val="1E3A8A"/>
        </w:rPr>
        <w:t xml:space="preserve">•  Phase 4: API, UI &amp; Production Packaging (Week 4): </w:t>
      </w:r>
      <w:r>
        <w:rPr>
          <w:color w:val="334155"/>
        </w:rPr>
        <w:t>Implementation of REST microservice endpoints, high-aesthetic web interface, automated testing, and execution scripting.</w:t>
      </w:r>
    </w:p>
    <w:p>
      <w:pPr>
        <w:keepNext/>
        <w:spacing w:before="240" w:after="80"/>
      </w:pPr>
      <w:r>
        <w:rPr>
          <w:rFonts w:ascii="Calibri" w:hAnsi="Calibri"/>
          <w:b/>
          <w:color w:val="0284C7"/>
          <w:sz w:val="26"/>
        </w:rPr>
        <w:t>6.2 Budget Allocation &amp; Cost Analysis</w:t>
      </w:r>
    </w:p>
    <w:p>
      <w:r>
        <w:t>Software and machine learning prototyping benefits from virtually zero marginal distribution costs:</w:t>
      </w:r>
    </w:p>
    <w:tbl>
      <w:tblPr>
        <w:tblW w:type="auto" w:w="0"/>
        <w:jc w:val="center"/>
        <w:tblLook w:firstColumn="1" w:firstRow="1" w:lastColumn="0" w:lastRow="0" w:noHBand="0" w:noVBand="1" w:val="04A0"/>
      </w:tblPr>
      <w:tblGrid>
        <w:gridCol w:w="3312"/>
        <w:gridCol w:w="3312"/>
        <w:gridCol w:w="3312"/>
      </w:tblGrid>
      <w:tr>
        <w:tc>
          <w:tcPr>
            <w:tcW w:type="dxa" w:w="3312"/>
            <w:shd w:fill="0F172A"/>
          </w:tcPr>
          <w:p>
            <w:r>
              <w:rPr>
                <w:b/>
                <w:color w:val="FFFFFF"/>
                <w:sz w:val="20"/>
              </w:rPr>
              <w:t>Resource Category</w:t>
            </w:r>
          </w:p>
        </w:tc>
        <w:tc>
          <w:tcPr>
            <w:tcW w:type="dxa" w:w="3312"/>
            <w:shd w:fill="0F172A"/>
          </w:tcPr>
          <w:p>
            <w:r>
              <w:rPr>
                <w:b/>
                <w:color w:val="FFFFFF"/>
                <w:sz w:val="20"/>
              </w:rPr>
              <w:t>Estimated Cost</w:t>
            </w:r>
          </w:p>
        </w:tc>
        <w:tc>
          <w:tcPr>
            <w:tcW w:type="dxa" w:w="3312"/>
            <w:shd w:fill="0F172A"/>
          </w:tcPr>
          <w:p>
            <w:r>
              <w:rPr>
                <w:b/>
                <w:color w:val="FFFFFF"/>
                <w:sz w:val="20"/>
              </w:rPr>
              <w:t>Tooling &amp; Infrastructure Allocated</w:t>
            </w:r>
          </w:p>
        </w:tc>
      </w:tr>
      <w:tr>
        <w:tc>
          <w:tcPr>
            <w:tcW w:type="dxa" w:w="3312"/>
            <w:shd w:fill="F8FAFC"/>
            <w:tcMar>
              <w:top w:w="60" w:type="dxa"/>
              <w:bottom w:w="60" w:type="dxa"/>
              <w:left w:w="80" w:type="dxa"/>
              <w:right w:w="80" w:type="dxa"/>
            </w:tcMar>
          </w:tcPr>
          <w:p>
            <w:r>
              <w:rPr>
                <w:sz w:val="19"/>
              </w:rPr>
              <w:t>Data Collection &amp; Ingestion</w:t>
            </w:r>
          </w:p>
        </w:tc>
        <w:tc>
          <w:tcPr>
            <w:tcW w:type="dxa" w:w="3312"/>
            <w:shd w:fill="F8FAFC"/>
            <w:tcMar>
              <w:top w:w="60" w:type="dxa"/>
              <w:bottom w:w="60" w:type="dxa"/>
              <w:left w:w="80" w:type="dxa"/>
              <w:right w:w="80" w:type="dxa"/>
            </w:tcMar>
          </w:tcPr>
          <w:p>
            <w:r>
              <w:rPr>
                <w:sz w:val="19"/>
              </w:rPr>
              <w:t>$0.00 (Free)</w:t>
            </w:r>
          </w:p>
        </w:tc>
        <w:tc>
          <w:tcPr>
            <w:tcW w:type="dxa" w:w="3312"/>
            <w:shd w:fill="F8FAFC"/>
            <w:tcMar>
              <w:top w:w="60" w:type="dxa"/>
              <w:bottom w:w="60" w:type="dxa"/>
              <w:left w:w="80" w:type="dxa"/>
              <w:right w:w="80" w:type="dxa"/>
            </w:tcMar>
          </w:tcPr>
          <w:p>
            <w:r>
              <w:rPr>
                <w:sz w:val="19"/>
              </w:rPr>
              <w:t>Open-source research datasets (Canadian Institute for Cybersecurity, Kaggle).</w:t>
            </w:r>
          </w:p>
        </w:tc>
      </w:tr>
      <w:tr>
        <w:tc>
          <w:tcPr>
            <w:tcW w:type="dxa" w:w="3312"/>
            <w:shd w:fill="FFFFFF"/>
            <w:tcMar>
              <w:top w:w="60" w:type="dxa"/>
              <w:bottom w:w="60" w:type="dxa"/>
              <w:left w:w="80" w:type="dxa"/>
              <w:right w:w="80" w:type="dxa"/>
            </w:tcMar>
          </w:tcPr>
          <w:p>
            <w:r>
              <w:rPr>
                <w:sz w:val="19"/>
              </w:rPr>
              <w:t>Model Training Computation</w:t>
            </w:r>
          </w:p>
        </w:tc>
        <w:tc>
          <w:tcPr>
            <w:tcW w:type="dxa" w:w="3312"/>
            <w:shd w:fill="FFFFFF"/>
            <w:tcMar>
              <w:top w:w="60" w:type="dxa"/>
              <w:bottom w:w="60" w:type="dxa"/>
              <w:left w:w="80" w:type="dxa"/>
              <w:right w:w="80" w:type="dxa"/>
            </w:tcMar>
          </w:tcPr>
          <w:p>
            <w:r>
              <w:rPr>
                <w:sz w:val="19"/>
              </w:rPr>
              <w:t>$10.00 - $15.00</w:t>
            </w:r>
          </w:p>
        </w:tc>
        <w:tc>
          <w:tcPr>
            <w:tcW w:type="dxa" w:w="3312"/>
            <w:shd w:fill="FFFFFF"/>
            <w:tcMar>
              <w:top w:w="60" w:type="dxa"/>
              <w:bottom w:w="60" w:type="dxa"/>
              <w:left w:w="80" w:type="dxa"/>
              <w:right w:w="80" w:type="dxa"/>
            </w:tcMar>
          </w:tcPr>
          <w:p>
            <w:r>
              <w:rPr>
                <w:sz w:val="19"/>
              </w:rPr>
              <w:t>Cloud GPU acceleration (Google Colab Pro / AWS SageMaker spot instances).</w:t>
            </w:r>
          </w:p>
        </w:tc>
      </w:tr>
      <w:tr>
        <w:tc>
          <w:tcPr>
            <w:tcW w:type="dxa" w:w="3312"/>
            <w:shd w:fill="F8FAFC"/>
            <w:tcMar>
              <w:top w:w="60" w:type="dxa"/>
              <w:bottom w:w="60" w:type="dxa"/>
              <w:left w:w="80" w:type="dxa"/>
              <w:right w:w="80" w:type="dxa"/>
            </w:tcMar>
          </w:tcPr>
          <w:p>
            <w:r>
              <w:rPr>
                <w:sz w:val="19"/>
              </w:rPr>
              <w:t>Hosting &amp; Microservice Infrastructure</w:t>
            </w:r>
          </w:p>
        </w:tc>
        <w:tc>
          <w:tcPr>
            <w:tcW w:type="dxa" w:w="3312"/>
            <w:shd w:fill="F8FAFC"/>
            <w:tcMar>
              <w:top w:w="60" w:type="dxa"/>
              <w:bottom w:w="60" w:type="dxa"/>
              <w:left w:w="80" w:type="dxa"/>
              <w:right w:w="80" w:type="dxa"/>
            </w:tcMar>
          </w:tcPr>
          <w:p>
            <w:r>
              <w:rPr>
                <w:sz w:val="19"/>
              </w:rPr>
              <w:t>$10.00 - $15.00</w:t>
            </w:r>
          </w:p>
        </w:tc>
        <w:tc>
          <w:tcPr>
            <w:tcW w:type="dxa" w:w="3312"/>
            <w:shd w:fill="F8FAFC"/>
            <w:tcMar>
              <w:top w:w="60" w:type="dxa"/>
              <w:bottom w:w="60" w:type="dxa"/>
              <w:left w:w="80" w:type="dxa"/>
              <w:right w:w="80" w:type="dxa"/>
            </w:tcMar>
          </w:tcPr>
          <w:p>
            <w:r>
              <w:rPr>
                <w:sz w:val="19"/>
              </w:rPr>
              <w:t>Serverless cloud runtime / PaaS deployment with TLS encryption.</w:t>
            </w:r>
          </w:p>
        </w:tc>
      </w:tr>
    </w:tbl>
    <w:p>
      <w:pPr>
        <w:spacing w:after="160"/>
      </w:pPr>
    </w:p>
    <w:p>
      <w:pPr>
        <w:keepNext/>
        <w:spacing w:before="360" w:after="120"/>
      </w:pPr>
      <w:r>
        <w:rPr>
          <w:rFonts w:ascii="Calibri" w:hAnsi="Calibri"/>
          <w:b/>
          <w:color w:val="1E3A8A"/>
          <w:sz w:val="32"/>
        </w:rPr>
        <w:t>7. Compilation, Environment Setup &amp; Execution Guide</w:t>
      </w:r>
    </w:p>
    <w:p>
      <w:r>
        <w:t>To compile, configure, and execute the Phishing Detection application on any local machine, follow the step-by-step instructions below:</w:t>
      </w:r>
    </w:p>
    <w:p>
      <w:pPr>
        <w:spacing w:after="60"/>
        <w:ind w:left="360"/>
      </w:pPr>
      <w:r>
        <w:rPr>
          <w:b/>
          <w:color w:val="1E3A8A"/>
        </w:rPr>
        <w:t xml:space="preserve">•  Step 1: Clone and Inspect Workspace: </w:t>
      </w:r>
      <w:r>
        <w:rPr>
          <w:color w:val="334155"/>
        </w:rPr>
        <w:t>Navigate to the project root directory containing 'API.py', 'Feature_Extractor.py', and 'models/'.</w:t>
      </w:r>
    </w:p>
    <w:p>
      <w:pPr>
        <w:spacing w:after="60"/>
        <w:ind w:left="360"/>
      </w:pPr>
      <w:r>
        <w:rPr>
          <w:b/>
          <w:color w:val="1E3A8A"/>
        </w:rPr>
        <w:t xml:space="preserve">•  Step 2: Virtual Environment Setup: </w:t>
      </w:r>
      <w:r>
        <w:rPr>
          <w:color w:val="334155"/>
        </w:rPr>
        <w:t>Create an isolated Python environment to avoid package version collisions:</w:t>
        <w:br/>
        <w:t xml:space="preserve">   python -m venv venv</w:t>
        <w:br/>
        <w:t xml:space="preserve">   Windows: .\venv\Scripts\activate</w:t>
        <w:br/>
        <w:t xml:space="preserve">   Linux/macOS: source venv/bin/activate</w:t>
      </w:r>
    </w:p>
    <w:p>
      <w:pPr>
        <w:spacing w:after="60"/>
        <w:ind w:left="360"/>
      </w:pPr>
      <w:r>
        <w:rPr>
          <w:b/>
          <w:color w:val="1E3A8A"/>
        </w:rPr>
        <w:t xml:space="preserve">•  Step 3: Install Required Dependencies: </w:t>
      </w:r>
      <w:r>
        <w:rPr>
          <w:color w:val="334155"/>
        </w:rPr>
        <w:t>Install core runtime dependencies via pip:</w:t>
        <w:br/>
        <w:t xml:space="preserve">   pip install -r requirements.txt</w:t>
        <w:br/>
        <w:t xml:space="preserve">   (Recommended modern versions: tensorflow&gt;=2.10, numpy, urllib3)</w:t>
      </w:r>
    </w:p>
    <w:p>
      <w:pPr>
        <w:spacing w:after="60"/>
        <w:ind w:left="360"/>
      </w:pPr>
      <w:r>
        <w:rPr>
          <w:b/>
          <w:color w:val="1E3A8A"/>
        </w:rPr>
        <w:t xml:space="preserve">•  Step 4: Execute Command-Line Prediction: </w:t>
      </w:r>
      <w:r>
        <w:rPr>
          <w:color w:val="334155"/>
        </w:rPr>
        <w:t>Run the preconfigured entrypoint script:</w:t>
        <w:br/>
        <w:t xml:space="preserve">   python Main.py</w:t>
        <w:br/>
        <w:t xml:space="preserve">   The script dynamically loads 'models/Malicious_URL_Prediction.h5', extracts features for the test domain, and outputs the risk probability.</w:t>
      </w:r>
    </w:p>
    <w:p>
      <w:pPr>
        <w:spacing w:after="60"/>
        <w:ind w:left="360"/>
      </w:pPr>
      <w:r>
        <w:rPr>
          <w:b/>
          <w:color w:val="1E3A8A"/>
        </w:rPr>
        <w:t xml:space="preserve">•  Step 5: Launch the Interactive Web Application: </w:t>
      </w:r>
      <w:r>
        <w:rPr>
          <w:color w:val="334155"/>
        </w:rPr>
        <w:t>Start the local web server to scan any URL in a responsive, modern interface:</w:t>
        <w:br/>
        <w:t xml:space="preserve">   python app.py</w:t>
        <w:br/>
        <w:t xml:space="preserve">   Open your browser to http://127.0.0.1:8000 to interact with the real-time scanner.</w:t>
      </w:r>
    </w:p>
    <w:p>
      <w:pPr>
        <w:keepNext/>
        <w:spacing w:before="360" w:after="120"/>
      </w:pPr>
      <w:r>
        <w:rPr>
          <w:rFonts w:ascii="Calibri" w:hAnsi="Calibri"/>
          <w:b/>
          <w:color w:val="1E3A8A"/>
          <w:sz w:val="32"/>
        </w:rPr>
        <w:t>8. Programmatic API Specification</w:t>
      </w:r>
    </w:p>
    <w:p>
      <w:r>
        <w:t>For microservice integration, the system provides standard Python and JSON endpoints:</w:t>
      </w:r>
    </w:p>
    <w:p>
      <w:r>
        <w:t>Python Integration Example:</w:t>
        <w:br/>
        <w:br/>
        <w:t xml:space="preserve">   from API import get_prediction</w:t>
        <w:br/>
        <w:br/>
        <w:t xml:space="preserve">   model_path = 'models/Malicious_URL_Prediction.h5'</w:t>
        <w:br/>
        <w:t xml:space="preserve">   url = 'https://secure-login.bank-update.com'</w:t>
        <w:br/>
        <w:t xml:space="preserve">   risk_percentage = get_prediction(url, model_path)</w:t>
        <w:br/>
        <w:t xml:space="preserve">   print(f'Phishing Probability: {risk_percentage}%')</w:t>
        <w:br/>
        <w:br/>
        <w:t>REST API Endpoint: POST /api/scan</w:t>
        <w:br/>
        <w:t>Request Payload:  { "url": "https://example.com/login" }</w:t>
        <w:br/>
        <w:t>Response Payload: { "url": "https://example.com/login", "malicious_probability": 0.12, "is_phishing": false, "verdict": "Safe"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