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Logger.java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SingletonPatternExample;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 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Logger() {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"Logger Initialized"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 getInstance() {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Logger();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log(String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"Log: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SingletonPatternExample;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Logger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Logger.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Logger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Logger.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"This is the first log message."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"This is the second log message."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"Both logger instances are the same."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"Logger instances are different."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230929</wp:posOffset>
            </wp:positionV>
            <wp:extent cx="6153150" cy="41481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47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4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Document.java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open();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WordDocument.java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WordDocument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"Opening a Word document."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PdfDocument.java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PdfDocument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"Opening a PDF document."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ExcelDocument.java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ExcelDocument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{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open() {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"Opening an Excel document."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DocumentFactory.java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createDocument();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WordDocumentFactory.java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WordDocumentFactory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WordDocument();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PdfDocumentFactory.java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PdfDocumentFactory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PdfDocument();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ExcelDocumentFactory.java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ExcelDocumentFactory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DocumentFactory {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Document createDocument() {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ExcelDocument();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FactoryMethodPatternExample;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DocumentFactory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WordDocumentFactory();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wordFactory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wordDoc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DocumentFactory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shd w:fill="f0d8a8" w:val="clear"/>
          <w:rtl w:val="0"/>
        </w:rPr>
        <w:t xml:space="preserve">pdfFactory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PdfDocumentFactory();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shd w:fill="d4d4d4" w:val="clear"/>
          <w:rtl w:val="0"/>
        </w:rPr>
        <w:t xml:space="preserve">pdfFactory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pdfDoc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DocumentFactory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ExcelDocumentFactory();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Document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excelFactory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.createDocument();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excelDoc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.open();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332815</wp:posOffset>
            </wp:positionV>
            <wp:extent cx="6210300" cy="275216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9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52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